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012FD">
      <w:pPr>
        <w:spacing w:line="600" w:lineRule="exact"/>
        <w:rPr>
          <w:rFonts w:ascii="方正公文小标宋" w:hAnsi="方正公文小标宋" w:eastAsia="方正公文小标宋" w:cs="方正公文小标宋"/>
        </w:rPr>
      </w:pPr>
      <w:r>
        <w:rPr>
          <w:rFonts w:hint="eastAsia" w:ascii="方正公文小标宋" w:hAnsi="方正公文小标宋" w:eastAsia="方正公文小标宋" w:cs="方正公文小标宋"/>
        </w:rPr>
        <w:t xml:space="preserve"> </w:t>
      </w:r>
    </w:p>
    <w:p w14:paraId="25AED01E">
      <w:pPr>
        <w:adjustRightInd w:val="0"/>
        <w:snapToGrid w:val="0"/>
        <w:spacing w:line="560" w:lineRule="exact"/>
        <w:jc w:val="center"/>
        <w:rPr>
          <w:rFonts w:asciiTheme="minorEastAsia" w:hAnsiTheme="minorEastAsia" w:eastAsiaTheme="minorEastAsia" w:cstheme="minorEastAsia"/>
          <w:b/>
          <w:bCs w:val="0"/>
          <w:sz w:val="44"/>
          <w:szCs w:val="44"/>
        </w:rPr>
      </w:pPr>
      <w:bookmarkStart w:id="0" w:name="_Toc375561633"/>
      <w:bookmarkStart w:id="1" w:name="_Toc415058575"/>
      <w:bookmarkStart w:id="2" w:name="_Toc415058499"/>
    </w:p>
    <w:p w14:paraId="3C79F30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val="en-US" w:eastAsia="zh-CN"/>
        </w:rPr>
      </w:pPr>
      <w:r>
        <w:rPr>
          <w:rFonts w:hint="eastAsia" w:asciiTheme="majorEastAsia" w:hAnsiTheme="majorEastAsia" w:eastAsiaTheme="majorEastAsia" w:cstheme="majorEastAsia"/>
          <w:b/>
          <w:color w:val="auto"/>
          <w:sz w:val="52"/>
          <w:szCs w:val="52"/>
          <w:lang w:val="en-US" w:eastAsia="zh-CN"/>
        </w:rPr>
        <w:t>海南卫生健康职业学院</w:t>
      </w:r>
    </w:p>
    <w:p w14:paraId="4E4BF2FF">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lang w:eastAsia="zh-CN"/>
        </w:rPr>
      </w:pPr>
      <w:r>
        <w:rPr>
          <w:rFonts w:hint="eastAsia" w:asciiTheme="majorEastAsia" w:hAnsiTheme="majorEastAsia" w:eastAsiaTheme="majorEastAsia" w:cstheme="majorEastAsia"/>
          <w:b/>
          <w:color w:val="auto"/>
          <w:sz w:val="52"/>
          <w:szCs w:val="52"/>
          <w:lang w:val="en-US" w:eastAsia="zh-CN"/>
        </w:rPr>
        <w:t>2026年消防设施维护保养项目</w:t>
      </w:r>
    </w:p>
    <w:p w14:paraId="1862CDE4"/>
    <w:p w14:paraId="5CF3758F">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sz w:val="36"/>
          <w:szCs w:val="36"/>
          <w:highlight w:val="none"/>
        </w:rPr>
      </w:pPr>
    </w:p>
    <w:p w14:paraId="68C8D15F">
      <w:pPr>
        <w:adjustRightInd w:val="0"/>
        <w:snapToGrid w:val="0"/>
        <w:spacing w:line="560" w:lineRule="exact"/>
        <w:ind w:firstLine="720" w:firstLineChars="200"/>
        <w:jc w:val="center"/>
        <w:rPr>
          <w:rFonts w:hint="default" w:asciiTheme="minorEastAsia" w:hAnsiTheme="minorEastAsia" w:eastAsiaTheme="minorEastAsia" w:cstheme="minorEastAsia"/>
          <w:bCs w:val="0"/>
          <w:sz w:val="36"/>
          <w:szCs w:val="36"/>
          <w:highlight w:val="none"/>
          <w:lang w:val="en-US" w:eastAsia="zh-CN"/>
        </w:rPr>
      </w:pPr>
      <w:r>
        <w:rPr>
          <w:rFonts w:hint="eastAsia" w:asciiTheme="minorEastAsia" w:hAnsiTheme="minorEastAsia" w:eastAsiaTheme="minorEastAsia" w:cstheme="minorEastAsia"/>
          <w:bCs w:val="0"/>
          <w:sz w:val="36"/>
          <w:szCs w:val="36"/>
          <w:highlight w:val="none"/>
        </w:rPr>
        <w:t>项目编号：HNWJY-FW202</w:t>
      </w:r>
      <w:r>
        <w:rPr>
          <w:rFonts w:hint="eastAsia" w:asciiTheme="minorEastAsia" w:hAnsiTheme="minorEastAsia" w:eastAsiaTheme="minorEastAsia" w:cstheme="minorEastAsia"/>
          <w:bCs w:val="0"/>
          <w:sz w:val="36"/>
          <w:szCs w:val="36"/>
          <w:highlight w:val="none"/>
          <w:lang w:val="en-US" w:eastAsia="zh-CN"/>
        </w:rPr>
        <w:t>6002</w:t>
      </w:r>
    </w:p>
    <w:p w14:paraId="4BE0EE30">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
          <w:bCs w:val="0"/>
          <w:spacing w:val="40"/>
          <w:sz w:val="36"/>
          <w:szCs w:val="36"/>
          <w:highlight w:val="none"/>
        </w:rPr>
      </w:pPr>
    </w:p>
    <w:p w14:paraId="3599BDD4">
      <w:pPr>
        <w:adjustRightInd w:val="0"/>
        <w:snapToGrid w:val="0"/>
        <w:spacing w:line="420" w:lineRule="auto"/>
        <w:jc w:val="center"/>
        <w:rPr>
          <w:rFonts w:hint="eastAsia" w:asciiTheme="minorEastAsia" w:hAnsiTheme="minorEastAsia" w:eastAsiaTheme="minorEastAsia" w:cstheme="minorEastAsia"/>
          <w:bCs w:val="0"/>
          <w:sz w:val="36"/>
          <w:szCs w:val="36"/>
          <w:shd w:val="clear" w:color="auto" w:fill="FFFF00"/>
          <w:lang w:val="en-US" w:eastAsia="zh-CN"/>
        </w:rPr>
      </w:pPr>
    </w:p>
    <w:p w14:paraId="7FB9A280">
      <w:pPr>
        <w:adjustRightInd w:val="0"/>
        <w:snapToGrid w:val="0"/>
        <w:spacing w:line="420" w:lineRule="auto"/>
        <w:rPr>
          <w:rFonts w:asciiTheme="minorEastAsia" w:hAnsiTheme="minorEastAsia" w:eastAsiaTheme="minorEastAsia" w:cstheme="minorEastAsia"/>
          <w:b/>
          <w:bCs w:val="0"/>
          <w:spacing w:val="40"/>
          <w:sz w:val="36"/>
          <w:szCs w:val="36"/>
        </w:rPr>
      </w:pPr>
    </w:p>
    <w:bookmarkEnd w:id="0"/>
    <w:bookmarkEnd w:id="1"/>
    <w:bookmarkEnd w:id="2"/>
    <w:p w14:paraId="2436F4A2">
      <w:pPr>
        <w:spacing w:line="360" w:lineRule="auto"/>
        <w:ind w:firstLine="723" w:firstLineChars="100"/>
        <w:jc w:val="center"/>
        <w:rPr>
          <w:rFonts w:hAnsi="宋体"/>
          <w:b/>
          <w:sz w:val="72"/>
          <w:szCs w:val="72"/>
        </w:rPr>
      </w:pPr>
      <w:bookmarkStart w:id="3" w:name="_Toc325731733"/>
      <w:bookmarkStart w:id="4" w:name="_Toc326783408"/>
      <w:bookmarkStart w:id="5" w:name="_Toc325446794"/>
    </w:p>
    <w:p w14:paraId="73DB6CAA">
      <w:pPr>
        <w:spacing w:line="360" w:lineRule="auto"/>
        <w:ind w:firstLine="723" w:firstLineChars="100"/>
        <w:jc w:val="center"/>
        <w:rPr>
          <w:rFonts w:hAnsi="宋体"/>
          <w:b/>
          <w:sz w:val="72"/>
          <w:szCs w:val="72"/>
        </w:rPr>
      </w:pPr>
      <w:r>
        <w:rPr>
          <w:rFonts w:hint="eastAsia" w:hAnsi="宋体"/>
          <w:b/>
          <w:sz w:val="72"/>
          <w:szCs w:val="72"/>
        </w:rPr>
        <w:t>竞争性磋商文件</w:t>
      </w:r>
    </w:p>
    <w:p w14:paraId="60E83B94"/>
    <w:bookmarkEnd w:id="3"/>
    <w:bookmarkEnd w:id="4"/>
    <w:bookmarkEnd w:id="5"/>
    <w:p w14:paraId="2308F189"/>
    <w:p w14:paraId="7796C059"/>
    <w:p w14:paraId="656E0459"/>
    <w:p w14:paraId="4AD28C5A"/>
    <w:p w14:paraId="6CDDEE82">
      <w:pPr>
        <w:adjustRightInd w:val="0"/>
        <w:snapToGrid w:val="0"/>
        <w:spacing w:line="560" w:lineRule="exact"/>
        <w:rPr>
          <w:rFonts w:asciiTheme="minorEastAsia" w:hAnsiTheme="minorEastAsia" w:eastAsiaTheme="minorEastAsia" w:cstheme="minorEastAsia"/>
          <w:b/>
          <w:sz w:val="36"/>
          <w:szCs w:val="36"/>
        </w:rPr>
      </w:pPr>
    </w:p>
    <w:p w14:paraId="4D71E547">
      <w:pPr>
        <w:adjustRightInd w:val="0"/>
        <w:snapToGrid w:val="0"/>
        <w:spacing w:line="560" w:lineRule="exact"/>
        <w:jc w:val="center"/>
        <w:rPr>
          <w:rFonts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4BC34803">
      <w:pPr>
        <w:adjustRightInd w:val="0"/>
        <w:snapToGrid w:val="0"/>
        <w:spacing w:line="560" w:lineRule="exact"/>
        <w:jc w:val="center"/>
        <w:rPr>
          <w:rFonts w:hint="eastAsia" w:asciiTheme="minorEastAsia" w:hAnsiTheme="minorEastAsia" w:eastAsiaTheme="minorEastAsia" w:cstheme="minorEastAsia"/>
          <w:b/>
          <w:bCs w:val="0"/>
          <w:color w:val="FF0000"/>
          <w:sz w:val="36"/>
          <w:szCs w:val="36"/>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sz w:val="36"/>
          <w:szCs w:val="36"/>
        </w:rPr>
        <w:t>编制时间</w:t>
      </w:r>
      <w:r>
        <w:rPr>
          <w:rFonts w:hint="eastAsia" w:asciiTheme="minorEastAsia" w:hAnsiTheme="minorEastAsia" w:eastAsiaTheme="minorEastAsia" w:cstheme="minorEastAsia"/>
          <w:b/>
          <w:bCs w:val="0"/>
          <w:color w:val="auto"/>
          <w:sz w:val="36"/>
          <w:szCs w:val="36"/>
        </w:rPr>
        <w:t>：202</w:t>
      </w:r>
      <w:r>
        <w:rPr>
          <w:rFonts w:hint="eastAsia" w:asciiTheme="minorEastAsia" w:hAnsiTheme="minorEastAsia" w:eastAsiaTheme="minorEastAsia" w:cstheme="minorEastAsia"/>
          <w:b/>
          <w:bCs w:val="0"/>
          <w:color w:val="auto"/>
          <w:sz w:val="36"/>
          <w:szCs w:val="36"/>
          <w:lang w:val="en-US" w:eastAsia="zh-CN"/>
        </w:rPr>
        <w:t>6</w:t>
      </w:r>
      <w:r>
        <w:rPr>
          <w:rFonts w:hint="eastAsia" w:asciiTheme="minorEastAsia" w:hAnsiTheme="minorEastAsia" w:eastAsiaTheme="minorEastAsia" w:cstheme="minorEastAsia"/>
          <w:b/>
          <w:bCs w:val="0"/>
          <w:color w:val="auto"/>
          <w:sz w:val="36"/>
          <w:szCs w:val="36"/>
        </w:rPr>
        <w:t>年</w:t>
      </w:r>
      <w:r>
        <w:rPr>
          <w:rFonts w:hint="eastAsia" w:asciiTheme="minorEastAsia" w:hAnsiTheme="minorEastAsia" w:eastAsiaTheme="minorEastAsia" w:cstheme="minorEastAsia"/>
          <w:b/>
          <w:bCs w:val="0"/>
          <w:color w:val="auto"/>
          <w:sz w:val="36"/>
          <w:szCs w:val="36"/>
          <w:lang w:val="en-US" w:eastAsia="zh-CN"/>
        </w:rPr>
        <w:t>3</w:t>
      </w:r>
      <w:r>
        <w:rPr>
          <w:rFonts w:hint="eastAsia" w:asciiTheme="minorEastAsia" w:hAnsiTheme="minorEastAsia" w:eastAsiaTheme="minorEastAsia" w:cstheme="minorEastAsia"/>
          <w:b/>
          <w:bCs w:val="0"/>
          <w:color w:val="auto"/>
          <w:sz w:val="36"/>
          <w:szCs w:val="36"/>
        </w:rPr>
        <w:t>月</w:t>
      </w:r>
      <w:r>
        <w:rPr>
          <w:rFonts w:hint="eastAsia" w:asciiTheme="minorEastAsia" w:hAnsiTheme="minorEastAsia" w:eastAsiaTheme="minorEastAsia" w:cstheme="minorEastAsia"/>
          <w:b/>
          <w:bCs w:val="0"/>
          <w:color w:val="auto"/>
          <w:sz w:val="36"/>
          <w:szCs w:val="36"/>
          <w:lang w:val="en-US" w:eastAsia="zh-CN"/>
        </w:rPr>
        <w:t>10</w:t>
      </w:r>
      <w:r>
        <w:rPr>
          <w:rFonts w:hint="eastAsia" w:asciiTheme="minorEastAsia" w:hAnsiTheme="minorEastAsia" w:eastAsiaTheme="minorEastAsia" w:cstheme="minorEastAsia"/>
          <w:b/>
          <w:bCs w:val="0"/>
          <w:color w:val="auto"/>
          <w:sz w:val="36"/>
          <w:szCs w:val="36"/>
        </w:rPr>
        <w:t>日</w:t>
      </w:r>
    </w:p>
    <w:p w14:paraId="0FE85CF1">
      <w:pPr>
        <w:pStyle w:val="19"/>
        <w:tabs>
          <w:tab w:val="right" w:leader="dot" w:pos="9746"/>
        </w:tabs>
        <w:jc w:val="center"/>
        <w:rPr>
          <w:rStyle w:val="30"/>
          <w:rFonts w:asciiTheme="minorEastAsia" w:hAnsiTheme="minorEastAsia" w:eastAsiaTheme="minorEastAsia" w:cstheme="minorEastAsia"/>
          <w:sz w:val="32"/>
          <w:szCs w:val="32"/>
        </w:rPr>
      </w:pPr>
      <w:bookmarkStart w:id="6" w:name="_Toc9970"/>
      <w:bookmarkStart w:id="7" w:name="_Toc356491305"/>
      <w:bookmarkStart w:id="8" w:name="_Toc40089788"/>
    </w:p>
    <w:p w14:paraId="246A2121">
      <w:pPr>
        <w:pStyle w:val="19"/>
        <w:tabs>
          <w:tab w:val="right" w:leader="dot" w:pos="9746"/>
        </w:tabs>
        <w:jc w:val="center"/>
        <w:rPr>
          <w:rStyle w:val="30"/>
          <w:rFonts w:asciiTheme="minorEastAsia" w:hAnsiTheme="minorEastAsia" w:eastAsiaTheme="minorEastAsia" w:cstheme="minorEastAsia"/>
          <w:sz w:val="32"/>
          <w:szCs w:val="32"/>
        </w:rPr>
      </w:pPr>
      <w:bookmarkStart w:id="9" w:name="_Toc20015"/>
      <w:r>
        <w:rPr>
          <w:rStyle w:val="30"/>
          <w:rFonts w:hint="eastAsia" w:asciiTheme="minorEastAsia" w:hAnsiTheme="minorEastAsia" w:eastAsiaTheme="minorEastAsia" w:cstheme="minorEastAsia"/>
          <w:sz w:val="32"/>
          <w:szCs w:val="32"/>
        </w:rPr>
        <w:t>目  录</w:t>
      </w:r>
    </w:p>
    <w:bookmarkEnd w:id="6"/>
    <w:bookmarkEnd w:id="9"/>
    <w:p w14:paraId="0F83AEFC">
      <w:pPr>
        <w:pStyle w:val="19"/>
        <w:tabs>
          <w:tab w:val="right" w:leader="dot" w:pos="8732"/>
        </w:tabs>
        <w:rPr>
          <w:rFonts w:hint="eastAsia" w:ascii="仿宋" w:hAnsi="仿宋" w:eastAsia="仿宋" w:cs="仿宋"/>
          <w:sz w:val="32"/>
          <w:szCs w:val="32"/>
        </w:rPr>
      </w:pPr>
      <w:r>
        <w:rPr>
          <w:rStyle w:val="30"/>
          <w:rFonts w:hint="eastAsia" w:ascii="仿宋" w:hAnsi="仿宋" w:eastAsia="仿宋" w:cs="仿宋"/>
          <w:sz w:val="32"/>
          <w:szCs w:val="32"/>
        </w:rPr>
        <w:fldChar w:fldCharType="begin"/>
      </w:r>
      <w:r>
        <w:rPr>
          <w:rStyle w:val="30"/>
          <w:rFonts w:hint="eastAsia" w:ascii="仿宋" w:hAnsi="仿宋" w:eastAsia="仿宋" w:cs="仿宋"/>
          <w:sz w:val="32"/>
          <w:szCs w:val="32"/>
        </w:rPr>
        <w:instrText xml:space="preserve">TOC \o "1-2" \h \u </w:instrText>
      </w:r>
      <w:r>
        <w:rPr>
          <w:rStyle w:val="30"/>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_Toc20015 </w:instrText>
      </w:r>
      <w:r>
        <w:rPr>
          <w:rFonts w:hint="eastAsia" w:ascii="仿宋" w:hAnsi="仿宋" w:eastAsia="仿宋" w:cs="仿宋"/>
          <w:sz w:val="32"/>
          <w:szCs w:val="32"/>
        </w:rPr>
        <w:fldChar w:fldCharType="separate"/>
      </w:r>
      <w:r>
        <w:rPr>
          <w:rFonts w:hint="eastAsia" w:ascii="仿宋" w:hAnsi="仿宋" w:eastAsia="仿宋" w:cs="仿宋"/>
          <w:sz w:val="32"/>
          <w:szCs w:val="32"/>
        </w:rPr>
        <w:t>目  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_Toc20015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C24BB7">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第一部分 竞争性磋商公告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_Toc19324 \h </w:instrText>
      </w:r>
      <w:r>
        <w:rPr>
          <w:rFonts w:hint="eastAsia" w:ascii="仿宋" w:hAnsi="仿宋" w:eastAsia="仿宋" w:cs="仿宋"/>
          <w:sz w:val="32"/>
          <w:szCs w:val="32"/>
        </w:rPr>
        <w:fldChar w:fldCharType="separate"/>
      </w:r>
      <w:r>
        <w:rPr>
          <w:rFonts w:hint="eastAsia" w:ascii="仿宋" w:hAnsi="仿宋" w:eastAsia="仿宋" w:cs="仿宋"/>
          <w:sz w:val="32"/>
          <w:szCs w:val="32"/>
        </w:rPr>
        <w:t>- 1 -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5ED80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_Toc22920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供应商须知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_Toc22920 \h </w:instrText>
      </w:r>
      <w:r>
        <w:rPr>
          <w:rFonts w:hint="eastAsia" w:ascii="仿宋" w:hAnsi="仿宋" w:eastAsia="仿宋" w:cs="仿宋"/>
          <w:sz w:val="32"/>
          <w:szCs w:val="32"/>
        </w:rPr>
        <w:fldChar w:fldCharType="separate"/>
      </w:r>
      <w:r>
        <w:rPr>
          <w:rFonts w:hint="eastAsia" w:ascii="仿宋" w:hAnsi="仿宋" w:eastAsia="仿宋" w:cs="仿宋"/>
          <w:sz w:val="32"/>
          <w:szCs w:val="32"/>
        </w:rPr>
        <w:t>- 5 -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82E603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_Toc19325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评审办法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_Toc19325 \h </w:instrText>
      </w:r>
      <w:r>
        <w:rPr>
          <w:rFonts w:hint="eastAsia" w:ascii="仿宋" w:hAnsi="仿宋" w:eastAsia="仿宋" w:cs="仿宋"/>
          <w:sz w:val="32"/>
          <w:szCs w:val="32"/>
        </w:rPr>
        <w:fldChar w:fldCharType="separate"/>
      </w:r>
      <w:r>
        <w:rPr>
          <w:rFonts w:hint="eastAsia" w:ascii="仿宋" w:hAnsi="仿宋" w:eastAsia="仿宋" w:cs="仿宋"/>
          <w:sz w:val="32"/>
          <w:szCs w:val="32"/>
        </w:rPr>
        <w:t>- 11 -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7A757D">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_Toc22407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授予合同</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_Toc22407 \h </w:instrText>
      </w:r>
      <w:r>
        <w:rPr>
          <w:rFonts w:hint="eastAsia" w:ascii="仿宋" w:hAnsi="仿宋" w:eastAsia="仿宋" w:cs="仿宋"/>
          <w:sz w:val="32"/>
          <w:szCs w:val="32"/>
        </w:rPr>
        <w:fldChar w:fldCharType="separate"/>
      </w:r>
      <w:r>
        <w:rPr>
          <w:rFonts w:hint="eastAsia" w:ascii="仿宋" w:hAnsi="仿宋" w:eastAsia="仿宋" w:cs="仿宋"/>
          <w:sz w:val="32"/>
          <w:szCs w:val="32"/>
        </w:rPr>
        <w:t>- 15 -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03094BE">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_Toc11038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项目需求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_Toc11038 \h </w:instrText>
      </w:r>
      <w:r>
        <w:rPr>
          <w:rFonts w:hint="eastAsia" w:ascii="仿宋" w:hAnsi="仿宋" w:eastAsia="仿宋" w:cs="仿宋"/>
          <w:sz w:val="32"/>
          <w:szCs w:val="32"/>
        </w:rPr>
        <w:fldChar w:fldCharType="separate"/>
      </w:r>
      <w:r>
        <w:rPr>
          <w:rFonts w:hint="eastAsia" w:ascii="仿宋" w:hAnsi="仿宋" w:eastAsia="仿宋" w:cs="仿宋"/>
          <w:sz w:val="32"/>
          <w:szCs w:val="32"/>
        </w:rPr>
        <w:t>- 18 -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B40F83">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_Toc12517 </w:instrText>
      </w:r>
      <w:r>
        <w:rPr>
          <w:rFonts w:hint="eastAsia" w:ascii="仿宋" w:hAnsi="仿宋" w:eastAsia="仿宋" w:cs="仿宋"/>
          <w:sz w:val="32"/>
          <w:szCs w:val="32"/>
        </w:rPr>
        <w:fldChar w:fldCharType="separate"/>
      </w:r>
      <w:r>
        <w:rPr>
          <w:rFonts w:hint="eastAsia" w:ascii="仿宋" w:hAnsi="仿宋" w:eastAsia="仿宋" w:cs="仿宋"/>
          <w:sz w:val="32"/>
          <w:szCs w:val="32"/>
        </w:rPr>
        <w:t>第六部分 报价文件格式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_Toc12517 \h </w:instrText>
      </w:r>
      <w:r>
        <w:rPr>
          <w:rFonts w:hint="eastAsia" w:ascii="仿宋" w:hAnsi="仿宋" w:eastAsia="仿宋" w:cs="仿宋"/>
          <w:sz w:val="32"/>
          <w:szCs w:val="32"/>
        </w:rPr>
        <w:fldChar w:fldCharType="separate"/>
      </w:r>
      <w:r>
        <w:rPr>
          <w:rFonts w:hint="eastAsia" w:ascii="仿宋" w:hAnsi="仿宋" w:eastAsia="仿宋" w:cs="仿宋"/>
          <w:sz w:val="32"/>
          <w:szCs w:val="32"/>
        </w:rPr>
        <w:t>- 26 -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82CB19">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_Toc9943 </w:instrText>
      </w:r>
      <w:r>
        <w:rPr>
          <w:rFonts w:hint="eastAsia" w:ascii="仿宋" w:hAnsi="仿宋" w:eastAsia="仿宋" w:cs="仿宋"/>
          <w:sz w:val="32"/>
          <w:szCs w:val="32"/>
        </w:rPr>
        <w:fldChar w:fldCharType="separate"/>
      </w:r>
      <w:r>
        <w:rPr>
          <w:rFonts w:hint="eastAsia" w:ascii="仿宋" w:hAnsi="仿宋" w:eastAsia="仿宋" w:cs="仿宋"/>
          <w:sz w:val="32"/>
          <w:szCs w:val="32"/>
        </w:rPr>
        <w:t>一、商务部分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_Toc9943 \h </w:instrText>
      </w:r>
      <w:r>
        <w:rPr>
          <w:rFonts w:hint="eastAsia" w:ascii="仿宋" w:hAnsi="仿宋" w:eastAsia="仿宋" w:cs="仿宋"/>
          <w:sz w:val="32"/>
          <w:szCs w:val="32"/>
        </w:rPr>
        <w:fldChar w:fldCharType="separate"/>
      </w:r>
      <w:r>
        <w:rPr>
          <w:rFonts w:hint="eastAsia" w:ascii="仿宋" w:hAnsi="仿宋" w:eastAsia="仿宋" w:cs="仿宋"/>
          <w:sz w:val="32"/>
          <w:szCs w:val="32"/>
        </w:rPr>
        <w:t>- 29 -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472BFB">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二、 资信部分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- 35 -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3BE9522">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_Toc28212 </w:instrText>
      </w:r>
      <w:r>
        <w:rPr>
          <w:rFonts w:hint="eastAsia" w:ascii="仿宋" w:hAnsi="仿宋" w:eastAsia="仿宋" w:cs="仿宋"/>
          <w:sz w:val="32"/>
          <w:szCs w:val="32"/>
        </w:rPr>
        <w:fldChar w:fldCharType="separate"/>
      </w:r>
      <w:r>
        <w:rPr>
          <w:rFonts w:hint="eastAsia" w:ascii="仿宋" w:hAnsi="仿宋" w:eastAsia="仿宋" w:cs="仿宋"/>
          <w:sz w:val="32"/>
          <w:szCs w:val="32"/>
        </w:rPr>
        <w:t>三、 技术部分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_Toc28212 \h </w:instrText>
      </w:r>
      <w:r>
        <w:rPr>
          <w:rFonts w:hint="eastAsia" w:ascii="仿宋" w:hAnsi="仿宋" w:eastAsia="仿宋" w:cs="仿宋"/>
          <w:sz w:val="32"/>
          <w:szCs w:val="32"/>
        </w:rPr>
        <w:fldChar w:fldCharType="separate"/>
      </w:r>
      <w:r>
        <w:rPr>
          <w:rFonts w:hint="eastAsia" w:ascii="仿宋" w:hAnsi="仿宋" w:eastAsia="仿宋" w:cs="仿宋"/>
          <w:sz w:val="32"/>
          <w:szCs w:val="32"/>
        </w:rPr>
        <w:t>- 36 -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5810F86">
      <w:pPr>
        <w:pStyle w:val="19"/>
        <w:tabs>
          <w:tab w:val="right" w:leader="dot" w:pos="8732"/>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_Toc2093 </w:instrText>
      </w:r>
      <w:r>
        <w:rPr>
          <w:rFonts w:hint="eastAsia" w:ascii="仿宋" w:hAnsi="仿宋" w:eastAsia="仿宋" w:cs="仿宋"/>
          <w:sz w:val="32"/>
          <w:szCs w:val="32"/>
        </w:rPr>
        <w:fldChar w:fldCharType="separate"/>
      </w:r>
      <w:r>
        <w:rPr>
          <w:rFonts w:hint="eastAsia" w:ascii="仿宋" w:hAnsi="仿宋" w:eastAsia="仿宋" w:cs="仿宋"/>
          <w:sz w:val="32"/>
          <w:szCs w:val="32"/>
        </w:rPr>
        <w:t>四、报价部分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_Toc2093 \h </w:instrText>
      </w:r>
      <w:r>
        <w:rPr>
          <w:rFonts w:hint="eastAsia" w:ascii="仿宋" w:hAnsi="仿宋" w:eastAsia="仿宋" w:cs="仿宋"/>
          <w:sz w:val="32"/>
          <w:szCs w:val="32"/>
        </w:rPr>
        <w:fldChar w:fldCharType="separate"/>
      </w:r>
      <w:r>
        <w:rPr>
          <w:rFonts w:hint="eastAsia" w:ascii="仿宋" w:hAnsi="仿宋" w:eastAsia="仿宋" w:cs="仿宋"/>
          <w:sz w:val="32"/>
          <w:szCs w:val="32"/>
        </w:rPr>
        <w:t>- 38 -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376D4E7">
      <w:pPr>
        <w:pStyle w:val="19"/>
        <w:tabs>
          <w:tab w:val="right" w:leader="dot" w:pos="8732"/>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_Toc22438 </w:instrText>
      </w:r>
      <w:r>
        <w:rPr>
          <w:rFonts w:hint="eastAsia" w:ascii="仿宋" w:hAnsi="仿宋" w:eastAsia="仿宋" w:cs="仿宋"/>
          <w:sz w:val="32"/>
          <w:szCs w:val="32"/>
        </w:rPr>
        <w:fldChar w:fldCharType="separate"/>
      </w:r>
      <w:r>
        <w:rPr>
          <w:rFonts w:hint="eastAsia" w:ascii="仿宋" w:hAnsi="仿宋" w:eastAsia="仿宋" w:cs="仿宋"/>
          <w:sz w:val="32"/>
          <w:szCs w:val="32"/>
        </w:rPr>
        <w:t>封套格式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_Toc22438 \h </w:instrText>
      </w:r>
      <w:r>
        <w:rPr>
          <w:rFonts w:hint="eastAsia" w:ascii="仿宋" w:hAnsi="仿宋" w:eastAsia="仿宋" w:cs="仿宋"/>
          <w:sz w:val="32"/>
          <w:szCs w:val="32"/>
        </w:rPr>
        <w:fldChar w:fldCharType="separate"/>
      </w:r>
      <w:r>
        <w:rPr>
          <w:rFonts w:hint="eastAsia" w:ascii="仿宋" w:hAnsi="仿宋" w:eastAsia="仿宋" w:cs="仿宋"/>
          <w:sz w:val="32"/>
          <w:szCs w:val="32"/>
        </w:rPr>
        <w:t>- 39 -</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890CA5">
      <w:pPr>
        <w:rPr>
          <w:rFonts w:hint="eastAsia" w:ascii="仿宋" w:hAnsi="仿宋" w:eastAsia="仿宋" w:cs="仿宋"/>
          <w:szCs w:val="32"/>
        </w:rPr>
      </w:pPr>
      <w:r>
        <w:rPr>
          <w:rFonts w:hint="eastAsia" w:ascii="仿宋" w:hAnsi="仿宋" w:eastAsia="仿宋" w:cs="仿宋"/>
          <w:szCs w:val="32"/>
        </w:rPr>
        <w:fldChar w:fldCharType="end"/>
      </w:r>
      <w:bookmarkStart w:id="10" w:name="_Toc19324"/>
    </w:p>
    <w:p w14:paraId="78ADC337">
      <w:pPr>
        <w:rPr>
          <w:rFonts w:hint="eastAsia" w:ascii="仿宋" w:hAnsi="仿宋" w:eastAsia="仿宋" w:cs="仿宋"/>
          <w:szCs w:val="32"/>
        </w:rPr>
      </w:pPr>
    </w:p>
    <w:p w14:paraId="13C2668C">
      <w:pPr>
        <w:rPr>
          <w:rFonts w:hint="eastAsia" w:ascii="仿宋" w:hAnsi="仿宋" w:eastAsia="仿宋" w:cs="仿宋"/>
          <w:szCs w:val="32"/>
        </w:rPr>
      </w:pPr>
    </w:p>
    <w:p w14:paraId="7F2F56E0">
      <w:pPr>
        <w:rPr>
          <w:rFonts w:hint="eastAsia" w:ascii="仿宋" w:hAnsi="仿宋" w:eastAsia="仿宋" w:cs="仿宋"/>
          <w:szCs w:val="32"/>
        </w:rPr>
      </w:pPr>
    </w:p>
    <w:p w14:paraId="6855F65D">
      <w:pPr>
        <w:rPr>
          <w:rFonts w:hint="eastAsia" w:ascii="仿宋" w:hAnsi="仿宋" w:eastAsia="仿宋" w:cs="仿宋"/>
          <w:szCs w:val="32"/>
        </w:rPr>
      </w:pPr>
    </w:p>
    <w:p w14:paraId="1182B7D0">
      <w:pPr>
        <w:rPr>
          <w:rFonts w:hint="eastAsia" w:ascii="仿宋" w:hAnsi="仿宋" w:eastAsia="仿宋" w:cs="仿宋"/>
          <w:szCs w:val="32"/>
        </w:rPr>
      </w:pPr>
    </w:p>
    <w:p w14:paraId="21922C79">
      <w:pPr>
        <w:rPr>
          <w:rStyle w:val="30"/>
          <w:rFonts w:hint="eastAsia" w:eastAsia="仿宋" w:asciiTheme="minorEastAsia" w:hAnsiTheme="minorEastAsia" w:cstheme="minorEastAsia"/>
          <w:b/>
          <w:sz w:val="44"/>
          <w:lang w:val="en-US" w:eastAsia="zh-CN"/>
        </w:rPr>
      </w:pPr>
    </w:p>
    <w:p w14:paraId="40BDF87A">
      <w:pPr>
        <w:pStyle w:val="2"/>
        <w:jc w:val="center"/>
      </w:pPr>
      <w:r>
        <w:rPr>
          <w:rStyle w:val="30"/>
          <w:rFonts w:hint="eastAsia" w:asciiTheme="minorEastAsia" w:hAnsiTheme="minorEastAsia" w:eastAsiaTheme="minorEastAsia" w:cstheme="minorEastAsia"/>
          <w:b/>
          <w:sz w:val="44"/>
        </w:rPr>
        <w:t xml:space="preserve">第一部分 </w:t>
      </w:r>
      <w:bookmarkEnd w:id="7"/>
      <w:bookmarkEnd w:id="8"/>
      <w:r>
        <w:rPr>
          <w:rStyle w:val="30"/>
          <w:rFonts w:hint="eastAsia" w:asciiTheme="minorEastAsia" w:hAnsiTheme="minorEastAsia" w:eastAsiaTheme="minorEastAsia" w:cstheme="minorEastAsia"/>
          <w:b/>
          <w:sz w:val="44"/>
        </w:rPr>
        <w:t>竞争性磋商公告</w:t>
      </w:r>
      <w:bookmarkEnd w:id="10"/>
      <w:bookmarkStart w:id="11" w:name="_Toc325582571"/>
      <w:bookmarkStart w:id="12" w:name="_Toc325620702"/>
      <w:bookmarkStart w:id="13" w:name="_Toc325582066"/>
    </w:p>
    <w:p w14:paraId="64815BA7">
      <w:pPr>
        <w:adjustRightInd w:val="0"/>
        <w:snapToGrid w:val="0"/>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一、采购项目名称</w:t>
      </w:r>
    </w:p>
    <w:p w14:paraId="18CED4E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海南卫生健康职业学院2026年消防设施维护保养项目</w:t>
      </w:r>
    </w:p>
    <w:p w14:paraId="5A605CFC">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二、采购项目编号</w:t>
      </w:r>
    </w:p>
    <w:p w14:paraId="628CAF5B">
      <w:pPr>
        <w:adjustRightInd w:val="0"/>
        <w:snapToGrid w:val="0"/>
        <w:spacing w:line="560" w:lineRule="exact"/>
        <w:ind w:firstLine="640" w:firstLineChars="200"/>
        <w:jc w:val="left"/>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rPr>
        <w:t>HNWJY-FW202</w:t>
      </w:r>
      <w:r>
        <w:rPr>
          <w:rFonts w:hint="eastAsia" w:ascii="仿宋" w:hAnsi="仿宋" w:eastAsia="仿宋" w:cs="仿宋"/>
          <w:b w:val="0"/>
          <w:bCs/>
          <w:color w:val="auto"/>
          <w:sz w:val="32"/>
          <w:szCs w:val="32"/>
          <w:lang w:val="en-US" w:eastAsia="zh-CN"/>
        </w:rPr>
        <w:t>6002</w:t>
      </w:r>
    </w:p>
    <w:p w14:paraId="000B9D55">
      <w:pPr>
        <w:adjustRightInd w:val="0"/>
        <w:snapToGrid w:val="0"/>
        <w:spacing w:line="56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35"/>
        <w:gridCol w:w="1519"/>
      </w:tblGrid>
      <w:tr w14:paraId="1BC5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0A1D0BD">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项目</w:t>
            </w:r>
          </w:p>
          <w:p w14:paraId="6233B97A">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名称</w:t>
            </w:r>
          </w:p>
        </w:tc>
        <w:tc>
          <w:tcPr>
            <w:tcW w:w="7135" w:type="dxa"/>
            <w:vAlign w:val="center"/>
          </w:tcPr>
          <w:p w14:paraId="7A5695D1">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rPr>
            </w:pPr>
            <w:r>
              <w:rPr>
                <w:rFonts w:hint="eastAsia" w:ascii="仿宋" w:hAnsi="仿宋" w:eastAsia="仿宋" w:cs="仿宋"/>
                <w:color w:val="auto"/>
                <w:sz w:val="32"/>
                <w:szCs w:val="32"/>
              </w:rPr>
              <w:t>供应商资格要求</w:t>
            </w:r>
          </w:p>
        </w:tc>
        <w:tc>
          <w:tcPr>
            <w:tcW w:w="1519" w:type="dxa"/>
            <w:vAlign w:val="center"/>
          </w:tcPr>
          <w:p w14:paraId="74952C6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rPr>
              <w:t>预算金额(元)</w:t>
            </w:r>
          </w:p>
        </w:tc>
      </w:tr>
      <w:tr w14:paraId="2B26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34CFB844">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6A1ADC7A">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rPr>
            </w:pPr>
          </w:p>
          <w:p w14:paraId="0F701298">
            <w:pPr>
              <w:keepNext w:val="0"/>
              <w:keepLines w:val="0"/>
              <w:suppressLineNumbers w:val="0"/>
              <w:adjustRightInd w:val="0"/>
              <w:snapToGrid w:val="0"/>
              <w:spacing w:before="0" w:beforeAutospacing="0" w:after="0" w:afterAutospacing="0" w:line="520" w:lineRule="exact"/>
              <w:ind w:left="0" w:right="0"/>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海南卫生健康职业学院2026年消防设施维护保养项目</w:t>
            </w:r>
          </w:p>
          <w:p w14:paraId="12B329D4">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rPr>
            </w:pPr>
          </w:p>
        </w:tc>
        <w:tc>
          <w:tcPr>
            <w:tcW w:w="7135" w:type="dxa"/>
            <w:vAlign w:val="center"/>
          </w:tcPr>
          <w:p w14:paraId="52C378FA">
            <w:pPr>
              <w:pStyle w:val="31"/>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default" w:ascii="仿宋" w:hAnsi="仿宋" w:eastAsia="仿宋" w:cs="仿宋"/>
                <w:color w:val="auto"/>
                <w:kern w:val="0"/>
                <w:sz w:val="32"/>
                <w:szCs w:val="32"/>
              </w:rPr>
            </w:pPr>
            <w:r>
              <w:rPr>
                <w:rFonts w:hint="default" w:ascii="仿宋" w:hAnsi="仿宋" w:eastAsia="仿宋" w:cs="仿宋"/>
                <w:bCs w:val="0"/>
                <w:color w:val="auto"/>
                <w:kern w:val="0"/>
                <w:sz w:val="32"/>
                <w:szCs w:val="32"/>
                <w:lang w:val="en-US" w:eastAsia="zh-CN" w:bidi="ar-SA"/>
              </w:rPr>
              <w:t>1.</w:t>
            </w:r>
            <w:r>
              <w:rPr>
                <w:rFonts w:hint="eastAsia" w:ascii="仿宋" w:hAnsi="仿宋" w:eastAsia="仿宋" w:cs="仿宋"/>
                <w:color w:val="auto"/>
                <w:kern w:val="0"/>
                <w:sz w:val="32"/>
                <w:szCs w:val="32"/>
              </w:rPr>
              <w:t>符合《中华人民共和国政府采购法》第二十二条规定，在中国境内注册的具有独立法人资格或个体户（提供营业执照）。</w:t>
            </w:r>
          </w:p>
          <w:p w14:paraId="0A77BB5C">
            <w:pPr>
              <w:pStyle w:val="31"/>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bCs w:val="0"/>
                <w:color w:val="auto"/>
                <w:kern w:val="0"/>
                <w:sz w:val="32"/>
                <w:szCs w:val="32"/>
                <w:lang w:val="en-US" w:eastAsia="zh-CN" w:bidi="ar-SA"/>
              </w:rPr>
              <w:t>2.</w:t>
            </w:r>
            <w:r>
              <w:rPr>
                <w:rFonts w:hint="eastAsia" w:ascii="仿宋" w:hAnsi="仿宋" w:eastAsia="仿宋" w:cs="仿宋"/>
                <w:color w:val="auto"/>
                <w:kern w:val="0"/>
                <w:sz w:val="32"/>
                <w:szCs w:val="32"/>
              </w:rPr>
              <w:t>供应商必须已在“社会消防技术服务信息系统”中备案，且服务类型包含“消防设施维护保养检测”（提供系统备案信息截图并加盖公章）。</w:t>
            </w:r>
          </w:p>
          <w:p w14:paraId="05D68E98">
            <w:pPr>
              <w:pStyle w:val="31"/>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default" w:ascii="仿宋" w:hAnsi="仿宋" w:eastAsia="仿宋" w:cs="仿宋"/>
                <w:color w:val="auto"/>
                <w:kern w:val="0"/>
                <w:sz w:val="32"/>
                <w:szCs w:val="32"/>
              </w:rPr>
            </w:pPr>
            <w:r>
              <w:rPr>
                <w:rFonts w:hint="default" w:ascii="仿宋" w:hAnsi="仿宋" w:eastAsia="仿宋" w:cs="仿宋"/>
                <w:bCs w:val="0"/>
                <w:color w:val="auto"/>
                <w:kern w:val="0"/>
                <w:sz w:val="32"/>
                <w:szCs w:val="32"/>
                <w:lang w:val="en-US" w:eastAsia="zh-CN" w:bidi="ar-SA"/>
              </w:rPr>
              <w:t>3.</w:t>
            </w:r>
            <w:r>
              <w:rPr>
                <w:rFonts w:hint="eastAsia" w:ascii="仿宋" w:hAnsi="仿宋" w:eastAsia="仿宋" w:cs="仿宋"/>
                <w:color w:val="auto"/>
                <w:kern w:val="0"/>
                <w:sz w:val="32"/>
                <w:szCs w:val="32"/>
              </w:rPr>
              <w:t>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51FE895A">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shd w:val="clear" w:color="auto" w:fill="FFFFFF"/>
              </w:rPr>
              <w:t>加盖公章</w:t>
            </w:r>
            <w:r>
              <w:rPr>
                <w:rFonts w:hint="eastAsia" w:ascii="仿宋" w:hAnsi="仿宋" w:eastAsia="仿宋" w:cs="仿宋"/>
                <w:color w:val="auto"/>
                <w:kern w:val="0"/>
                <w:sz w:val="32"/>
                <w:szCs w:val="32"/>
              </w:rPr>
              <w:t>）。</w:t>
            </w:r>
          </w:p>
          <w:p w14:paraId="7D48CF14">
            <w:pPr>
              <w:pStyle w:val="31"/>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.本项目不接受联合体参与报价，成交后不允许转包，提交承诺函。</w:t>
            </w:r>
          </w:p>
        </w:tc>
        <w:tc>
          <w:tcPr>
            <w:tcW w:w="1519" w:type="dxa"/>
            <w:vAlign w:val="center"/>
          </w:tcPr>
          <w:p w14:paraId="02AB0502">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rPr>
            </w:pP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000.00元</w:t>
            </w:r>
          </w:p>
        </w:tc>
      </w:tr>
    </w:tbl>
    <w:p w14:paraId="7022E2E5">
      <w:pPr>
        <w:bidi w:val="0"/>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38306FB2">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四、投标人须知</w:t>
      </w:r>
    </w:p>
    <w:p w14:paraId="63C8337E">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16</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51C9EC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B1324B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5D10BBD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2B98880B">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 xml:space="preserve"> 00 </w:t>
      </w:r>
      <w:r>
        <w:rPr>
          <w:rFonts w:hint="eastAsia" w:ascii="仿宋" w:hAnsi="仿宋" w:eastAsia="仿宋" w:cs="仿宋"/>
          <w:color w:val="auto"/>
          <w:sz w:val="32"/>
          <w:szCs w:val="32"/>
          <w:highlight w:val="none"/>
        </w:rPr>
        <w:t>分</w:t>
      </w:r>
      <w:bookmarkStart w:id="112" w:name="_GoBack"/>
      <w:bookmarkEnd w:id="112"/>
      <w:r>
        <w:rPr>
          <w:rFonts w:hint="eastAsia" w:ascii="仿宋" w:hAnsi="仿宋" w:eastAsia="仿宋" w:cs="仿宋"/>
          <w:color w:val="auto"/>
          <w:sz w:val="32"/>
          <w:szCs w:val="32"/>
          <w:highlight w:val="none"/>
        </w:rPr>
        <w:t>前（北京时间），逾期未提交报价文件者视为自动放弃本项目报价资格。</w:t>
      </w:r>
    </w:p>
    <w:p w14:paraId="3E54A7AA">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7F1F041">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04DB03B8">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27</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分前（北京时间）；</w:t>
      </w:r>
    </w:p>
    <w:p w14:paraId="56725200">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758D976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6.报价要求及成交原则：</w:t>
      </w:r>
    </w:p>
    <w:p w14:paraId="562B6CD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6F9BC33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成交原则：在符合本项目采购需求、质量和服务的前提下，综合得分最高的供应商为第一成交候选供应商</w:t>
      </w:r>
      <w:r>
        <w:rPr>
          <w:rFonts w:hint="eastAsia" w:ascii="仿宋" w:hAnsi="仿宋" w:eastAsia="仿宋" w:cs="仿宋"/>
          <w:sz w:val="32"/>
          <w:szCs w:val="32"/>
          <w:lang w:eastAsia="zh-CN"/>
        </w:rPr>
        <w:t>；</w:t>
      </w:r>
      <w:r>
        <w:rPr>
          <w:rFonts w:hint="eastAsia" w:ascii="仿宋" w:hAnsi="仿宋" w:eastAsia="仿宋" w:cs="仿宋"/>
          <w:sz w:val="32"/>
          <w:szCs w:val="32"/>
        </w:rPr>
        <w:t>本项目允许现场二次报价，供应商的二次报价不得高于首次报价；若供应商未提交二次报价，则以首次报价作为最终报价</w:t>
      </w:r>
      <w:r>
        <w:rPr>
          <w:rFonts w:hint="eastAsia" w:ascii="仿宋" w:hAnsi="仿宋" w:eastAsia="仿宋" w:cs="仿宋"/>
          <w:sz w:val="32"/>
          <w:szCs w:val="32"/>
          <w:lang w:eastAsia="zh-CN"/>
        </w:rPr>
        <w:t>；</w:t>
      </w:r>
      <w:r>
        <w:rPr>
          <w:rFonts w:hint="eastAsia" w:ascii="仿宋" w:hAnsi="仿宋" w:eastAsia="仿宋" w:cs="仿宋"/>
          <w:sz w:val="32"/>
          <w:szCs w:val="32"/>
        </w:rPr>
        <w:t>供应商的最终报价及相关服务承诺一经甲方认可，即成为成交合同的固定价款及核心履约条款，双方不得擅自变更。中标结果请关注学校官方网站。</w:t>
      </w:r>
    </w:p>
    <w:p w14:paraId="242E7946">
      <w:pPr>
        <w:adjustRightInd w:val="0"/>
        <w:snapToGrid w:val="0"/>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6.3</w:t>
      </w:r>
      <w:r>
        <w:rPr>
          <w:rFonts w:hint="eastAsia" w:ascii="仿宋" w:hAnsi="仿宋" w:eastAsia="仿宋" w:cs="仿宋"/>
          <w:sz w:val="32"/>
          <w:szCs w:val="32"/>
        </w:rPr>
        <w:t>若成交供应商在中标公告发布后，无正当理由放弃履行合同、未按规定时间签订合同或存在其他导致无法履约的情形，采购方有权取消其中标资格。届时，将按</w:t>
      </w:r>
      <w:r>
        <w:rPr>
          <w:rFonts w:hint="eastAsia" w:ascii="仿宋" w:hAnsi="仿宋" w:eastAsia="仿宋" w:cs="仿宋"/>
          <w:sz w:val="32"/>
          <w:szCs w:val="32"/>
          <w:lang w:eastAsia="zh-CN"/>
        </w:rPr>
        <w:t>中标</w:t>
      </w:r>
      <w:r>
        <w:rPr>
          <w:rFonts w:hint="eastAsia" w:ascii="仿宋" w:hAnsi="仿宋" w:eastAsia="仿宋" w:cs="仿宋"/>
          <w:sz w:val="32"/>
          <w:szCs w:val="32"/>
        </w:rPr>
        <w:t>顺序，由排名第二的候选供应商替补成为成交供应商（需满足本项目全部采购需求、质量及服务要求）；若排名第二的候选供应商同样无法履约，采购方可依次顺延替补或重新组织采购，具体按相关法律法规及</w:t>
      </w:r>
      <w:r>
        <w:rPr>
          <w:rFonts w:hint="eastAsia" w:ascii="仿宋" w:hAnsi="仿宋" w:eastAsia="仿宋" w:cs="仿宋"/>
          <w:sz w:val="32"/>
          <w:szCs w:val="32"/>
          <w:lang w:eastAsia="zh-CN"/>
        </w:rPr>
        <w:t>学院要求执行。</w:t>
      </w:r>
    </w:p>
    <w:p w14:paraId="7214341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w:t>
      </w:r>
      <w:r>
        <w:rPr>
          <w:rFonts w:hint="eastAsia" w:ascii="仿宋" w:hAnsi="仿宋" w:eastAsia="仿宋" w:cs="仿宋"/>
          <w:sz w:val="32"/>
          <w:szCs w:val="32"/>
        </w:rPr>
        <w:t>供应商如对本项目报价，即不可撤回。否则，该供应商在今后一年内不得参与本单位的采购活动。</w:t>
      </w:r>
    </w:p>
    <w:p w14:paraId="1BB832D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7.报价文件编制要求：</w:t>
      </w:r>
    </w:p>
    <w:p w14:paraId="742F364B">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7.1 本项目相关的资质证明材料；</w:t>
      </w:r>
    </w:p>
    <w:p w14:paraId="7EB04429">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7E0DD312">
      <w:pPr>
        <w:adjustRightInd w:val="0"/>
        <w:snapToGrid w:val="0"/>
        <w:spacing w:line="560" w:lineRule="exact"/>
        <w:ind w:firstLine="640" w:firstLineChars="200"/>
        <w:rPr>
          <w:rFonts w:ascii="仿宋" w:hAnsi="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4BCC91E6">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660ACB04">
      <w:pPr>
        <w:adjustRightInd w:val="0"/>
        <w:snapToGrid w:val="0"/>
        <w:spacing w:line="540" w:lineRule="exact"/>
        <w:ind w:firstLine="640" w:firstLineChars="200"/>
        <w:rPr>
          <w:rFonts w:ascii="仿宋" w:hAnsi="仿宋" w:eastAsia="仿宋" w:cs="仿宋"/>
          <w:sz w:val="32"/>
          <w:szCs w:val="32"/>
        </w:rPr>
      </w:pPr>
      <w:r>
        <w:rPr>
          <w:rFonts w:hint="eastAsia" w:ascii="黑体" w:hAnsi="黑体" w:eastAsia="黑体" w:cs="黑体"/>
          <w:sz w:val="32"/>
          <w:szCs w:val="32"/>
        </w:rPr>
        <w:t xml:space="preserve">五、联系方式 </w:t>
      </w:r>
      <w:r>
        <w:rPr>
          <w:rFonts w:hint="eastAsia" w:ascii="仿宋" w:hAnsi="仿宋" w:eastAsia="仿宋" w:cs="仿宋"/>
          <w:sz w:val="32"/>
          <w:szCs w:val="32"/>
        </w:rPr>
        <w:t xml:space="preserve">  </w:t>
      </w:r>
    </w:p>
    <w:p w14:paraId="5C3CBFF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391E90BA">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电话：0898-68642247、0898-68662169   </w:t>
      </w:r>
    </w:p>
    <w:p w14:paraId="5EA174FC">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邮箱：hnwjy0898@163.com</w:t>
      </w:r>
    </w:p>
    <w:p w14:paraId="78488A92">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20F9C528">
      <w:pPr>
        <w:rPr>
          <w:rFonts w:ascii="仿宋" w:hAnsi="仿宋" w:eastAsia="仿宋" w:cs="仿宋"/>
          <w:sz w:val="44"/>
          <w:szCs w:val="44"/>
        </w:rPr>
      </w:pPr>
      <w:bookmarkStart w:id="14" w:name="_Toc356491306"/>
      <w:r>
        <w:rPr>
          <w:rFonts w:hint="eastAsia" w:ascii="仿宋" w:hAnsi="仿宋" w:eastAsia="仿宋" w:cs="仿宋"/>
        </w:rPr>
        <w:br w:type="page"/>
      </w:r>
      <w:bookmarkStart w:id="15" w:name="_Toc29613"/>
      <w:bookmarkStart w:id="16" w:name="_Toc40089789"/>
    </w:p>
    <w:p w14:paraId="2BDAAC9A">
      <w:pPr>
        <w:pStyle w:val="2"/>
        <w:adjustRightInd w:val="0"/>
        <w:snapToGrid w:val="0"/>
        <w:spacing w:line="560" w:lineRule="exact"/>
        <w:rPr>
          <w:rFonts w:ascii="仿宋" w:hAnsi="仿宋" w:eastAsia="仿宋" w:cs="仿宋"/>
          <w:sz w:val="44"/>
        </w:rPr>
      </w:pPr>
      <w:bookmarkStart w:id="17" w:name="_Toc22920"/>
      <w:r>
        <w:rPr>
          <w:rFonts w:hint="eastAsia" w:ascii="仿宋" w:hAnsi="仿宋" w:eastAsia="仿宋" w:cs="仿宋"/>
          <w:sz w:val="44"/>
        </w:rPr>
        <w:t>第二部分 供应商须知</w:t>
      </w:r>
      <w:bookmarkEnd w:id="17"/>
    </w:p>
    <w:p w14:paraId="3052C0AF">
      <w:pPr>
        <w:adjustRightInd w:val="0"/>
        <w:snapToGrid w:val="0"/>
        <w:spacing w:line="560" w:lineRule="exact"/>
        <w:ind w:firstLine="640" w:firstLineChars="200"/>
        <w:rPr>
          <w:rFonts w:ascii="仿宋" w:hAnsi="仿宋" w:eastAsia="仿宋" w:cs="仿宋"/>
          <w:sz w:val="32"/>
          <w:szCs w:val="32"/>
        </w:rPr>
      </w:pPr>
      <w:bookmarkStart w:id="18" w:name="_Toc325620714"/>
      <w:bookmarkStart w:id="19" w:name="_Toc29040"/>
      <w:bookmarkStart w:id="20" w:name="_Toc332979555"/>
      <w:r>
        <w:rPr>
          <w:rFonts w:hint="eastAsia" w:ascii="仿宋" w:hAnsi="仿宋" w:eastAsia="仿宋" w:cs="仿宋"/>
          <w:sz w:val="32"/>
          <w:szCs w:val="32"/>
        </w:rPr>
        <w:t>一、开标</w:t>
      </w:r>
      <w:bookmarkEnd w:id="18"/>
      <w:bookmarkEnd w:id="19"/>
      <w:bookmarkEnd w:id="20"/>
    </w:p>
    <w:p w14:paraId="5A36D76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1.按照磋商文件规定的时间、地点开标。开标由采购人主持，供应商和有关方面的代表参加。供应商法定代表人或其授权代理人应参加并签名报到以证明其出席。</w:t>
      </w:r>
    </w:p>
    <w:p w14:paraId="0241185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5BE1D47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3.工作人员当众拆封，宣读供应商名称、投标价格和响应文件的其他主要内容。采购人在磋商文件要求提交响应文件的截止时间前收到的所有响应文件，开标时当众予以拆封、宣读。</w:t>
      </w:r>
    </w:p>
    <w:p w14:paraId="03A1508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06C06F8D">
      <w:pPr>
        <w:adjustRightInd w:val="0"/>
        <w:snapToGrid w:val="0"/>
        <w:spacing w:line="560" w:lineRule="exact"/>
        <w:ind w:firstLine="640" w:firstLineChars="200"/>
        <w:rPr>
          <w:rFonts w:ascii="仿宋" w:hAnsi="仿宋" w:eastAsia="仿宋" w:cs="仿宋"/>
          <w:sz w:val="32"/>
          <w:szCs w:val="32"/>
        </w:rPr>
      </w:pPr>
      <w:bookmarkStart w:id="21" w:name="_Toc325620715"/>
      <w:bookmarkStart w:id="22" w:name="_Toc27176"/>
      <w:bookmarkStart w:id="23" w:name="_Toc332979556"/>
      <w:r>
        <w:rPr>
          <w:rFonts w:hint="eastAsia" w:ascii="仿宋" w:hAnsi="仿宋" w:eastAsia="仿宋" w:cs="仿宋"/>
          <w:sz w:val="32"/>
          <w:szCs w:val="32"/>
        </w:rPr>
        <w:t>二、</w:t>
      </w:r>
      <w:bookmarkEnd w:id="21"/>
      <w:bookmarkEnd w:id="22"/>
      <w:bookmarkEnd w:id="23"/>
      <w:r>
        <w:rPr>
          <w:rFonts w:hint="eastAsia" w:ascii="仿宋" w:hAnsi="仿宋" w:eastAsia="仿宋" w:cs="仿宋"/>
          <w:sz w:val="32"/>
          <w:szCs w:val="32"/>
        </w:rPr>
        <w:t>磋商小组</w:t>
      </w:r>
    </w:p>
    <w:p w14:paraId="3B4BD7E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本项目将根据项目特点组成磋商小组，其成员由学校推荐专家、采购人代表、法务等组成，磋商小组负责对响应文件进行审查、质疑、评审，推荐成交候选供应商。</w:t>
      </w:r>
    </w:p>
    <w:p w14:paraId="72F6C31A">
      <w:pPr>
        <w:adjustRightInd w:val="0"/>
        <w:snapToGrid w:val="0"/>
        <w:spacing w:line="560" w:lineRule="exact"/>
        <w:ind w:firstLine="640" w:firstLineChars="200"/>
        <w:rPr>
          <w:rFonts w:ascii="仿宋" w:hAnsi="仿宋" w:eastAsia="仿宋" w:cs="仿宋"/>
          <w:sz w:val="32"/>
          <w:szCs w:val="32"/>
        </w:rPr>
      </w:pPr>
      <w:bookmarkStart w:id="24" w:name="_Toc332979557"/>
      <w:bookmarkStart w:id="25" w:name="_Toc325620716"/>
      <w:bookmarkStart w:id="26" w:name="_Toc27961"/>
      <w:r>
        <w:rPr>
          <w:rFonts w:hint="eastAsia" w:ascii="仿宋" w:hAnsi="仿宋" w:eastAsia="仿宋" w:cs="仿宋"/>
          <w:sz w:val="32"/>
          <w:szCs w:val="32"/>
        </w:rPr>
        <w:t>三、评审原则</w:t>
      </w:r>
      <w:bookmarkEnd w:id="24"/>
      <w:bookmarkEnd w:id="25"/>
      <w:bookmarkEnd w:id="26"/>
    </w:p>
    <w:p w14:paraId="68C8D01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“公平、公正、择优、效益”为本次招标的基本原则，磋商小组按照这一原则的要求，公正、平等地对待各供应商。同时，在评审过程中恪守以下原则：</w:t>
      </w:r>
    </w:p>
    <w:p w14:paraId="274A918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1.客观性原则：磋商小组将严格按照磋商文件要求的内容，对供应商的响应文件进行认真评审；磋商小组对响应文件的评审仅依据响应文件本身，而不依靠响应文件以外的任何因素；</w:t>
      </w:r>
    </w:p>
    <w:p w14:paraId="6F8AF4E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2.统一性原则：磋商小组将按照统一的原则和方法，对各供应商的响应文件进行评审；</w:t>
      </w:r>
    </w:p>
    <w:p w14:paraId="3F51FC1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3.独立性原则：评标工作在磋商小组内部独立进行，不受外界任何因素的干扰和影响，磋商小组成员对出具的专家意见承担个人责任；</w:t>
      </w:r>
    </w:p>
    <w:p w14:paraId="4290ADF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4.保密性原则：磋商小组成员及有关工作人员将保守供应商的商业秘密；</w:t>
      </w:r>
    </w:p>
    <w:p w14:paraId="5DC3D3E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5.综合性原则：磋商小组将综合分析评审供应商的各项指标，而不以单项指标的优劣评定中标人；</w:t>
      </w:r>
    </w:p>
    <w:p w14:paraId="60A44C89">
      <w:pPr>
        <w:adjustRightInd w:val="0"/>
        <w:snapToGrid w:val="0"/>
        <w:spacing w:line="560" w:lineRule="exact"/>
        <w:ind w:firstLine="640" w:firstLineChars="200"/>
        <w:rPr>
          <w:rFonts w:ascii="仿宋" w:hAnsi="仿宋" w:eastAsia="仿宋" w:cs="仿宋"/>
          <w:sz w:val="32"/>
          <w:szCs w:val="32"/>
        </w:rPr>
      </w:pPr>
      <w:bookmarkStart w:id="27" w:name="_Toc332979558"/>
      <w:bookmarkStart w:id="28" w:name="_Toc325620717"/>
      <w:bookmarkStart w:id="29" w:name="_Toc9800"/>
      <w:r>
        <w:rPr>
          <w:rFonts w:hint="eastAsia" w:ascii="仿宋" w:hAnsi="仿宋" w:eastAsia="仿宋" w:cs="仿宋"/>
          <w:sz w:val="32"/>
          <w:szCs w:val="32"/>
        </w:rPr>
        <w:t>四、</w:t>
      </w:r>
      <w:bookmarkEnd w:id="27"/>
      <w:bookmarkEnd w:id="28"/>
      <w:bookmarkEnd w:id="29"/>
      <w:r>
        <w:rPr>
          <w:rFonts w:hint="eastAsia" w:ascii="仿宋" w:hAnsi="仿宋" w:eastAsia="仿宋" w:cs="仿宋"/>
          <w:sz w:val="32"/>
          <w:szCs w:val="32"/>
        </w:rPr>
        <w:t>磋商程序</w:t>
      </w:r>
    </w:p>
    <w:p w14:paraId="42A10C16">
      <w:pPr>
        <w:adjustRightInd w:val="0"/>
        <w:snapToGrid w:val="0"/>
        <w:spacing w:line="560" w:lineRule="exact"/>
        <w:ind w:firstLine="640" w:firstLineChars="200"/>
        <w:rPr>
          <w:rFonts w:ascii="仿宋" w:hAnsi="仿宋" w:eastAsia="仿宋" w:cs="仿宋"/>
          <w:sz w:val="32"/>
          <w:szCs w:val="32"/>
        </w:rPr>
      </w:pPr>
      <w:bookmarkStart w:id="30" w:name="_Toc325620718"/>
      <w:r>
        <w:rPr>
          <w:rFonts w:hint="eastAsia" w:ascii="仿宋" w:hAnsi="仿宋" w:eastAsia="仿宋" w:cs="仿宋"/>
          <w:sz w:val="32"/>
          <w:szCs w:val="32"/>
        </w:rPr>
        <w:t>1.公开内容：采购人将对所有参与磋商的供应商的资料内容进行公开唱标（不包括报价）。</w:t>
      </w:r>
    </w:p>
    <w:p w14:paraId="0E8DF57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308C862D">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0DED9CA3">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（2）供应商未按磋商文件要求装订的；</w:t>
      </w:r>
    </w:p>
    <w:p w14:paraId="38807909">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（3）在整个磋商过程中，供应商有企图影响采购结果公正性的任何活动；</w:t>
      </w:r>
    </w:p>
    <w:p w14:paraId="2B3D266B">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（4）供应商以任何方式诋毁其他供应商；</w:t>
      </w:r>
    </w:p>
    <w:p w14:paraId="3B339FF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（5）供应商串通报价；</w:t>
      </w:r>
    </w:p>
    <w:p w14:paraId="7E5A3BB1">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28E6ECB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（7）成交供应商不按要求签订合同；</w:t>
      </w:r>
    </w:p>
    <w:p w14:paraId="646421C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（8）提供多个报价方案的；</w:t>
      </w:r>
    </w:p>
    <w:p w14:paraId="1D82FD5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3E54BA34">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（10）法律、法规规定的其他情况。</w:t>
      </w:r>
    </w:p>
    <w:p w14:paraId="0F1919B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资格审查合格供应商按照报名顺序或签到顺序确定磋商顺序。</w:t>
      </w:r>
    </w:p>
    <w:p w14:paraId="13025A5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7B248575">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在报价范围及技术要求不变的前提下，最终报价不得高于初始报价，否则按照无效报价处理。磋商重点：主要针对供应商所投货物性能特点、质量等是否满足采购人的要求进行报价。</w:t>
      </w:r>
    </w:p>
    <w:p w14:paraId="18D56712">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（1）供应商所报货物的性能特点、质量；</w:t>
      </w:r>
    </w:p>
    <w:p w14:paraId="0DE32715">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（2）商务条款的陈述；</w:t>
      </w:r>
    </w:p>
    <w:p w14:paraId="1945B6DF">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（3）专家针对各供应商响应文件对磋商文件的响应情况提问；</w:t>
      </w:r>
    </w:p>
    <w:p w14:paraId="6AD49C98">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磋商结束后，磋商小组要求所有参加报价的供应商在规定的时间内进行最后报价及有关承诺。如果报价过程未对文件做实质性变动，供应商的最后报价不得高于其初始报价。</w:t>
      </w:r>
    </w:p>
    <w:p w14:paraId="266C689E">
      <w:pPr>
        <w:numPr>
          <w:ilvl w:val="0"/>
          <w:numId w:val="3"/>
        </w:num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如出现</w:t>
      </w:r>
      <w:r>
        <w:rPr>
          <w:rFonts w:hint="eastAsia" w:ascii="仿宋" w:hAnsi="仿宋" w:eastAsia="仿宋" w:cs="仿宋"/>
          <w:sz w:val="32"/>
          <w:szCs w:val="32"/>
          <w:lang w:val="en-US" w:eastAsia="zh-CN"/>
        </w:rPr>
        <w:t>投标单位不足三家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项目流标，为了项目能够顺利进行下去，项目有两家单位的投标符合要求，招标项目仍按计划继续进行。</w:t>
      </w:r>
    </w:p>
    <w:p w14:paraId="3E858830">
      <w:pPr>
        <w:numPr>
          <w:ilvl w:val="0"/>
          <w:numId w:val="0"/>
        </w:num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）禁止供应商相互串通报价：</w:t>
      </w:r>
    </w:p>
    <w:p w14:paraId="19456D77">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有下列情形之一的，属于供应商相互串通报价：</w:t>
      </w:r>
    </w:p>
    <w:p w14:paraId="51F1510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5175F29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2）供应商之间约定成交供应商；</w:t>
      </w:r>
    </w:p>
    <w:p w14:paraId="635ECB2A">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2F09E3D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25CB7B2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0B8DD8A8">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）有下列情形之一的，视为供应商相互串通报价：</w:t>
      </w:r>
    </w:p>
    <w:p w14:paraId="02FCE05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13112F2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43A994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36E29CC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0D60F26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5）不同供应商的响应文件相互混装；</w:t>
      </w:r>
    </w:p>
    <w:p w14:paraId="3940649E">
      <w:pPr>
        <w:adjustRightInd w:val="0"/>
        <w:snapToGrid w:val="0"/>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）弄虚作假的行为：</w:t>
      </w:r>
    </w:p>
    <w:p w14:paraId="0F48754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591AE485">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以其他方式弄虚作假的行为：</w:t>
      </w:r>
    </w:p>
    <w:p w14:paraId="129BA0D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1）使用伪造、变造的许可证件；</w:t>
      </w:r>
    </w:p>
    <w:p w14:paraId="75DDA07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2）提供虚假的财务状况或者业绩；</w:t>
      </w:r>
    </w:p>
    <w:p w14:paraId="0FAA3B2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463F148D">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4）提供虚假的信用状况；</w:t>
      </w:r>
    </w:p>
    <w:p w14:paraId="346BC78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5）其他弄虚作假的行为。</w:t>
      </w:r>
    </w:p>
    <w:p w14:paraId="3021FDA6">
      <w:pPr>
        <w:adjustRightInd w:val="0"/>
        <w:snapToGrid w:val="0"/>
        <w:spacing w:line="560" w:lineRule="exact"/>
        <w:ind w:firstLine="640" w:firstLineChars="200"/>
        <w:rPr>
          <w:rFonts w:ascii="仿宋" w:hAnsi="仿宋" w:eastAsia="仿宋" w:cs="仿宋"/>
          <w:sz w:val="32"/>
          <w:szCs w:val="32"/>
        </w:rPr>
      </w:pPr>
      <w:bookmarkStart w:id="31" w:name="_Toc22147"/>
      <w:bookmarkStart w:id="32" w:name="_Toc332979559"/>
      <w:r>
        <w:rPr>
          <w:rFonts w:hint="eastAsia" w:ascii="仿宋" w:hAnsi="仿宋" w:eastAsia="仿宋" w:cs="仿宋"/>
          <w:sz w:val="32"/>
          <w:szCs w:val="32"/>
        </w:rPr>
        <w:t>五、废标</w:t>
      </w:r>
      <w:bookmarkEnd w:id="30"/>
      <w:bookmarkEnd w:id="31"/>
      <w:bookmarkEnd w:id="32"/>
    </w:p>
    <w:p w14:paraId="4591648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在招标采购中，出现下列情形之一的，应予废标：</w:t>
      </w:r>
    </w:p>
    <w:p w14:paraId="10F9B58E">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1.符合专业条件的供应商或者对磋商文件作实质响应的供应商不足三家的；</w:t>
      </w:r>
    </w:p>
    <w:p w14:paraId="158AD304">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2.出现影响采购公正的违法、违规行为的；</w:t>
      </w:r>
    </w:p>
    <w:p w14:paraId="078AA1C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563C3DA9">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4.因重大变故，采购任务取消的；</w:t>
      </w:r>
    </w:p>
    <w:p w14:paraId="3B249A5E">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1EEF2DF0">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5F734FC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772E4E1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8.法律、法规规定的其他情况。</w:t>
      </w:r>
    </w:p>
    <w:p w14:paraId="253E7C51">
      <w:pPr>
        <w:adjustRightInd w:val="0"/>
        <w:snapToGrid w:val="0"/>
        <w:spacing w:line="560" w:lineRule="exact"/>
        <w:ind w:firstLine="640" w:firstLineChars="200"/>
        <w:rPr>
          <w:rFonts w:ascii="仿宋" w:hAnsi="仿宋" w:eastAsia="仿宋" w:cs="仿宋"/>
          <w:sz w:val="32"/>
          <w:szCs w:val="32"/>
        </w:rPr>
      </w:pPr>
      <w:bookmarkStart w:id="33" w:name="_Toc325620719"/>
      <w:bookmarkStart w:id="34" w:name="_Toc3341"/>
      <w:bookmarkStart w:id="35" w:name="_Toc332979560"/>
      <w:r>
        <w:rPr>
          <w:rFonts w:hint="eastAsia" w:ascii="仿宋" w:hAnsi="仿宋" w:eastAsia="仿宋" w:cs="仿宋"/>
          <w:sz w:val="32"/>
          <w:szCs w:val="32"/>
        </w:rPr>
        <w:t>六、中标通知书</w:t>
      </w:r>
      <w:bookmarkEnd w:id="33"/>
      <w:bookmarkEnd w:id="34"/>
      <w:bookmarkEnd w:id="35"/>
    </w:p>
    <w:p w14:paraId="73657CE2">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316F5E4B">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1479D73C">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3.磋商文件及其补充、中标人的报价文件及澄清文件等，均为签订合同的依据。</w:t>
      </w:r>
    </w:p>
    <w:p w14:paraId="04521DD4">
      <w:pPr>
        <w:adjustRightInd w:val="0"/>
        <w:snapToGrid w:val="0"/>
        <w:spacing w:line="560" w:lineRule="exact"/>
        <w:ind w:firstLine="640" w:firstLineChars="200"/>
        <w:rPr>
          <w:rFonts w:ascii="仿宋" w:hAnsi="仿宋" w:eastAsia="仿宋" w:cs="仿宋"/>
          <w:sz w:val="32"/>
          <w:szCs w:val="32"/>
        </w:rPr>
      </w:pPr>
      <w:bookmarkStart w:id="36" w:name="_Toc332979561"/>
      <w:bookmarkStart w:id="37" w:name="_Toc18290"/>
      <w:r>
        <w:rPr>
          <w:rFonts w:hint="eastAsia" w:ascii="仿宋" w:hAnsi="仿宋" w:eastAsia="仿宋" w:cs="仿宋"/>
          <w:sz w:val="32"/>
          <w:szCs w:val="32"/>
        </w:rPr>
        <w:t>七、初步评审</w:t>
      </w:r>
    </w:p>
    <w:p w14:paraId="6D06208F">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3A989D19">
      <w:pPr>
        <w:adjustRightInd w:val="0"/>
        <w:snapToGrid w:val="0"/>
        <w:spacing w:line="560" w:lineRule="exact"/>
        <w:ind w:firstLine="640" w:firstLineChars="200"/>
        <w:rPr>
          <w:rFonts w:hint="eastAsia" w:ascii="仿宋" w:hAnsi="仿宋" w:eastAsia="仿宋" w:cs="仿宋"/>
          <w:sz w:val="32"/>
          <w:szCs w:val="32"/>
        </w:rPr>
      </w:pPr>
    </w:p>
    <w:p w14:paraId="59932633">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八、决标办法</w:t>
      </w:r>
    </w:p>
    <w:p w14:paraId="335B21BA">
      <w:pPr>
        <w:pStyle w:val="13"/>
        <w:spacing w:line="560" w:lineRule="exact"/>
        <w:ind w:firstLine="559"/>
        <w:rPr>
          <w:sz w:val="32"/>
          <w:szCs w:val="32"/>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szCs w:val="32"/>
          <w:lang w:val="en-US" w:eastAsia="zh-CN"/>
        </w:rPr>
        <w:t>1.</w:t>
      </w:r>
      <w:r>
        <w:rPr>
          <w:rFonts w:hint="eastAsia" w:ascii="仿宋" w:hAnsi="仿宋" w:eastAsia="仿宋" w:cs="仿宋"/>
          <w:szCs w:val="32"/>
        </w:rPr>
        <w:t>本项目为磋商项目，由磋商小组采用综合评分法对所有服务商的响应文件进行综合评分，综合得分最高的供应商为第一成交候选供应商，综合得分次高的供应商为第二成交候选供应商，以此类推。</w:t>
      </w:r>
    </w:p>
    <w:p w14:paraId="2D6E6326">
      <w:pPr>
        <w:pStyle w:val="2"/>
        <w:adjustRightInd w:val="0"/>
        <w:snapToGrid w:val="0"/>
        <w:spacing w:line="560" w:lineRule="exact"/>
        <w:jc w:val="center"/>
        <w:rPr>
          <w:rFonts w:ascii="仿宋" w:hAnsi="仿宋" w:eastAsia="仿宋" w:cs="仿宋"/>
          <w:sz w:val="44"/>
        </w:rPr>
      </w:pPr>
      <w:bookmarkStart w:id="38" w:name="_Toc19325"/>
      <w:bookmarkStart w:id="39" w:name="_Toc137754580"/>
      <w:r>
        <w:rPr>
          <w:rFonts w:hint="eastAsia" w:ascii="仿宋" w:hAnsi="仿宋" w:eastAsia="仿宋" w:cs="仿宋"/>
          <w:sz w:val="44"/>
        </w:rPr>
        <w:t>第三部分 评审办法</w:t>
      </w:r>
      <w:bookmarkEnd w:id="38"/>
      <w:bookmarkEnd w:id="39"/>
    </w:p>
    <w:p w14:paraId="06FF5E91">
      <w:pPr>
        <w:rPr>
          <w:sz w:val="24"/>
          <w:szCs w:val="22"/>
        </w:rPr>
      </w:pPr>
    </w:p>
    <w:p w14:paraId="32B9CB4E">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一、初步评审</w:t>
      </w:r>
    </w:p>
    <w:p w14:paraId="5CD9211A">
      <w:pPr>
        <w:adjustRightInd w:val="0"/>
        <w:snapToGrid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2F0B4198">
      <w:pPr>
        <w:widowControl/>
        <w:adjustRightInd w:val="0"/>
        <w:snapToGrid w:val="0"/>
        <w:spacing w:line="560" w:lineRule="exact"/>
        <w:ind w:firstLine="640" w:firstLineChars="200"/>
        <w:jc w:val="left"/>
        <w:rPr>
          <w:rFonts w:ascii="黑体" w:hAnsi="黑体" w:eastAsia="黑体" w:cs="黑体"/>
          <w:bCs w:val="0"/>
          <w:color w:val="000000"/>
          <w:sz w:val="32"/>
          <w:szCs w:val="32"/>
        </w:rPr>
      </w:pPr>
      <w:r>
        <w:rPr>
          <w:rFonts w:hint="eastAsia" w:ascii="黑体" w:hAnsi="黑体" w:eastAsia="黑体" w:cs="黑体"/>
          <w:bCs w:val="0"/>
          <w:color w:val="000000"/>
          <w:sz w:val="32"/>
          <w:szCs w:val="32"/>
        </w:rPr>
        <w:t>二、详细评审</w:t>
      </w:r>
    </w:p>
    <w:p w14:paraId="17BF5DD0">
      <w:pPr>
        <w:pStyle w:val="13"/>
        <w:adjustRightInd w:val="0"/>
        <w:snapToGrid w:val="0"/>
        <w:spacing w:line="560" w:lineRule="exact"/>
        <w:ind w:firstLine="559"/>
        <w:rPr>
          <w:rFonts w:ascii="仿宋" w:hAnsi="仿宋" w:eastAsia="仿宋" w:cs="仿宋"/>
          <w:szCs w:val="32"/>
        </w:rPr>
      </w:pPr>
      <w:r>
        <w:rPr>
          <w:rFonts w:hint="eastAsia" w:ascii="仿宋" w:hAnsi="仿宋" w:eastAsia="仿宋" w:cs="仿宋"/>
          <w:spacing w:val="2"/>
          <w:szCs w:val="32"/>
        </w:rPr>
        <w:t>（一）评标委员会根据评审办法对通过初步评审的响应文件进行详细评</w:t>
      </w:r>
      <w:r>
        <w:rPr>
          <w:rFonts w:hint="eastAsia" w:ascii="仿宋" w:hAnsi="仿宋" w:eastAsia="仿宋" w:cs="仿宋"/>
          <w:spacing w:val="24"/>
          <w:szCs w:val="32"/>
        </w:rPr>
        <w:t xml:space="preserve"> </w:t>
      </w:r>
      <w:r>
        <w:rPr>
          <w:rFonts w:hint="eastAsia" w:ascii="仿宋" w:hAnsi="仿宋" w:eastAsia="仿宋" w:cs="仿宋"/>
          <w:spacing w:val="-2"/>
          <w:szCs w:val="32"/>
        </w:rPr>
        <w:t>审，并进行技术和商务的评审打分。</w:t>
      </w:r>
    </w:p>
    <w:p w14:paraId="0E14D503">
      <w:pPr>
        <w:pStyle w:val="13"/>
        <w:adjustRightInd w:val="0"/>
        <w:snapToGrid w:val="0"/>
        <w:spacing w:line="560" w:lineRule="exact"/>
        <w:ind w:firstLine="632" w:firstLineChars="200"/>
        <w:jc w:val="left"/>
        <w:rPr>
          <w:rFonts w:ascii="仿宋" w:hAnsi="仿宋" w:eastAsia="仿宋" w:cs="仿宋"/>
          <w:spacing w:val="-1"/>
          <w:szCs w:val="32"/>
        </w:rPr>
      </w:pPr>
      <w:r>
        <w:rPr>
          <w:rFonts w:hint="eastAsia" w:ascii="仿宋" w:hAnsi="仿宋" w:eastAsia="仿宋" w:cs="仿宋"/>
          <w:spacing w:val="-2"/>
          <w:szCs w:val="32"/>
        </w:rPr>
        <w:t>（二）技术、商务评分：具体评审的内容详见（附表</w:t>
      </w:r>
      <w:r>
        <w:rPr>
          <w:rFonts w:hint="eastAsia" w:ascii="仿宋" w:hAnsi="仿宋" w:eastAsia="仿宋" w:cs="仿宋"/>
          <w:spacing w:val="-71"/>
          <w:szCs w:val="32"/>
        </w:rPr>
        <w:t xml:space="preserve"> </w:t>
      </w:r>
      <w:r>
        <w:rPr>
          <w:rFonts w:hint="eastAsia" w:ascii="仿宋" w:hAnsi="仿宋" w:eastAsia="仿宋" w:cs="仿宋"/>
          <w:spacing w:val="-1"/>
          <w:szCs w:val="32"/>
        </w:rPr>
        <w:t>2）；</w:t>
      </w:r>
    </w:p>
    <w:p w14:paraId="485FBFDD">
      <w:pPr>
        <w:pStyle w:val="13"/>
        <w:adjustRightInd w:val="0"/>
        <w:snapToGrid w:val="0"/>
        <w:spacing w:line="560" w:lineRule="exact"/>
        <w:ind w:firstLine="380" w:firstLineChars="100"/>
        <w:jc w:val="left"/>
        <w:rPr>
          <w:rFonts w:ascii="仿宋" w:hAnsi="仿宋" w:eastAsia="仿宋" w:cs="仿宋"/>
          <w:szCs w:val="32"/>
        </w:rPr>
      </w:pPr>
      <w:r>
        <w:rPr>
          <w:rFonts w:hint="eastAsia" w:ascii="仿宋" w:hAnsi="仿宋" w:eastAsia="仿宋" w:cs="仿宋"/>
          <w:spacing w:val="30"/>
          <w:szCs w:val="32"/>
        </w:rPr>
        <w:t xml:space="preserve"> </w:t>
      </w:r>
      <w:r>
        <w:rPr>
          <w:rFonts w:hint="eastAsia" w:ascii="仿宋" w:hAnsi="仿宋" w:eastAsia="仿宋" w:cs="仿宋"/>
          <w:spacing w:val="2"/>
          <w:szCs w:val="32"/>
        </w:rPr>
        <w:t>（三）价格分统一采用低价优先法计算，将通过初步评审的所有供应商的投标价格，即满足竞争性磋商文件要求且价格最低的投标价为基准价，</w:t>
      </w:r>
      <w:r>
        <w:rPr>
          <w:rFonts w:hint="eastAsia" w:ascii="仿宋" w:hAnsi="仿宋" w:eastAsia="仿宋" w:cs="仿宋"/>
          <w:spacing w:val="-2"/>
          <w:szCs w:val="32"/>
        </w:rPr>
        <w:t>其价格分为满分。其他供应商的价格分统一按照下列公式计算：</w:t>
      </w:r>
    </w:p>
    <w:p w14:paraId="57B9AD6C">
      <w:pPr>
        <w:adjustRightInd w:val="0"/>
        <w:snapToGrid w:val="0"/>
        <w:spacing w:line="560" w:lineRule="exact"/>
        <w:jc w:val="left"/>
        <w:rPr>
          <w:rFonts w:ascii="仿宋" w:hAnsi="仿宋" w:eastAsia="仿宋" w:cs="仿宋"/>
          <w:b/>
          <w:spacing w:val="35"/>
          <w:w w:val="99"/>
          <w:sz w:val="32"/>
          <w:szCs w:val="32"/>
        </w:rPr>
      </w:pP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967105</wp:posOffset>
                </wp:positionV>
                <wp:extent cx="5772150" cy="801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2150" cy="801370"/>
                        </a:xfrm>
                        <a:prstGeom prst="rect">
                          <a:avLst/>
                        </a:prstGeom>
                        <a:noFill/>
                        <a:ln>
                          <a:noFill/>
                        </a:ln>
                      </wps:spPr>
                      <wps:txbx>
                        <w:txbxContent>
                          <w:p w14:paraId="251ADD2F"/>
                        </w:txbxContent>
                      </wps:txbx>
                      <wps:bodyPr lIns="0" tIns="0" rIns="0" bIns="0" upright="1"/>
                    </wps:wsp>
                  </a:graphicData>
                </a:graphic>
              </wp:anchor>
            </w:drawing>
          </mc:Choice>
          <mc:Fallback>
            <w:pict>
              <v:shape id="_x0000_s1026" o:spid="_x0000_s1026" o:spt="202" type="#_x0000_t202" style="position:absolute;left:0pt;margin-left:70.55pt;margin-top:76.15pt;height:63.1pt;width:454.5pt;mso-position-horizontal-relative:page;z-index:251662336;mso-width-relative:page;mso-height-relative:page;" filled="f" stroked="f" coordsize="21600,21600" o:gfxdata="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kP1BtkAAAAMAQAADwAAAAAAAAABACAAAAAiAAAAZHJzL2Rvd25yZXYueG1sUEsB&#10;AhQAFAAAAAgAh07iQLVVNXW7AQAAcgMAAA4AAAAAAAAAAQAgAAAAKAEAAGRycy9lMm9Eb2MueG1s&#10;UEsFBgAAAAAGAAYAWQEAAFUFAAAAAA==&#10;">
                <v:fill on="f" focussize="0,0"/>
                <v:stroke on="f"/>
                <v:imagedata o:title=""/>
                <o:lock v:ext="edit" aspectratio="f"/>
                <v:textbox inset="0mm,0mm,0mm,0mm">
                  <w:txbxContent>
                    <w:p w14:paraId="251ADD2F"/>
                  </w:txbxContent>
                </v:textbox>
              </v:shape>
            </w:pict>
          </mc:Fallback>
        </mc:AlternateContent>
      </w:r>
      <w:r>
        <w:rPr>
          <w:rFonts w:hint="eastAsia" w:ascii="仿宋" w:hAnsi="仿宋" w:eastAsia="仿宋" w:cs="仿宋"/>
          <w:b/>
          <w:spacing w:val="-1"/>
          <w:sz w:val="32"/>
          <w:szCs w:val="32"/>
        </w:rPr>
        <w:t>磋商报价得分=(基准价／最终报价)×价格权值×100</w:t>
      </w:r>
      <w:r>
        <w:rPr>
          <w:rFonts w:hint="eastAsia" w:ascii="仿宋" w:hAnsi="仿宋" w:eastAsia="仿宋" w:cs="仿宋"/>
          <w:b/>
          <w:spacing w:val="35"/>
          <w:w w:val="99"/>
          <w:sz w:val="32"/>
          <w:szCs w:val="32"/>
        </w:rPr>
        <w:t xml:space="preserve"> </w:t>
      </w:r>
    </w:p>
    <w:p w14:paraId="3DDDC7EC">
      <w:pPr>
        <w:adjustRightInd w:val="0"/>
        <w:snapToGrid w:val="0"/>
        <w:spacing w:line="560" w:lineRule="exact"/>
        <w:ind w:firstLine="632" w:firstLineChars="200"/>
        <w:jc w:val="left"/>
        <w:rPr>
          <w:rFonts w:ascii="黑体" w:hAnsi="黑体" w:eastAsia="黑体" w:cs="黑体"/>
          <w:sz w:val="32"/>
          <w:szCs w:val="32"/>
        </w:rPr>
      </w:pPr>
      <w:r>
        <w:rPr>
          <w:rFonts w:hint="eastAsia" w:ascii="黑体" w:hAnsi="黑体" w:eastAsia="黑体" w:cs="黑体"/>
          <w:spacing w:val="-2"/>
          <w:sz w:val="32"/>
          <w:szCs w:val="32"/>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FC6210F">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18E2171">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评分项目</w:t>
            </w:r>
          </w:p>
        </w:tc>
        <w:tc>
          <w:tcPr>
            <w:tcW w:w="3660" w:type="dxa"/>
            <w:tcBorders>
              <w:top w:val="single" w:color="000000" w:sz="4" w:space="0"/>
              <w:left w:val="single" w:color="000000" w:sz="4" w:space="0"/>
              <w:bottom w:val="single" w:color="000000" w:sz="4" w:space="0"/>
              <w:right w:val="single" w:color="000000" w:sz="4" w:space="0"/>
            </w:tcBorders>
          </w:tcPr>
          <w:p w14:paraId="5AC219AC">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3A795AA5">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2"/>
                <w:sz w:val="32"/>
                <w:szCs w:val="32"/>
              </w:rPr>
              <w:t>价格项</w:t>
            </w:r>
          </w:p>
        </w:tc>
      </w:tr>
      <w:tr w14:paraId="0FC9B1F9">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07583140">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权值</w:t>
            </w:r>
          </w:p>
        </w:tc>
        <w:tc>
          <w:tcPr>
            <w:tcW w:w="3660" w:type="dxa"/>
            <w:tcBorders>
              <w:top w:val="single" w:color="000000" w:sz="4" w:space="0"/>
              <w:left w:val="single" w:color="000000" w:sz="4" w:space="0"/>
              <w:bottom w:val="single" w:color="000000" w:sz="4" w:space="0"/>
              <w:right w:val="single" w:color="000000" w:sz="4" w:space="0"/>
            </w:tcBorders>
          </w:tcPr>
          <w:p w14:paraId="6854A2FD">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z w:val="32"/>
                <w:szCs w:val="32"/>
              </w:rPr>
              <w:t>90%</w:t>
            </w:r>
          </w:p>
        </w:tc>
        <w:tc>
          <w:tcPr>
            <w:tcW w:w="2925" w:type="dxa"/>
            <w:tcBorders>
              <w:top w:val="single" w:color="000000" w:sz="4" w:space="0"/>
              <w:left w:val="single" w:color="000000" w:sz="4" w:space="0"/>
              <w:bottom w:val="single" w:color="000000" w:sz="4" w:space="0"/>
              <w:right w:val="single" w:color="000000" w:sz="4" w:space="0"/>
            </w:tcBorders>
          </w:tcPr>
          <w:p w14:paraId="345AE10A">
            <w:pPr>
              <w:pStyle w:val="43"/>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sz w:val="32"/>
                <w:szCs w:val="32"/>
              </w:rPr>
            </w:pPr>
            <w:r>
              <w:rPr>
                <w:rFonts w:hint="eastAsia" w:ascii="仿宋" w:hAnsi="仿宋" w:eastAsia="仿宋" w:cs="仿宋"/>
                <w:spacing w:val="-1"/>
                <w:sz w:val="32"/>
                <w:szCs w:val="32"/>
              </w:rPr>
              <w:t>10%</w:t>
            </w:r>
          </w:p>
        </w:tc>
      </w:tr>
    </w:tbl>
    <w:p w14:paraId="54B80024">
      <w:pPr>
        <w:pStyle w:val="13"/>
        <w:adjustRightInd w:val="0"/>
        <w:snapToGrid w:val="0"/>
        <w:spacing w:line="560" w:lineRule="exact"/>
        <w:ind w:firstLine="648" w:firstLineChars="200"/>
        <w:rPr>
          <w:rFonts w:ascii="仿宋" w:hAnsi="仿宋" w:eastAsia="仿宋" w:cs="仿宋"/>
          <w:szCs w:val="32"/>
        </w:rPr>
      </w:pPr>
      <w:r>
        <w:rPr>
          <w:rFonts w:hint="eastAsia" w:ascii="黑体" w:hAnsi="黑体" w:eastAsia="黑体" w:cs="黑体"/>
          <w:spacing w:val="2"/>
          <w:szCs w:val="32"/>
        </w:rPr>
        <w:t>四、综合评分及其统计：</w:t>
      </w:r>
      <w:r>
        <w:rPr>
          <w:rFonts w:hint="eastAsia" w:ascii="仿宋" w:hAnsi="仿宋" w:eastAsia="仿宋" w:cs="仿宋"/>
          <w:spacing w:val="2"/>
          <w:szCs w:val="32"/>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spacing w:val="-2"/>
          <w:szCs w:val="32"/>
        </w:rPr>
        <w:t>商，综合得分次高的供应商为第二成交候选供应商，以此类推。</w:t>
      </w:r>
    </w:p>
    <w:p w14:paraId="334AE591">
      <w:pPr>
        <w:spacing w:line="356" w:lineRule="auto"/>
      </w:pPr>
    </w:p>
    <w:p w14:paraId="135BBCE9">
      <w:pPr>
        <w:jc w:val="center"/>
        <w:rPr>
          <w:color w:val="000000"/>
          <w:sz w:val="32"/>
        </w:rPr>
      </w:pPr>
    </w:p>
    <w:p w14:paraId="0F418A60">
      <w:pPr>
        <w:jc w:val="center"/>
        <w:rPr>
          <w:color w:val="000000"/>
          <w:sz w:val="32"/>
        </w:rPr>
      </w:pPr>
    </w:p>
    <w:p w14:paraId="17039B20">
      <w:pPr>
        <w:jc w:val="center"/>
        <w:rPr>
          <w:color w:val="000000"/>
          <w:sz w:val="32"/>
        </w:rPr>
      </w:pPr>
    </w:p>
    <w:p w14:paraId="595CE456">
      <w:pPr>
        <w:jc w:val="center"/>
        <w:rPr>
          <w:color w:val="000000"/>
          <w:sz w:val="32"/>
        </w:rPr>
      </w:pPr>
    </w:p>
    <w:p w14:paraId="726A3B9D">
      <w:pPr>
        <w:jc w:val="center"/>
        <w:rPr>
          <w:color w:val="000000"/>
          <w:sz w:val="32"/>
        </w:rPr>
      </w:pPr>
    </w:p>
    <w:p w14:paraId="565618E8">
      <w:pPr>
        <w:jc w:val="center"/>
        <w:rPr>
          <w:color w:val="000000"/>
          <w:sz w:val="32"/>
        </w:rPr>
      </w:pPr>
    </w:p>
    <w:p w14:paraId="54FC65A5">
      <w:pPr>
        <w:jc w:val="center"/>
        <w:rPr>
          <w:color w:val="000000"/>
          <w:sz w:val="32"/>
        </w:rPr>
      </w:pPr>
    </w:p>
    <w:p w14:paraId="7C039C9F">
      <w:pPr>
        <w:jc w:val="center"/>
        <w:rPr>
          <w:color w:val="000000"/>
          <w:sz w:val="32"/>
        </w:rPr>
      </w:pPr>
    </w:p>
    <w:p w14:paraId="5793D5BF">
      <w:pPr>
        <w:jc w:val="center"/>
        <w:rPr>
          <w:color w:val="000000"/>
          <w:sz w:val="32"/>
        </w:rPr>
      </w:pPr>
    </w:p>
    <w:p w14:paraId="64B66B9A">
      <w:pPr>
        <w:jc w:val="center"/>
        <w:rPr>
          <w:color w:val="000000"/>
          <w:sz w:val="32"/>
        </w:rPr>
      </w:pPr>
    </w:p>
    <w:p w14:paraId="521D5675">
      <w:pPr>
        <w:jc w:val="center"/>
        <w:rPr>
          <w:color w:val="000000"/>
          <w:sz w:val="32"/>
        </w:rPr>
      </w:pPr>
    </w:p>
    <w:p w14:paraId="0E13AED0">
      <w:pPr>
        <w:jc w:val="center"/>
        <w:rPr>
          <w:color w:val="000000"/>
          <w:sz w:val="32"/>
        </w:rPr>
      </w:pPr>
    </w:p>
    <w:p w14:paraId="2F914664">
      <w:pPr>
        <w:jc w:val="center"/>
        <w:rPr>
          <w:color w:val="000000"/>
          <w:sz w:val="32"/>
        </w:rPr>
      </w:pPr>
    </w:p>
    <w:p w14:paraId="2C1833E3">
      <w:pPr>
        <w:jc w:val="center"/>
        <w:rPr>
          <w:color w:val="000000"/>
          <w:sz w:val="32"/>
        </w:rPr>
      </w:pPr>
    </w:p>
    <w:p w14:paraId="7B91ABB6">
      <w:pPr>
        <w:jc w:val="center"/>
        <w:rPr>
          <w:color w:val="000000"/>
          <w:sz w:val="32"/>
        </w:rPr>
      </w:pPr>
    </w:p>
    <w:p w14:paraId="0D0E72BB">
      <w:pPr>
        <w:jc w:val="center"/>
        <w:rPr>
          <w:color w:val="000000"/>
          <w:sz w:val="32"/>
        </w:rPr>
      </w:pPr>
    </w:p>
    <w:p w14:paraId="019572DA">
      <w:pPr>
        <w:jc w:val="center"/>
        <w:rPr>
          <w:color w:val="000000"/>
          <w:sz w:val="32"/>
        </w:rPr>
      </w:pPr>
    </w:p>
    <w:p w14:paraId="0DD93D9E">
      <w:pPr>
        <w:jc w:val="center"/>
        <w:rPr>
          <w:color w:val="000000"/>
          <w:sz w:val="32"/>
        </w:rPr>
      </w:pPr>
    </w:p>
    <w:p w14:paraId="170BBB99">
      <w:pPr>
        <w:jc w:val="center"/>
        <w:rPr>
          <w:color w:val="000000"/>
          <w:sz w:val="32"/>
        </w:rPr>
      </w:pPr>
    </w:p>
    <w:p w14:paraId="0928CCD7">
      <w:pPr>
        <w:jc w:val="center"/>
        <w:rPr>
          <w:color w:val="000000"/>
          <w:sz w:val="32"/>
        </w:rPr>
      </w:pPr>
    </w:p>
    <w:p w14:paraId="7C23CF1A">
      <w:pPr>
        <w:jc w:val="center"/>
        <w:rPr>
          <w:color w:val="000000"/>
          <w:sz w:val="32"/>
        </w:rPr>
      </w:pPr>
    </w:p>
    <w:p w14:paraId="5289E366">
      <w:pPr>
        <w:jc w:val="center"/>
        <w:rPr>
          <w:color w:val="000000"/>
          <w:sz w:val="32"/>
        </w:rPr>
      </w:pPr>
    </w:p>
    <w:p w14:paraId="22183C0A">
      <w:pPr>
        <w:jc w:val="center"/>
        <w:rPr>
          <w:color w:val="000000"/>
          <w:sz w:val="32"/>
        </w:rPr>
      </w:pPr>
    </w:p>
    <w:p w14:paraId="4BD16783">
      <w:pPr>
        <w:jc w:val="center"/>
        <w:rPr>
          <w:color w:val="000000"/>
          <w:sz w:val="32"/>
        </w:rPr>
      </w:pPr>
    </w:p>
    <w:p w14:paraId="2A90B233">
      <w:pPr>
        <w:jc w:val="center"/>
        <w:rPr>
          <w:rFonts w:hint="eastAsia"/>
          <w:color w:val="000000"/>
          <w:sz w:val="32"/>
          <w:lang w:val="en-US" w:eastAsia="zh-CN"/>
        </w:rPr>
      </w:pPr>
    </w:p>
    <w:p w14:paraId="12F138A6">
      <w:pPr>
        <w:jc w:val="center"/>
        <w:rPr>
          <w:rFonts w:hint="eastAsia"/>
          <w:color w:val="000000"/>
          <w:sz w:val="32"/>
          <w:lang w:val="en-US" w:eastAsia="zh-CN"/>
        </w:rPr>
      </w:pPr>
    </w:p>
    <w:p w14:paraId="5A8904FE">
      <w:pPr>
        <w:jc w:val="center"/>
        <w:rPr>
          <w:rFonts w:hint="eastAsia" w:eastAsia="宋体"/>
          <w:color w:val="000000"/>
          <w:sz w:val="32"/>
          <w:lang w:val="en-US" w:eastAsia="zh-CN"/>
        </w:rPr>
      </w:pPr>
    </w:p>
    <w:p w14:paraId="4ED15E05">
      <w:pPr>
        <w:jc w:val="center"/>
        <w:rPr>
          <w:color w:val="000000"/>
          <w:sz w:val="32"/>
        </w:rPr>
      </w:pPr>
    </w:p>
    <w:p w14:paraId="7E973A23">
      <w:pPr>
        <w:jc w:val="center"/>
        <w:rPr>
          <w:color w:val="000000"/>
          <w:sz w:val="32"/>
        </w:rPr>
      </w:pPr>
      <w:r>
        <w:rPr>
          <w:rFonts w:hint="eastAsia"/>
          <w:color w:val="000000"/>
          <w:sz w:val="32"/>
        </w:rPr>
        <w:t>附表1：</w:t>
      </w:r>
      <w:r>
        <w:rPr>
          <w:color w:val="000000"/>
          <w:sz w:val="32"/>
        </w:rPr>
        <w:t>初步审查表</w:t>
      </w:r>
    </w:p>
    <w:p w14:paraId="5CD88839">
      <w:pPr>
        <w:jc w:val="left"/>
        <w:rPr>
          <w:rFonts w:ascii="仿宋" w:hAnsi="仿宋" w:eastAsia="仿宋" w:cs="仿宋"/>
          <w:color w:val="000000"/>
          <w:sz w:val="32"/>
          <w:szCs w:val="32"/>
        </w:rPr>
      </w:pPr>
    </w:p>
    <w:p w14:paraId="675F936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sz w:val="32"/>
          <w:szCs w:val="32"/>
          <w:highlight w:val="none"/>
        </w:rPr>
      </w:pPr>
      <w:r>
        <w:rPr>
          <w:rFonts w:hint="eastAsia" w:ascii="仿宋" w:hAnsi="仿宋" w:eastAsia="仿宋" w:cs="仿宋"/>
          <w:color w:val="000000"/>
          <w:sz w:val="32"/>
          <w:szCs w:val="32"/>
          <w:highlight w:val="none"/>
        </w:rPr>
        <w:t>项目名称：</w:t>
      </w:r>
      <w:r>
        <w:rPr>
          <w:rFonts w:hint="eastAsia" w:ascii="仿宋" w:hAnsi="仿宋" w:eastAsia="仿宋" w:cs="仿宋"/>
          <w:b w:val="0"/>
          <w:bCs/>
          <w:color w:val="auto"/>
          <w:sz w:val="32"/>
          <w:szCs w:val="32"/>
          <w:highlight w:val="none"/>
          <w:lang w:val="en-US" w:eastAsia="zh-CN"/>
        </w:rPr>
        <w:t>海南卫生健康职业学院2026年消防设施维护保养</w:t>
      </w:r>
      <w:r>
        <w:rPr>
          <w:rFonts w:hint="eastAsia" w:ascii="仿宋" w:hAnsi="仿宋" w:eastAsia="仿宋" w:cs="仿宋"/>
          <w:sz w:val="32"/>
          <w:szCs w:val="32"/>
          <w:highlight w:val="none"/>
        </w:rPr>
        <w:t>项目</w:t>
      </w:r>
    </w:p>
    <w:p w14:paraId="04CAF9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编号：HNWJY-FW202</w:t>
      </w:r>
      <w:r>
        <w:rPr>
          <w:rFonts w:hint="eastAsia" w:ascii="仿宋" w:hAnsi="仿宋" w:eastAsia="仿宋" w:cs="仿宋"/>
          <w:sz w:val="32"/>
          <w:szCs w:val="32"/>
          <w:highlight w:val="none"/>
          <w:lang w:val="en-US" w:eastAsia="zh-CN"/>
        </w:rPr>
        <w:t>6002</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1152D9B">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BCB10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642D3B2C">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5BDC05C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7A80A59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05D81A">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32E236F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r>
              <w:rPr>
                <w:rFonts w:hint="eastAsia" w:ascii="仿宋" w:hAnsi="仿宋" w:eastAsia="仿宋" w:cs="仿宋"/>
                <w:color w:val="000000"/>
                <w:sz w:val="32"/>
                <w:szCs w:val="32"/>
              </w:rPr>
              <w:t>服务商3</w:t>
            </w:r>
          </w:p>
        </w:tc>
      </w:tr>
      <w:tr w14:paraId="451E8C93">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1A486A8">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56054092">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3EFA90B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736C0D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8C4D89C">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8DB31A9">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40AD60CB">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CE16579">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3BC18C7">
            <w:pPr>
              <w:keepNext w:val="0"/>
              <w:keepLines w:val="0"/>
              <w:suppressLineNumbers w:val="0"/>
              <w:spacing w:before="0" w:beforeAutospacing="0" w:after="0" w:afterAutospacing="0"/>
              <w:ind w:left="0" w:right="0"/>
              <w:jc w:val="left"/>
              <w:rPr>
                <w:rFonts w:hint="default" w:ascii="仿宋" w:hAnsi="仿宋" w:eastAsia="仿宋" w:cs="仿宋"/>
                <w:color w:val="000000"/>
                <w:sz w:val="32"/>
                <w:szCs w:val="32"/>
              </w:rPr>
            </w:pPr>
            <w:r>
              <w:rPr>
                <w:rFonts w:hint="eastAsia" w:ascii="仿宋" w:hAnsi="仿宋" w:eastAsia="仿宋" w:cs="仿宋"/>
                <w:color w:val="000000"/>
                <w:sz w:val="32"/>
                <w:szCs w:val="32"/>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4E24166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69A53DF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1E1CC993">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55308A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0DB5EED9">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5D368F6">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3</w:t>
            </w:r>
          </w:p>
        </w:tc>
        <w:tc>
          <w:tcPr>
            <w:tcW w:w="2127" w:type="dxa"/>
            <w:tcBorders>
              <w:top w:val="single" w:color="000000" w:sz="4" w:space="0"/>
              <w:left w:val="single" w:color="000000" w:sz="4" w:space="0"/>
              <w:bottom w:val="single" w:color="000000" w:sz="4" w:space="0"/>
              <w:right w:val="single" w:color="000000" w:sz="4" w:space="0"/>
            </w:tcBorders>
          </w:tcPr>
          <w:p w14:paraId="57A4C3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DB8E3EB">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37FEBAC8">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73F8BCF1">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A264BC4">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16E12474">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36990A30">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4</w:t>
            </w:r>
          </w:p>
        </w:tc>
        <w:tc>
          <w:tcPr>
            <w:tcW w:w="2127" w:type="dxa"/>
            <w:tcBorders>
              <w:top w:val="single" w:color="000000" w:sz="4" w:space="0"/>
              <w:left w:val="single" w:color="000000" w:sz="4" w:space="0"/>
              <w:bottom w:val="single" w:color="000000" w:sz="4" w:space="0"/>
              <w:right w:val="single" w:color="000000" w:sz="4" w:space="0"/>
            </w:tcBorders>
          </w:tcPr>
          <w:p w14:paraId="3A8A244A">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7029CC9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5D2C5AC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162E945">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4F9F33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7B00BE97">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58CD1133">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5</w:t>
            </w:r>
          </w:p>
        </w:tc>
        <w:tc>
          <w:tcPr>
            <w:tcW w:w="2127" w:type="dxa"/>
            <w:tcBorders>
              <w:top w:val="single" w:color="000000" w:sz="4" w:space="0"/>
              <w:left w:val="single" w:color="000000" w:sz="4" w:space="0"/>
              <w:bottom w:val="single" w:color="000000" w:sz="4" w:space="0"/>
              <w:right w:val="single" w:color="000000" w:sz="4" w:space="0"/>
            </w:tcBorders>
          </w:tcPr>
          <w:p w14:paraId="3AB0D817">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其它</w:t>
            </w:r>
          </w:p>
        </w:tc>
        <w:tc>
          <w:tcPr>
            <w:tcW w:w="3827" w:type="dxa"/>
            <w:tcBorders>
              <w:top w:val="single" w:color="000000" w:sz="4" w:space="0"/>
              <w:left w:val="single" w:color="000000" w:sz="4" w:space="0"/>
              <w:bottom w:val="single" w:color="000000" w:sz="4" w:space="0"/>
              <w:right w:val="single" w:color="000000" w:sz="4" w:space="0"/>
            </w:tcBorders>
          </w:tcPr>
          <w:p w14:paraId="11ED1C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1DE1914E">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6E67F5F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0F9136E0">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r w14:paraId="3B708BCB">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7856D6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5954" w:type="dxa"/>
            <w:gridSpan w:val="2"/>
            <w:tcBorders>
              <w:top w:val="single" w:color="000000" w:sz="4" w:space="0"/>
              <w:left w:val="nil"/>
              <w:bottom w:val="single" w:color="000000" w:sz="4" w:space="0"/>
              <w:right w:val="single" w:color="000000" w:sz="4" w:space="0"/>
            </w:tcBorders>
            <w:vAlign w:val="center"/>
          </w:tcPr>
          <w:p w14:paraId="66501244">
            <w:pPr>
              <w:keepNext w:val="0"/>
              <w:keepLines w:val="0"/>
              <w:suppressLineNumbers w:val="0"/>
              <w:spacing w:before="0" w:beforeAutospacing="0" w:after="0" w:afterAutospacing="0"/>
              <w:ind w:left="0" w:right="0"/>
              <w:jc w:val="center"/>
              <w:rPr>
                <w:rFonts w:hint="default" w:ascii="仿宋" w:hAnsi="仿宋" w:eastAsia="仿宋" w:cs="仿宋"/>
                <w:color w:val="000000"/>
                <w:sz w:val="32"/>
                <w:szCs w:val="32"/>
              </w:rPr>
            </w:pPr>
            <w:r>
              <w:rPr>
                <w:rFonts w:hint="eastAsia" w:ascii="仿宋" w:hAnsi="仿宋" w:eastAsia="仿宋" w:cs="仿宋"/>
                <w:color w:val="000000"/>
                <w:sz w:val="32"/>
                <w:szCs w:val="32"/>
              </w:rPr>
              <w:t>结</w:t>
            </w:r>
            <w:r>
              <w:rPr>
                <w:rFonts w:hint="eastAsia" w:ascii="仿宋" w:hAnsi="仿宋" w:eastAsia="仿宋" w:cs="仿宋"/>
                <w:color w:val="000000"/>
                <w:sz w:val="32"/>
                <w:szCs w:val="32"/>
              </w:rPr>
              <w:tab/>
            </w:r>
            <w:r>
              <w:rPr>
                <w:rFonts w:hint="eastAsia" w:ascii="仿宋" w:hAnsi="仿宋" w:eastAsia="仿宋" w:cs="仿宋"/>
                <w:color w:val="000000"/>
                <w:sz w:val="32"/>
                <w:szCs w:val="32"/>
              </w:rPr>
              <w:t>论</w:t>
            </w:r>
          </w:p>
        </w:tc>
        <w:tc>
          <w:tcPr>
            <w:tcW w:w="1134" w:type="dxa"/>
            <w:tcBorders>
              <w:top w:val="single" w:color="000000" w:sz="4" w:space="0"/>
              <w:left w:val="single" w:color="000000" w:sz="4" w:space="0"/>
              <w:bottom w:val="single" w:color="000000" w:sz="4" w:space="0"/>
              <w:right w:val="single" w:color="000000" w:sz="4" w:space="0"/>
            </w:tcBorders>
          </w:tcPr>
          <w:p w14:paraId="12D840F2">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29751BCD">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c>
          <w:tcPr>
            <w:tcW w:w="1134" w:type="dxa"/>
            <w:tcBorders>
              <w:top w:val="single" w:color="000000" w:sz="4" w:space="0"/>
              <w:left w:val="single" w:color="000000" w:sz="4" w:space="0"/>
              <w:bottom w:val="single" w:color="000000" w:sz="4" w:space="0"/>
              <w:right w:val="single" w:color="000000" w:sz="4" w:space="0"/>
            </w:tcBorders>
          </w:tcPr>
          <w:p w14:paraId="3FFC3C6B">
            <w:pPr>
              <w:keepNext w:val="0"/>
              <w:keepLines w:val="0"/>
              <w:suppressLineNumbers w:val="0"/>
              <w:spacing w:before="0" w:beforeAutospacing="0" w:after="0" w:afterAutospacing="0"/>
              <w:ind w:left="0" w:right="0"/>
              <w:rPr>
                <w:rFonts w:hint="default" w:ascii="仿宋" w:hAnsi="仿宋" w:eastAsia="仿宋" w:cs="仿宋"/>
                <w:color w:val="000000"/>
                <w:sz w:val="32"/>
                <w:szCs w:val="32"/>
              </w:rPr>
            </w:pPr>
          </w:p>
        </w:tc>
      </w:tr>
    </w:tbl>
    <w:p w14:paraId="73D6AE3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1.表中只需填写“√/通过”或“×/不通过”。</w:t>
      </w:r>
    </w:p>
    <w:p w14:paraId="740BA9FA">
      <w:pPr>
        <w:spacing w:line="360" w:lineRule="auto"/>
        <w:rPr>
          <w:rFonts w:hint="eastAsia" w:ascii="仿宋" w:hAnsi="仿宋" w:eastAsia="仿宋" w:cs="仿宋"/>
          <w:color w:val="000000"/>
          <w:sz w:val="32"/>
          <w:szCs w:val="32"/>
        </w:rPr>
      </w:pPr>
      <w:r>
        <w:rPr>
          <w:rFonts w:hint="eastAsia" w:ascii="仿宋" w:hAnsi="仿宋" w:eastAsia="仿宋" w:cs="仿宋"/>
          <w:color w:val="000000"/>
          <w:sz w:val="32"/>
          <w:szCs w:val="32"/>
        </w:rPr>
        <w:t>2.在结论中按“一项否决”的原则，只有全部是√/通过的，填写“合格”；只要其中有一项是×/不通过的，填写“不合格”。</w:t>
      </w:r>
    </w:p>
    <w:p w14:paraId="6CC1F2D5">
      <w:pPr>
        <w:spacing w:line="360" w:lineRule="auto"/>
        <w:ind w:left="13" w:hanging="12" w:hangingChars="4"/>
        <w:rPr>
          <w:rFonts w:hint="eastAsia" w:ascii="仿宋" w:hAnsi="仿宋" w:eastAsia="仿宋" w:cs="仿宋"/>
          <w:color w:val="000000"/>
          <w:sz w:val="32"/>
          <w:szCs w:val="32"/>
        </w:rPr>
      </w:pPr>
      <w:r>
        <w:rPr>
          <w:rFonts w:hint="eastAsia" w:ascii="仿宋" w:hAnsi="仿宋" w:eastAsia="仿宋" w:cs="仿宋"/>
          <w:color w:val="000000"/>
          <w:sz w:val="32"/>
          <w:szCs w:val="32"/>
        </w:rPr>
        <w:t>3.结论是合格的，才能进入下一轮；不合格的被淘汰。</w:t>
      </w:r>
    </w:p>
    <w:p w14:paraId="6BABD9F9">
      <w:pPr>
        <w:rPr>
          <w:rFonts w:hint="eastAsia" w:ascii="仿宋" w:hAnsi="仿宋" w:eastAsia="仿宋" w:cs="仿宋"/>
          <w:b/>
          <w:color w:val="000000"/>
          <w:sz w:val="32"/>
          <w:szCs w:val="32"/>
        </w:rPr>
      </w:pPr>
      <w:r>
        <w:rPr>
          <w:rFonts w:hint="eastAsia" w:ascii="仿宋" w:hAnsi="仿宋" w:eastAsia="仿宋" w:cs="仿宋"/>
          <w:b/>
          <w:color w:val="000000"/>
          <w:sz w:val="32"/>
          <w:szCs w:val="32"/>
        </w:rPr>
        <w:br w:type="page"/>
      </w:r>
    </w:p>
    <w:p w14:paraId="08BA082D">
      <w:pPr>
        <w:spacing w:line="276" w:lineRule="auto"/>
        <w:jc w:val="center"/>
        <w:rPr>
          <w:rFonts w:ascii="仿宋" w:hAnsi="仿宋" w:eastAsia="仿宋" w:cs="仿宋"/>
          <w:color w:val="000000"/>
          <w:kern w:val="2"/>
          <w:sz w:val="32"/>
          <w:szCs w:val="32"/>
        </w:rPr>
      </w:pPr>
      <w:r>
        <w:rPr>
          <w:rFonts w:hint="eastAsia" w:ascii="仿宋" w:hAnsi="仿宋" w:eastAsia="仿宋" w:cs="仿宋"/>
          <w:b/>
          <w:color w:val="000000"/>
          <w:position w:val="2"/>
          <w:sz w:val="32"/>
          <w:szCs w:val="32"/>
        </w:rPr>
        <w:t>附表2：评分细则表</w:t>
      </w:r>
    </w:p>
    <w:p w14:paraId="03B9366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000000"/>
          <w:kern w:val="2"/>
          <w:sz w:val="32"/>
          <w:szCs w:val="32"/>
          <w:highlight w:val="none"/>
        </w:rPr>
        <w:t>项目名称：</w:t>
      </w:r>
      <w:r>
        <w:rPr>
          <w:rFonts w:hint="eastAsia" w:ascii="仿宋" w:hAnsi="仿宋" w:eastAsia="仿宋" w:cs="仿宋"/>
          <w:b w:val="0"/>
          <w:bCs/>
          <w:color w:val="auto"/>
          <w:sz w:val="32"/>
          <w:szCs w:val="32"/>
          <w:highlight w:val="none"/>
          <w:lang w:val="en-US" w:eastAsia="zh-CN"/>
        </w:rPr>
        <w:t>海南卫生健康职业学院2026年消防设施维护保养项目</w:t>
      </w:r>
    </w:p>
    <w:p w14:paraId="2CC8F1E3">
      <w:pPr>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项目编</w:t>
      </w:r>
      <w:r>
        <w:rPr>
          <w:rFonts w:hint="eastAsia" w:ascii="仿宋" w:hAnsi="仿宋" w:eastAsia="仿宋" w:cs="仿宋"/>
          <w:bCs/>
          <w:kern w:val="0"/>
          <w:sz w:val="32"/>
          <w:szCs w:val="32"/>
          <w:highlight w:val="none"/>
          <w:lang w:val="en-US" w:eastAsia="zh-CN" w:bidi="ar-SA"/>
        </w:rPr>
        <w:t>号：</w:t>
      </w:r>
      <w:r>
        <w:rPr>
          <w:rFonts w:hint="eastAsia" w:ascii="仿宋" w:hAnsi="仿宋" w:eastAsia="仿宋" w:cs="仿宋"/>
          <w:b w:val="0"/>
          <w:bCs/>
          <w:sz w:val="32"/>
          <w:szCs w:val="32"/>
          <w:highlight w:val="none"/>
        </w:rPr>
        <w:t>HNWJY-FW202</w:t>
      </w:r>
      <w:r>
        <w:rPr>
          <w:rFonts w:hint="eastAsia" w:ascii="仿宋" w:hAnsi="仿宋" w:eastAsia="仿宋" w:cs="仿宋"/>
          <w:b w:val="0"/>
          <w:bCs/>
          <w:sz w:val="32"/>
          <w:szCs w:val="32"/>
          <w:highlight w:val="none"/>
          <w:lang w:val="en-US" w:eastAsia="zh-CN"/>
        </w:rPr>
        <w:t>5002</w:t>
      </w:r>
    </w:p>
    <w:tbl>
      <w:tblPr>
        <w:tblStyle w:val="25"/>
        <w:tblW w:w="5794" w:type="pct"/>
        <w:jc w:val="center"/>
        <w:tblLayout w:type="fixed"/>
        <w:tblCellMar>
          <w:top w:w="0" w:type="dxa"/>
          <w:left w:w="0" w:type="dxa"/>
          <w:bottom w:w="0" w:type="dxa"/>
          <w:right w:w="0" w:type="dxa"/>
        </w:tblCellMar>
      </w:tblPr>
      <w:tblGrid>
        <w:gridCol w:w="738"/>
        <w:gridCol w:w="1381"/>
        <w:gridCol w:w="6956"/>
        <w:gridCol w:w="1080"/>
      </w:tblGrid>
      <w:tr w14:paraId="442C4AD9">
        <w:tblPrEx>
          <w:tblCellMar>
            <w:top w:w="0" w:type="dxa"/>
            <w:left w:w="0" w:type="dxa"/>
            <w:bottom w:w="0" w:type="dxa"/>
            <w:right w:w="0" w:type="dxa"/>
          </w:tblCellMar>
        </w:tblPrEx>
        <w:trPr>
          <w:trHeight w:val="590" w:hRule="atLeast"/>
          <w:jc w:val="center"/>
        </w:trPr>
        <w:tc>
          <w:tcPr>
            <w:tcW w:w="36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F6E7E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序号</w:t>
            </w:r>
          </w:p>
        </w:tc>
        <w:tc>
          <w:tcPr>
            <w:tcW w:w="67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23AF3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评分因素</w:t>
            </w:r>
          </w:p>
        </w:tc>
        <w:tc>
          <w:tcPr>
            <w:tcW w:w="3424"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22311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评审标准</w:t>
            </w:r>
          </w:p>
        </w:tc>
        <w:tc>
          <w:tcPr>
            <w:tcW w:w="5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6C8F7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分数</w:t>
            </w:r>
          </w:p>
        </w:tc>
      </w:tr>
      <w:tr w14:paraId="017D27A2">
        <w:tblPrEx>
          <w:tblCellMar>
            <w:top w:w="0" w:type="dxa"/>
            <w:left w:w="0" w:type="dxa"/>
            <w:bottom w:w="0" w:type="dxa"/>
            <w:right w:w="0" w:type="dxa"/>
          </w:tblCellMar>
        </w:tblPrEx>
        <w:trPr>
          <w:trHeight w:val="1438" w:hRule="atLeast"/>
          <w:jc w:val="center"/>
        </w:trPr>
        <w:tc>
          <w:tcPr>
            <w:tcW w:w="363"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5799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p>
        </w:tc>
        <w:tc>
          <w:tcPr>
            <w:tcW w:w="679"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3752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投标报价</w:t>
            </w:r>
          </w:p>
          <w:p w14:paraId="7AE9BB5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（满分10分）</w:t>
            </w:r>
          </w:p>
        </w:tc>
        <w:tc>
          <w:tcPr>
            <w:tcW w:w="342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009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综合评分法中的价格分统一采用低价优先法计算，即满足磋商文件要求且最后报价最低的供应商的价格为磋商基准价，其价格分为满分10分。其他供应商的价格分统一按照下列公式计算：磋商报价得分=（磋商基准价/最后磋商报价）×10%×100</w:t>
            </w:r>
          </w:p>
        </w:tc>
        <w:tc>
          <w:tcPr>
            <w:tcW w:w="531"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188C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3A3DE693"/>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3A3DE693"/>
                        </w:txbxContent>
                      </v:textbox>
                    </v:shape>
                  </w:pict>
                </mc:Fallback>
              </mc:AlternateContent>
            </w:r>
            <w:r>
              <w:rPr>
                <w:rFonts w:hint="eastAsia" w:ascii="仿宋" w:hAnsi="仿宋" w:eastAsia="仿宋" w:cs="仿宋"/>
                <w:color w:val="auto"/>
                <w:kern w:val="0"/>
                <w:sz w:val="32"/>
                <w:szCs w:val="32"/>
              </w:rPr>
              <w:t>10</w:t>
            </w:r>
          </w:p>
        </w:tc>
      </w:tr>
      <w:tr w14:paraId="5D5C176D">
        <w:tblPrEx>
          <w:tblCellMar>
            <w:top w:w="0" w:type="dxa"/>
            <w:left w:w="0" w:type="dxa"/>
            <w:bottom w:w="0" w:type="dxa"/>
            <w:right w:w="0" w:type="dxa"/>
          </w:tblCellMar>
        </w:tblPrEx>
        <w:trPr>
          <w:trHeight w:val="896" w:hRule="atLeast"/>
          <w:jc w:val="center"/>
        </w:trPr>
        <w:tc>
          <w:tcPr>
            <w:tcW w:w="363"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4252CD0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w:t>
            </w:r>
          </w:p>
        </w:tc>
        <w:tc>
          <w:tcPr>
            <w:tcW w:w="679"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575D43E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业绩</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满分30分）</w:t>
            </w:r>
          </w:p>
        </w:tc>
        <w:tc>
          <w:tcPr>
            <w:tcW w:w="3424"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E51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供应商提供近三年内（2023年1月1日至今）学校类消防设施维护保养项目案例合同，每提供一个得10分，满分30分。</w:t>
            </w:r>
          </w:p>
          <w:p w14:paraId="3CF4E2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（需提供合同复印件并加盖公章，否则不得分</w:t>
            </w:r>
            <w:r>
              <w:rPr>
                <w:rFonts w:hint="eastAsia" w:ascii="仿宋" w:hAnsi="仿宋" w:eastAsia="仿宋" w:cs="仿宋"/>
                <w:color w:val="auto"/>
                <w:kern w:val="0"/>
                <w:sz w:val="32"/>
                <w:szCs w:val="32"/>
                <w:lang w:eastAsia="zh-Hans"/>
              </w:rPr>
              <w:t>）</w:t>
            </w:r>
          </w:p>
        </w:tc>
        <w:tc>
          <w:tcPr>
            <w:tcW w:w="531"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2FCFAC4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0</w:t>
            </w:r>
          </w:p>
        </w:tc>
      </w:tr>
      <w:tr w14:paraId="625B4241">
        <w:tblPrEx>
          <w:tblCellMar>
            <w:top w:w="0" w:type="dxa"/>
            <w:left w:w="0" w:type="dxa"/>
            <w:bottom w:w="0" w:type="dxa"/>
            <w:right w:w="0" w:type="dxa"/>
          </w:tblCellMar>
        </w:tblPrEx>
        <w:trPr>
          <w:trHeight w:val="1102" w:hRule="atLeast"/>
          <w:jc w:val="center"/>
        </w:trPr>
        <w:tc>
          <w:tcPr>
            <w:tcW w:w="363"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E0D1AA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w:t>
            </w:r>
          </w:p>
        </w:tc>
        <w:tc>
          <w:tcPr>
            <w:tcW w:w="67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1876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技术分</w:t>
            </w:r>
          </w:p>
          <w:p w14:paraId="4327736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（满分</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0分）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D0C5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（1）维保服务方案（20分）</w:t>
            </w:r>
          </w:p>
          <w:p w14:paraId="609BACC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根据供应商提供的消防设施维护保养方案的完整性、科学性、可操作性进行综合评价：</w:t>
            </w:r>
          </w:p>
          <w:p w14:paraId="6BD1812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方案内容全面、科学合理、针对性强得16-20分；</w:t>
            </w:r>
          </w:p>
          <w:p w14:paraId="77202F6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方案较为完整、有一定针对性得6-15分；</w:t>
            </w:r>
          </w:p>
          <w:p w14:paraId="1FB39BC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方案简单、缺乏针对性得1-5分。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E425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w:t>
            </w:r>
          </w:p>
        </w:tc>
      </w:tr>
      <w:tr w14:paraId="2DEE25AC">
        <w:tblPrEx>
          <w:tblCellMar>
            <w:top w:w="0" w:type="dxa"/>
            <w:left w:w="0" w:type="dxa"/>
            <w:bottom w:w="0" w:type="dxa"/>
            <w:right w:w="0" w:type="dxa"/>
          </w:tblCellMar>
        </w:tblPrEx>
        <w:trPr>
          <w:trHeight w:val="1108"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B2AA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40B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CAEA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（2）人员配置与技术能力（20分）</w:t>
            </w:r>
          </w:p>
          <w:p w14:paraId="00C6475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根据项目团队配置、技术人员资质（如消防设施操作员证、注册消防工程师等）进行综合评价：</w:t>
            </w:r>
          </w:p>
          <w:p w14:paraId="1DB1C78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人员配置齐全、资质高、经验丰富得16-20分；</w:t>
            </w:r>
          </w:p>
          <w:p w14:paraId="0F756C0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人员配置基本合理、具备基本资质得6-15分；</w:t>
            </w:r>
          </w:p>
          <w:p w14:paraId="5ACE094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人员配置薄弱、资质不足得1-5分。</w:t>
            </w:r>
          </w:p>
          <w:p w14:paraId="68B1D7B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（需提供人员证书复印件及社保证明）</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ACC8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w:t>
            </w:r>
          </w:p>
        </w:tc>
      </w:tr>
      <w:tr w14:paraId="6410E5A3">
        <w:tblPrEx>
          <w:tblCellMar>
            <w:top w:w="0" w:type="dxa"/>
            <w:left w:w="0" w:type="dxa"/>
            <w:bottom w:w="0" w:type="dxa"/>
            <w:right w:w="0" w:type="dxa"/>
          </w:tblCellMar>
        </w:tblPrEx>
        <w:trPr>
          <w:trHeight w:val="1113" w:hRule="atLeast"/>
          <w:jc w:val="center"/>
        </w:trPr>
        <w:tc>
          <w:tcPr>
            <w:tcW w:w="36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83C8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9849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5E1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（3）应急响应与服务保障（10分）</w:t>
            </w:r>
          </w:p>
          <w:p w14:paraId="04B9D0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根据供应商提供的应急响应机制、故障处理时效、服务承诺等进行综合评价：</w:t>
            </w:r>
          </w:p>
          <w:p w14:paraId="5002B4D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响应机制完善、承诺明确、保障措施到位得8-10分；</w:t>
            </w:r>
          </w:p>
          <w:p w14:paraId="71BEABB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响应机制基本可行得4-7分；</w:t>
            </w:r>
          </w:p>
          <w:p w14:paraId="1A21085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响应机制不完善得1-3分。</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C4EC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w:t>
            </w:r>
          </w:p>
        </w:tc>
      </w:tr>
      <w:tr w14:paraId="6E648D26">
        <w:tblPrEx>
          <w:tblCellMar>
            <w:top w:w="0" w:type="dxa"/>
            <w:left w:w="0" w:type="dxa"/>
            <w:bottom w:w="0" w:type="dxa"/>
            <w:right w:w="0" w:type="dxa"/>
          </w:tblCellMar>
        </w:tblPrEx>
        <w:trPr>
          <w:trHeight w:val="1515" w:hRule="atLeast"/>
          <w:jc w:val="center"/>
        </w:trPr>
        <w:tc>
          <w:tcPr>
            <w:tcW w:w="3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3EA0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4</w:t>
            </w:r>
          </w:p>
        </w:tc>
        <w:tc>
          <w:tcPr>
            <w:tcW w:w="6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403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资质证书（满分10分）</w:t>
            </w:r>
          </w:p>
        </w:tc>
        <w:tc>
          <w:tcPr>
            <w:tcW w:w="3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9711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供应商具有ISO质量管理体系认证、环境管理体系认证、职业健康安全管理体系认证等相关资质证书，每提供一个得5分，满分10分。</w:t>
            </w:r>
          </w:p>
          <w:p w14:paraId="19D16DC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（需提供有效证书复印件并加盖公章）</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DED0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10</w:t>
            </w:r>
          </w:p>
        </w:tc>
      </w:tr>
      <w:tr w14:paraId="2AF8ED7B">
        <w:tblPrEx>
          <w:tblCellMar>
            <w:top w:w="0" w:type="dxa"/>
            <w:left w:w="0" w:type="dxa"/>
            <w:bottom w:w="0" w:type="dxa"/>
            <w:right w:w="0" w:type="dxa"/>
          </w:tblCellMar>
        </w:tblPrEx>
        <w:trPr>
          <w:trHeight w:val="957" w:hRule="atLeast"/>
          <w:jc w:val="center"/>
        </w:trPr>
        <w:tc>
          <w:tcPr>
            <w:tcW w:w="446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341EFE">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合计</w:t>
            </w:r>
          </w:p>
        </w:tc>
        <w:tc>
          <w:tcPr>
            <w:tcW w:w="53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2EE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100</w:t>
            </w:r>
          </w:p>
        </w:tc>
      </w:tr>
    </w:tbl>
    <w:p w14:paraId="6D43A728">
      <w:pPr>
        <w:rPr>
          <w:b/>
          <w:color w:val="000000"/>
          <w:position w:val="2"/>
          <w:sz w:val="32"/>
          <w:szCs w:val="32"/>
        </w:rPr>
      </w:pPr>
      <w:r>
        <w:rPr>
          <w:rFonts w:hint="eastAsia" w:ascii="仿宋" w:hAnsi="仿宋" w:eastAsia="仿宋" w:cs="仿宋"/>
          <w:color w:val="000000"/>
          <w:szCs w:val="28"/>
        </w:rPr>
        <w:br w:type="page"/>
      </w:r>
    </w:p>
    <w:p w14:paraId="34F4A83A">
      <w:pPr>
        <w:pStyle w:val="2"/>
        <w:adjustRightInd w:val="0"/>
        <w:snapToGrid w:val="0"/>
        <w:spacing w:line="560" w:lineRule="exact"/>
        <w:rPr>
          <w:rFonts w:ascii="仿宋" w:hAnsi="仿宋" w:eastAsia="仿宋" w:cs="仿宋"/>
          <w:sz w:val="44"/>
        </w:rPr>
      </w:pPr>
      <w:bookmarkStart w:id="40" w:name="_Toc22407"/>
      <w:r>
        <w:rPr>
          <w:rFonts w:hint="eastAsia" w:ascii="仿宋" w:hAnsi="仿宋" w:eastAsia="仿宋" w:cs="仿宋"/>
          <w:sz w:val="44"/>
        </w:rPr>
        <w:t>第四部分 授予合同</w:t>
      </w:r>
      <w:bookmarkEnd w:id="36"/>
      <w:bookmarkEnd w:id="37"/>
      <w:bookmarkEnd w:id="40"/>
    </w:p>
    <w:p w14:paraId="62F99962">
      <w:pPr>
        <w:adjustRightInd w:val="0"/>
        <w:snapToGrid w:val="0"/>
        <w:spacing w:line="560" w:lineRule="exact"/>
        <w:ind w:firstLine="640" w:firstLineChars="200"/>
        <w:rPr>
          <w:rFonts w:ascii="仿宋" w:hAnsi="仿宋" w:eastAsia="仿宋" w:cs="仿宋"/>
          <w:sz w:val="32"/>
          <w:szCs w:val="32"/>
        </w:rPr>
      </w:pPr>
      <w:bookmarkStart w:id="41" w:name="_Toc8997"/>
      <w:bookmarkStart w:id="42" w:name="_Toc325620721"/>
      <w:bookmarkStart w:id="43" w:name="_Toc332979562"/>
    </w:p>
    <w:p w14:paraId="4CCDDE4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一、签订合同</w:t>
      </w:r>
      <w:bookmarkEnd w:id="41"/>
      <w:bookmarkEnd w:id="42"/>
      <w:bookmarkEnd w:id="43"/>
    </w:p>
    <w:p w14:paraId="108D00E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1.评审工作结束后，采购人向成交供应商签发《中标通知书》，在7个工作日内，由采购人和成交供应商签订合同。合同签订的内容不能超出磋商文件和响应文件的实质性内容。</w:t>
      </w:r>
    </w:p>
    <w:p w14:paraId="758FBA1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2.磋商文件、采购人的报价文件及评审过程中有关澄清文件等均可为合同附件。</w:t>
      </w:r>
    </w:p>
    <w:p w14:paraId="3682DA3E">
      <w:pPr>
        <w:adjustRightInd w:val="0"/>
        <w:snapToGrid w:val="0"/>
        <w:spacing w:line="560" w:lineRule="exact"/>
        <w:ind w:firstLine="640" w:firstLineChars="200"/>
        <w:rPr>
          <w:rFonts w:hint="eastAsia" w:ascii="仿宋" w:hAnsi="仿宋" w:eastAsia="仿宋" w:cs="仿宋"/>
          <w:sz w:val="32"/>
          <w:szCs w:val="32"/>
          <w:highlight w:val="none"/>
        </w:rPr>
      </w:pPr>
      <w:bookmarkStart w:id="44" w:name="_Toc16534"/>
      <w:bookmarkStart w:id="45" w:name="_Toc332979563"/>
      <w:bookmarkStart w:id="46" w:name="_Toc325620722"/>
      <w:r>
        <w:rPr>
          <w:rFonts w:hint="eastAsia" w:ascii="仿宋" w:hAnsi="仿宋" w:eastAsia="仿宋" w:cs="仿宋"/>
          <w:sz w:val="32"/>
          <w:szCs w:val="32"/>
        </w:rPr>
        <w:t>二、合同格式</w:t>
      </w:r>
      <w:bookmarkEnd w:id="11"/>
      <w:bookmarkEnd w:id="12"/>
      <w:bookmarkEnd w:id="13"/>
      <w:bookmarkEnd w:id="14"/>
      <w:bookmarkEnd w:id="15"/>
      <w:bookmarkEnd w:id="16"/>
      <w:bookmarkEnd w:id="44"/>
      <w:bookmarkEnd w:id="45"/>
      <w:bookmarkEnd w:id="46"/>
      <w:bookmarkStart w:id="47" w:name="_Toc356490388"/>
      <w:bookmarkStart w:id="48" w:name="_Toc356491327"/>
      <w:bookmarkStart w:id="49" w:name="_Toc325620723"/>
      <w:bookmarkStart w:id="50" w:name="_Toc905"/>
      <w:bookmarkStart w:id="51" w:name="_Toc40089798"/>
    </w:p>
    <w:p w14:paraId="5336352F">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甲方：</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(以下简称甲方)</w:t>
      </w:r>
    </w:p>
    <w:p w14:paraId="2D4CF81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乙方：</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(以下简称乙方)</w:t>
      </w:r>
    </w:p>
    <w:p w14:paraId="6ED40D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甲、乙双方根据《海南卫生健康职业学院2026年消防设施维护保养项目》竞争性磋商采购结果，依据《中华人民共和国民法典》及相关法律法规，在平等、自愿、公平和诚实信用的基础上，就乙方为甲方提供消防设施维护保养服务事宜达成一致，订立本合同。</w:t>
      </w:r>
    </w:p>
    <w:p w14:paraId="6B2C94C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）合同内容</w:t>
      </w:r>
    </w:p>
    <w:p w14:paraId="16D2D58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第一条服务地点及期限</w:t>
      </w:r>
    </w:p>
    <w:p w14:paraId="008040C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1.服务地点：海南卫生健康职业学院校内所有建筑，包括：</w:t>
      </w:r>
    </w:p>
    <w:p w14:paraId="54CD210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（1）海口市秀英区秀华路32号；</w:t>
      </w:r>
    </w:p>
    <w:p w14:paraId="0DCA324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（2）海口市龙华区白水塘路48号。</w:t>
      </w:r>
    </w:p>
    <w:p w14:paraId="17EBE88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2.服务期限：2026年  月  日至2027年  月  日（为期一年）</w:t>
      </w:r>
    </w:p>
    <w:p w14:paraId="59390D3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第二条服务内容及要求</w:t>
      </w:r>
    </w:p>
    <w:p w14:paraId="2C83372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1.服务依据：</w:t>
      </w:r>
    </w:p>
    <w:p w14:paraId="1076067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乙方应严格按照《中华人民共和国消防法》《建筑消防设施的维护管理》（GB 25201）等国家、地方现行消防法规和技术标准开展服务。</w:t>
      </w:r>
    </w:p>
    <w:p w14:paraId="77BC2F1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2.服务范围：</w:t>
      </w:r>
    </w:p>
    <w:p w14:paraId="0668A48A">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对甲方校内所有建筑消防设施进行每月定期检查，包括但不限于：</w:t>
      </w:r>
    </w:p>
    <w:p w14:paraId="7F8FFE4C">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（1）火灾自动报警系统（探测器、手动报警按钮、报警控制器等）；</w:t>
      </w:r>
    </w:p>
    <w:p w14:paraId="5237C07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（2）消火栓系统（室内外消火栓、水泵接合器、消防水箱、水泵等）；</w:t>
      </w:r>
    </w:p>
    <w:p w14:paraId="42C0275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（3）防排烟系统（风机、风阀、控制柜等）；</w:t>
      </w:r>
    </w:p>
    <w:p w14:paraId="0A3B28C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（4）应急照明及疏散指示系统；</w:t>
      </w:r>
    </w:p>
    <w:p w14:paraId="301F2AB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（5）防火分隔设施（防火门、防火卷帘等）；</w:t>
      </w:r>
    </w:p>
    <w:p w14:paraId="4BAA191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（6）灭火器（压力、有效期、配置合理性等）。</w:t>
      </w:r>
    </w:p>
    <w:p w14:paraId="1DD16B6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3.检查频次与报告要求：</w:t>
      </w:r>
    </w:p>
    <w:p w14:paraId="7BE7E537">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（1）每月检查：每月至少进行一次全面检查，每次检查后5个工作日内向甲方提交《消防设施检查报告》，报告中应详细列明发现的问题、隐患等级、整改建议、依据及相关维修、更换预算参考。</w:t>
      </w:r>
    </w:p>
    <w:p w14:paraId="2FA61E9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（2）紧急报告：发现紧急隐患（如系统瘫痪、消防水源中断等），应在2小时内电话通知甲方安全管理部门，并在24小时内提交书面紧急报告。</w:t>
      </w:r>
    </w:p>
    <w:p w14:paraId="6F197F6B">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（3）季度总结：每季度最后一个月随当次检查报告一并提交季度工作总结。</w:t>
      </w:r>
    </w:p>
    <w:p w14:paraId="66A5578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（4）年度总结：合同期满前15日内提交年度总结报告，汇总全年检查数据、常见问题分析及改进建议。</w:t>
      </w:r>
    </w:p>
    <w:p w14:paraId="22271E4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（5）消防管网、稳压系统、水泵专业维修；每半年对学校管网进行刷漆、定期更新消防标识、更换老旧、锈蚀、故障消防管网、消火栓零部件。</w:t>
      </w:r>
    </w:p>
    <w:p w14:paraId="74008ED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4.简单问题协助处理：</w:t>
      </w:r>
    </w:p>
    <w:p w14:paraId="1356FDE7">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于不需要更换主要设备、不涉及专业维修资质的简单问题（如更换灭火器、复位手动报警按钮、清理探头灰尘、紧固松脱线路、防火门闭门器调试等），乙方应在检查过程中或接到甲方通知后24小时内协助完成处理。超出此范围的维修、更换工作，由甲方另行委托，乙方可提供技术指导。</w:t>
      </w:r>
    </w:p>
    <w:p w14:paraId="591BD03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5.档案管理：</w:t>
      </w:r>
    </w:p>
    <w:p w14:paraId="2E66C3D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乙方应建立完整的消防设施检查档案，包括每次检查记录、报告、隐患整改跟踪记录等，合同期满时移交甲方。</w:t>
      </w:r>
    </w:p>
    <w:p w14:paraId="7A65104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6.协助开展消防安全检查：</w:t>
      </w:r>
    </w:p>
    <w:p w14:paraId="513849D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单位接受必要的安全检查迎检工作时，乙方有义务指派相关1-2名消防技术人员配合检查，提供相关技术服务，甲方应在检查前一天进行通知。</w:t>
      </w:r>
    </w:p>
    <w:p w14:paraId="0DE6A73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第三条 双方权利与义务</w:t>
      </w:r>
    </w:p>
    <w:p w14:paraId="696DD752">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1.甲方有权对乙方的检查工作进行监督、复核，对检查报告的真实性、准确性提出质疑时，乙方应予以解释或重新核查。</w:t>
      </w:r>
    </w:p>
    <w:p w14:paraId="1373203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2.甲方应为乙方开展检查工作提供必要的便利条件（如进入场所、临时用电、配合人</w:t>
      </w:r>
      <w:r>
        <w:rPr>
          <w:rFonts w:hint="eastAsia" w:ascii="仿宋" w:hAnsi="仿宋" w:eastAsia="仿宋" w:cs="仿宋"/>
          <w:sz w:val="32"/>
          <w:szCs w:val="32"/>
          <w:highlight w:val="none"/>
          <w:lang w:val="en-US" w:eastAsia="zh-CN"/>
        </w:rPr>
        <w:t>员等）。</w:t>
      </w:r>
    </w:p>
    <w:p w14:paraId="29BBF23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3.乙方应指派具有相应资质的技术人员组成项目团队（项目负责人及技术人员名单作为合同附件），确保检查专业、规范。</w:t>
      </w:r>
    </w:p>
    <w:p w14:paraId="1CF7FF6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4.乙方在检查过程中应严格遵守安全操作规程，因乙方操作不当造成的人员伤亡或财产损失，由乙方承担全部责任。</w:t>
      </w:r>
    </w:p>
    <w:p w14:paraId="33A3FA2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5.未经甲方书面同意，乙方不得将本合同项下义务转包或分包给第三方。</w:t>
      </w:r>
    </w:p>
    <w:p w14:paraId="31EEEC8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kern w:val="2"/>
          <w:sz w:val="32"/>
          <w:szCs w:val="32"/>
          <w:highlight w:val="none"/>
          <w:lang w:val="zh-CN" w:eastAsia="zh-CN" w:bidi="zh-CN"/>
        </w:rPr>
      </w:pPr>
      <w:r>
        <w:rPr>
          <w:rFonts w:hint="eastAsia" w:ascii="仿宋" w:hAnsi="仿宋" w:eastAsia="仿宋" w:cs="仿宋"/>
          <w:b w:val="0"/>
          <w:bCs w:val="0"/>
          <w:kern w:val="2"/>
          <w:sz w:val="32"/>
          <w:szCs w:val="32"/>
          <w:highlight w:val="none"/>
          <w:lang w:val="en-US" w:eastAsia="zh-CN" w:bidi="zh-CN"/>
        </w:rPr>
        <w:t>二、</w:t>
      </w:r>
      <w:r>
        <w:rPr>
          <w:rFonts w:hint="eastAsia" w:ascii="仿宋" w:hAnsi="仿宋" w:eastAsia="仿宋" w:cs="仿宋"/>
          <w:b w:val="0"/>
          <w:bCs w:val="0"/>
          <w:kern w:val="2"/>
          <w:sz w:val="32"/>
          <w:szCs w:val="32"/>
          <w:highlight w:val="none"/>
          <w:lang w:val="zh-CN" w:eastAsia="zh-CN" w:bidi="zh-CN"/>
        </w:rPr>
        <w:t>合同费用</w:t>
      </w:r>
    </w:p>
    <w:p w14:paraId="5039BF7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1.年度检查服务总费用为</w:t>
      </w:r>
      <w:r>
        <w:rPr>
          <w:rFonts w:hint="eastAsia" w:ascii="仿宋" w:hAnsi="仿宋" w:eastAsia="仿宋" w:cs="仿宋"/>
          <w:sz w:val="32"/>
          <w:szCs w:val="32"/>
          <w:highlight w:val="none"/>
          <w:lang w:val="en-US" w:eastAsia="zh-CN"/>
        </w:rPr>
        <w:tab/>
      </w:r>
      <w:r>
        <w:rPr>
          <w:rFonts w:hint="eastAsia" w:ascii="仿宋" w:hAnsi="仿宋" w:eastAsia="仿宋" w:cs="仿宋"/>
          <w:sz w:val="32"/>
          <w:szCs w:val="32"/>
          <w:highlight w:val="none"/>
          <w:u w:val="single"/>
          <w:lang w:val="en-US" w:eastAsia="zh-CN"/>
        </w:rPr>
        <w:t xml:space="preserve">￥    </w:t>
      </w:r>
      <w:r>
        <w:rPr>
          <w:rFonts w:hint="eastAsia" w:ascii="仿宋" w:hAnsi="仿宋" w:eastAsia="仿宋" w:cs="仿宋"/>
          <w:sz w:val="32"/>
          <w:szCs w:val="32"/>
          <w:highlight w:val="none"/>
          <w:lang w:val="en-US" w:eastAsia="zh-CN"/>
        </w:rPr>
        <w:t>（大写：   整）（含增值税发票）。</w:t>
      </w:r>
    </w:p>
    <w:p w14:paraId="2B93A0E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2.支付方式：按季度支付。 每季度服务期满后10个工作日内，乙方提交本季度全部3次《消防设施检查报告》及季度工作总结，经甲方确认乙方已履行本季度合同义务后，甲方向乙方支付本季度服务费用，即人民币 ¥（大写：）（按总费用的1/4计算）。第四季度服务期满后，乙方还需提交年度总结报告，经甲方确认后支付最后一期款项。</w:t>
      </w:r>
    </w:p>
    <w:p w14:paraId="662AE2C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3.乙方账户</w:t>
      </w:r>
    </w:p>
    <w:p w14:paraId="44F60E68">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单位名称：</w:t>
      </w:r>
    </w:p>
    <w:p w14:paraId="0005189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开户银行：</w:t>
      </w:r>
    </w:p>
    <w:p w14:paraId="111E792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账号：</w:t>
      </w:r>
    </w:p>
    <w:p w14:paraId="1394094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kern w:val="2"/>
          <w:sz w:val="32"/>
          <w:szCs w:val="32"/>
          <w:highlight w:val="none"/>
          <w:lang w:val="zh-CN" w:eastAsia="zh-CN" w:bidi="zh-CN"/>
        </w:rPr>
      </w:pPr>
      <w:r>
        <w:rPr>
          <w:rFonts w:hint="eastAsia" w:ascii="仿宋" w:hAnsi="仿宋" w:eastAsia="仿宋" w:cs="仿宋"/>
          <w:b w:val="0"/>
          <w:bCs w:val="0"/>
          <w:kern w:val="2"/>
          <w:sz w:val="32"/>
          <w:szCs w:val="32"/>
          <w:highlight w:val="none"/>
          <w:lang w:val="zh-CN" w:eastAsia="zh-CN" w:bidi="zh-CN"/>
        </w:rPr>
        <w:t>三、违约责任</w:t>
      </w:r>
    </w:p>
    <w:p w14:paraId="124FC84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自本合同签定之日起，双方应严格遵守并认真执行，任何一方出现违约情况，应承担违约责任，守约方有权要求违约方在做出损失赔偿后继续履行其责任；也可在违约方根据法律规定或协商议定做出赔偿后，要求终止本合同。</w:t>
      </w:r>
    </w:p>
    <w:p w14:paraId="1A80691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四、争讼条款</w:t>
      </w:r>
    </w:p>
    <w:p w14:paraId="091F470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因执行本合同所发生的一切争议，双方应本着宽容、热诚、互助和体谅的精神协同解决。如经协商不能达成一致，由甲方所在地人民法院处理。</w:t>
      </w:r>
    </w:p>
    <w:p w14:paraId="5837364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五、其他事项</w:t>
      </w:r>
    </w:p>
    <w:p w14:paraId="68B706C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1.本合同自双方签字、盖章之日起生效。合同履行完毕即自行失效。</w:t>
      </w:r>
    </w:p>
    <w:p w14:paraId="3B9A9A4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2.本合同履行期间，双方不得随意变更和解除合同，合同如有未尽事宜，由双方共同协商，作出补充规定。补充规定双方签章确认后，与本合同的其他条款具有同等的法律效力。</w:t>
      </w:r>
    </w:p>
    <w:p w14:paraId="4B7A9F7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3.本合同的解释和执行，适用中华人民共和国法律。</w:t>
      </w:r>
    </w:p>
    <w:p w14:paraId="5EC3FC9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4.本合同正本一式</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份，甲方执</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份，乙方执</w:t>
      </w:r>
      <w:r>
        <w:rPr>
          <w:rFonts w:hint="eastAsia" w:ascii="仿宋" w:hAnsi="仿宋" w:eastAsia="仿宋" w:cs="仿宋"/>
          <w:kern w:val="2"/>
          <w:sz w:val="32"/>
          <w:szCs w:val="32"/>
          <w:highlight w:val="none"/>
          <w:u w:val="single"/>
          <w:lang w:val="en-US" w:eastAsia="zh-CN" w:bidi="zh-CN"/>
        </w:rPr>
        <w:t xml:space="preserve">   </w:t>
      </w:r>
      <w:r>
        <w:rPr>
          <w:rFonts w:hint="eastAsia" w:ascii="仿宋" w:hAnsi="仿宋" w:eastAsia="仿宋" w:cs="仿宋"/>
          <w:kern w:val="2"/>
          <w:sz w:val="32"/>
          <w:szCs w:val="32"/>
          <w:highlight w:val="none"/>
          <w:lang w:val="en-US" w:eastAsia="zh-CN" w:bidi="zh-CN"/>
        </w:rPr>
        <w:t>份。</w:t>
      </w:r>
    </w:p>
    <w:p w14:paraId="6B5723D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p>
    <w:p w14:paraId="774FC198">
      <w:pPr>
        <w:pStyle w:val="13"/>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kern w:val="2"/>
          <w:sz w:val="32"/>
          <w:szCs w:val="32"/>
          <w:highlight w:val="none"/>
          <w:lang w:val="en-US" w:eastAsia="zh-CN" w:bidi="zh-CN"/>
        </w:rPr>
      </w:pPr>
    </w:p>
    <w:p w14:paraId="316A525F">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甲方(盖章):                   乙方(盖章):</w:t>
      </w:r>
    </w:p>
    <w:p w14:paraId="18C9214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p>
    <w:p w14:paraId="5293C69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代表签名:                     代表签名:</w:t>
      </w:r>
    </w:p>
    <w:p w14:paraId="5335907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p>
    <w:p w14:paraId="371EB57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kern w:val="2"/>
          <w:sz w:val="32"/>
          <w:szCs w:val="32"/>
          <w:highlight w:val="none"/>
          <w:lang w:val="en-US" w:eastAsia="zh-CN" w:bidi="zh-CN"/>
        </w:rPr>
      </w:pPr>
      <w:r>
        <w:rPr>
          <w:rFonts w:hint="eastAsia" w:ascii="仿宋" w:hAnsi="仿宋" w:eastAsia="仿宋" w:cs="仿宋"/>
          <w:kern w:val="2"/>
          <w:sz w:val="32"/>
          <w:szCs w:val="32"/>
          <w:highlight w:val="none"/>
          <w:lang w:val="en-US" w:eastAsia="zh-CN" w:bidi="zh-CN"/>
        </w:rPr>
        <w:t>日期:    年  月  日          日期:   年  月  日</w:t>
      </w:r>
    </w:p>
    <w:p w14:paraId="3C93FC6B">
      <w:pPr>
        <w:rPr>
          <w:rFonts w:hint="eastAsia" w:ascii="仿宋" w:hAnsi="仿宋" w:eastAsia="仿宋" w:cs="仿宋"/>
          <w:color w:val="FF0000"/>
          <w:lang w:val="en-US" w:eastAsia="zh-CN"/>
        </w:rPr>
      </w:pPr>
    </w:p>
    <w:p w14:paraId="37D0E0ED">
      <w:pPr>
        <w:rPr>
          <w:rFonts w:hint="eastAsia"/>
        </w:rPr>
      </w:pPr>
      <w:bookmarkStart w:id="52" w:name="_Toc11038"/>
    </w:p>
    <w:p w14:paraId="5210AD20">
      <w:pPr>
        <w:rPr>
          <w:rFonts w:hint="eastAsia" w:asciiTheme="majorEastAsia" w:hAnsiTheme="majorEastAsia" w:eastAsiaTheme="majorEastAsia" w:cstheme="majorEastAsia"/>
          <w:sz w:val="44"/>
        </w:rPr>
      </w:pPr>
    </w:p>
    <w:p w14:paraId="178A271F">
      <w:pPr>
        <w:rPr>
          <w:rFonts w:hint="eastAsia" w:asciiTheme="majorEastAsia" w:hAnsiTheme="majorEastAsia" w:eastAsiaTheme="majorEastAsia" w:cstheme="majorEastAsia"/>
          <w:sz w:val="44"/>
        </w:rPr>
      </w:pPr>
    </w:p>
    <w:p w14:paraId="6571D1B9">
      <w:pPr>
        <w:rPr>
          <w:rFonts w:hint="eastAsia" w:asciiTheme="majorEastAsia" w:hAnsiTheme="majorEastAsia" w:eastAsiaTheme="majorEastAsia" w:cstheme="majorEastAsia"/>
          <w:sz w:val="44"/>
        </w:rPr>
      </w:pPr>
    </w:p>
    <w:p w14:paraId="2E915781">
      <w:pPr>
        <w:rPr>
          <w:rFonts w:hint="eastAsia"/>
        </w:rPr>
      </w:pPr>
    </w:p>
    <w:p w14:paraId="2CF37320">
      <w:pPr>
        <w:rPr>
          <w:rFonts w:hint="eastAsia" w:asciiTheme="majorEastAsia" w:hAnsiTheme="majorEastAsia" w:eastAsiaTheme="majorEastAsia" w:cstheme="majorEastAsia"/>
          <w:sz w:val="44"/>
        </w:rPr>
      </w:pPr>
    </w:p>
    <w:p w14:paraId="73F31BC7">
      <w:pPr>
        <w:rPr>
          <w:rFonts w:hint="eastAsia" w:asciiTheme="majorEastAsia" w:hAnsiTheme="majorEastAsia" w:eastAsiaTheme="majorEastAsia" w:cstheme="majorEastAsia"/>
          <w:sz w:val="44"/>
        </w:rPr>
      </w:pPr>
    </w:p>
    <w:p w14:paraId="682279E6">
      <w:pPr>
        <w:pStyle w:val="2"/>
        <w:adjustRightInd w:val="0"/>
        <w:snapToGrid w:val="0"/>
        <w:spacing w:line="560" w:lineRule="exact"/>
        <w:jc w:val="center"/>
        <w:rPr>
          <w:rFonts w:hint="eastAsia" w:asciiTheme="majorEastAsia" w:hAnsiTheme="majorEastAsia" w:eastAsiaTheme="majorEastAsia" w:cstheme="majorEastAsia"/>
          <w:sz w:val="44"/>
        </w:rPr>
      </w:pPr>
      <w:r>
        <w:rPr>
          <w:rFonts w:hint="eastAsia" w:asciiTheme="majorEastAsia" w:hAnsiTheme="majorEastAsia" w:eastAsiaTheme="majorEastAsia" w:cstheme="majorEastAsia"/>
          <w:sz w:val="44"/>
        </w:rPr>
        <w:t xml:space="preserve">第五部分 </w:t>
      </w:r>
      <w:bookmarkEnd w:id="47"/>
      <w:bookmarkEnd w:id="48"/>
      <w:bookmarkEnd w:id="49"/>
      <w:r>
        <w:rPr>
          <w:rFonts w:hint="eastAsia" w:asciiTheme="majorEastAsia" w:hAnsiTheme="majorEastAsia" w:eastAsiaTheme="majorEastAsia" w:cstheme="majorEastAsia"/>
          <w:sz w:val="44"/>
        </w:rPr>
        <w:t>项目需求</w:t>
      </w:r>
      <w:bookmarkEnd w:id="50"/>
      <w:bookmarkEnd w:id="51"/>
      <w:bookmarkEnd w:id="52"/>
    </w:p>
    <w:p w14:paraId="233606E0">
      <w:pPr>
        <w:adjustRightInd w:val="0"/>
        <w:snapToGrid w:val="0"/>
        <w:spacing w:line="560" w:lineRule="exact"/>
        <w:ind w:firstLine="640" w:firstLineChars="200"/>
        <w:rPr>
          <w:rFonts w:ascii="仿宋" w:hAnsi="仿宋" w:eastAsia="仿宋" w:cs="仿宋"/>
          <w:sz w:val="32"/>
          <w:szCs w:val="32"/>
        </w:rPr>
      </w:pPr>
      <w:bookmarkStart w:id="53" w:name="_Toc425948677"/>
    </w:p>
    <w:p w14:paraId="453D2BB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6EFC998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采购项目名称：</w:t>
      </w:r>
      <w:r>
        <w:rPr>
          <w:rFonts w:hint="eastAsia" w:ascii="仿宋" w:hAnsi="仿宋" w:eastAsia="仿宋" w:cs="仿宋"/>
          <w:b w:val="0"/>
          <w:bCs/>
          <w:color w:val="auto"/>
          <w:sz w:val="32"/>
          <w:szCs w:val="32"/>
          <w:highlight w:val="none"/>
          <w:lang w:val="en-US" w:eastAsia="zh-CN"/>
        </w:rPr>
        <w:t>海南卫生健康职业学院2026年消防设施维护保养项目</w:t>
      </w:r>
    </w:p>
    <w:p w14:paraId="7D7AF895">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采购项目编号：HNWJY-FW2025039</w:t>
      </w:r>
    </w:p>
    <w:p w14:paraId="1234D6F6">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sz w:val="32"/>
          <w:szCs w:val="32"/>
        </w:rPr>
      </w:pPr>
      <w:r>
        <w:rPr>
          <w:rFonts w:hint="eastAsia" w:ascii="仿宋" w:hAnsi="仿宋" w:eastAsia="仿宋" w:cs="仿宋"/>
          <w:sz w:val="32"/>
          <w:szCs w:val="32"/>
        </w:rPr>
        <w:t>项目预</w:t>
      </w:r>
      <w:r>
        <w:rPr>
          <w:rFonts w:hint="eastAsia" w:ascii="仿宋" w:hAnsi="仿宋" w:eastAsia="仿宋" w:cs="仿宋"/>
          <w:color w:val="auto"/>
          <w:sz w:val="32"/>
          <w:szCs w:val="32"/>
        </w:rPr>
        <w:t>算：</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000.00元</w:t>
      </w:r>
    </w:p>
    <w:p w14:paraId="14D8BC6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二、商务需求</w:t>
      </w:r>
    </w:p>
    <w:p w14:paraId="2AEDA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1.合同履行期限：服务期限为一年，自合同签订之日起。</w:t>
      </w:r>
    </w:p>
    <w:p w14:paraId="31742AC5">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2.服务团队要求：供应商为本项目配置的服务团队人数不少于3人，其中至少包括：</w:t>
      </w:r>
    </w:p>
    <w:p w14:paraId="1CDD1DE0">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（1）项目总负责人1人，具有注册消防工程师资格，负责统筹协调本项目服务工作；</w:t>
      </w:r>
    </w:p>
    <w:p w14:paraId="0D4C60B7">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（2）技术人员不少于2人，均须持有消防设施操作员（中级及以上）职业资格证书，负责现场检查、报告编制及简单问题协助处理。</w:t>
      </w:r>
    </w:p>
    <w:p w14:paraId="6CF0D092">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（须提供团队成员资格证书复印件及近三个月社保证明）</w:t>
      </w:r>
    </w:p>
    <w:p w14:paraId="3E5EC8A9">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支付方式：按季度支付。每季度服务期满后10个工作日内，乙方提交本季度全部3次《消防设施检查报告》及季度工作总结，经甲方确认乙方已履行本季度合同义务后，甲方向乙方支付本季度服务费用（总费用的1/4）。</w:t>
      </w:r>
    </w:p>
    <w:p w14:paraId="5F331E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4.履约验收要求：</w:t>
      </w:r>
    </w:p>
    <w:p w14:paraId="188EBC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（1）每月检查报告内容完整、真实、规范，须经甲方签字确认；</w:t>
      </w:r>
    </w:p>
    <w:p w14:paraId="29FC8B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（2）紧急隐患按要求及时告知（电话+书面）；</w:t>
      </w:r>
    </w:p>
    <w:p w14:paraId="7BA3E6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（3）简单问题协助处理得到甲方认可；</w:t>
      </w:r>
    </w:p>
    <w:p w14:paraId="1A233D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（4）年度总结报告全面、客观。</w:t>
      </w:r>
    </w:p>
    <w:p w14:paraId="03BA91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验收标准按国家有关规定、磋商文件、响应文件及合同约定执行。（提供承诺函，可自行编写）。</w:t>
      </w:r>
    </w:p>
    <w:p w14:paraId="5E5C7998">
      <w:pPr>
        <w:pStyle w:val="31"/>
        <w:keepNext w:val="0"/>
        <w:keepLines w:val="0"/>
        <w:widowControl/>
        <w:suppressLineNumbers w:val="0"/>
        <w:adjustRightInd w:val="0"/>
        <w:snapToGrid w:val="0"/>
        <w:spacing w:before="0" w:beforeAutospacing="0" w:after="0" w:afterAutospacing="0" w:line="500" w:lineRule="exact"/>
        <w:ind w:left="0" w:right="0" w:firstLine="640" w:firstLineChars="200"/>
        <w:jc w:val="left"/>
        <w:textAlignment w:val="center"/>
        <w:rPr>
          <w:rFonts w:hint="eastAsia" w:ascii="仿宋" w:hAnsi="仿宋" w:eastAsia="仿宋" w:cs="仿宋"/>
          <w:color w:val="auto"/>
          <w:kern w:val="0"/>
          <w:sz w:val="32"/>
          <w:szCs w:val="32"/>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kern w:val="0"/>
          <w:sz w:val="32"/>
          <w:szCs w:val="32"/>
          <w:lang w:val="en-US" w:eastAsia="zh-CN"/>
        </w:rPr>
        <w:t>近三年内（2023年1月1日至今）具有至少1项学校类消防设施检查或维护保养服务经验，需提供合同复印件及甲方评价（或验收证明）。</w:t>
      </w:r>
    </w:p>
    <w:p w14:paraId="270558DB">
      <w:pPr>
        <w:adjustRightInd w:val="0"/>
        <w:snapToGrid w:val="0"/>
        <w:spacing w:line="560" w:lineRule="exact"/>
        <w:ind w:firstLine="643" w:firstLineChars="200"/>
        <w:jc w:val="left"/>
        <w:rPr>
          <w:rFonts w:hint="eastAsia" w:ascii="仿宋" w:hAnsi="仿宋" w:eastAsia="仿宋" w:cs="仿宋"/>
          <w:b/>
          <w:bCs w:val="0"/>
          <w:color w:val="auto"/>
          <w:sz w:val="32"/>
          <w:szCs w:val="32"/>
        </w:rPr>
      </w:pPr>
      <w:bookmarkStart w:id="54" w:name="_Toc40089799"/>
      <w:bookmarkStart w:id="55" w:name="_Toc21799"/>
      <w:r>
        <w:rPr>
          <w:rFonts w:hint="eastAsia" w:ascii="仿宋" w:hAnsi="仿宋" w:eastAsia="仿宋" w:cs="仿宋"/>
          <w:b/>
          <w:bCs w:val="0"/>
          <w:color w:val="auto"/>
          <w:sz w:val="32"/>
          <w:szCs w:val="32"/>
          <w:lang w:eastAsia="zh-CN"/>
        </w:rPr>
        <w:t>三、技术</w:t>
      </w:r>
      <w:r>
        <w:rPr>
          <w:rFonts w:hint="eastAsia" w:ascii="仿宋" w:hAnsi="仿宋" w:eastAsia="仿宋" w:cs="仿宋"/>
          <w:b/>
          <w:bCs w:val="0"/>
          <w:color w:val="auto"/>
          <w:sz w:val="32"/>
          <w:szCs w:val="32"/>
        </w:rPr>
        <w:t>需求</w:t>
      </w:r>
    </w:p>
    <w:p w14:paraId="1B2219A8">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（一）服务范围及内容</w:t>
      </w:r>
    </w:p>
    <w:p w14:paraId="74D5963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服务范围：海南卫生健康职业学院（海口市秀英区秀华路32号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海口市龙华区白水塘路48号）校内所有建筑消防设施，包括但不限于：</w:t>
      </w:r>
    </w:p>
    <w:p w14:paraId="71A6519A">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火灾自动报警系统（含探测器、手动报警按钮、报警控制器等）；</w:t>
      </w:r>
    </w:p>
    <w:p w14:paraId="15547D2C">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自动喷水灭火系统（含喷头、报警阀组、水泵、末端试水装置等）；</w:t>
      </w:r>
    </w:p>
    <w:p w14:paraId="22E80066">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消火栓系统（含室内外消火栓、水泵接合器、消防水箱、水泵等）；</w:t>
      </w:r>
    </w:p>
    <w:p w14:paraId="61FAEEE5">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防排烟系统（含风机、风阀、控制柜等）；</w:t>
      </w:r>
    </w:p>
    <w:p w14:paraId="17F6AEFC">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应急照明及疏散指示系统；</w:t>
      </w:r>
    </w:p>
    <w:p w14:paraId="48F4F221">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防火分隔设施（防火门、防火卷帘等）；</w:t>
      </w:r>
    </w:p>
    <w:p w14:paraId="628680FD">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灭火器（含压力、有效期、配置合理性等）。</w:t>
      </w:r>
    </w:p>
    <w:p w14:paraId="0C9A2D29">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服务内容：</w:t>
      </w:r>
    </w:p>
    <w:p w14:paraId="3BD689E6">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定期检查：每月对上述设施进行一次全面检查，检查其外观、功能、运行状态是否符合规范要求。</w:t>
      </w:r>
    </w:p>
    <w:p w14:paraId="5E34B0CA">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隐患告知：检查中发现隐患，应立即口头通知甲方安全管理部门，并在5个工作日内提交书面《消防设施检查报告》，报告中详细列明隐患位置、问题描述、隐患等级（一般/重大）、整改建议及依据标准。</w:t>
      </w:r>
    </w:p>
    <w:p w14:paraId="3FF5846F">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紧急隐患处置：遇有系统瘫痪、消防水源中断、报警控制器故障等紧急隐患，应在发现后2小时内电话通知甲方，24小时内提交书面紧急报告，并持续跟踪直至隐患排除（不承担维修费用）。</w:t>
      </w:r>
    </w:p>
    <w:p w14:paraId="1CBB1273">
      <w:pPr>
        <w:adjustRightInd w:val="0"/>
        <w:snapToGrid w:val="0"/>
        <w:spacing w:line="560" w:lineRule="exact"/>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简单问题协助：对于不需要更换主要设备、不涉及专业维修资质的简单问题（如更换灭火器压力表、复位手动报警按钮、清理探头灰尘、紧固松脱线路、防火门闭门器调试等），乙方应在检查过程中或接到甲方通知后24小时内协助完成处理。</w:t>
      </w:r>
    </w:p>
    <w:p w14:paraId="6796FC2A">
      <w:pPr>
        <w:adjustRightInd w:val="0"/>
        <w:snapToGrid w:val="0"/>
        <w:spacing w:line="56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档案管理：建立完整的消防设施检查档案，包括每次检查记录、报告、隐患整改跟踪记录等，合同期满时提交年度总结报告</w:t>
      </w:r>
      <w:r>
        <w:rPr>
          <w:rFonts w:hint="eastAsia" w:ascii="仿宋" w:hAnsi="仿宋" w:eastAsia="仿宋" w:cs="仿宋"/>
          <w:color w:val="auto"/>
          <w:sz w:val="32"/>
          <w:szCs w:val="32"/>
          <w:lang w:eastAsia="zh-CN"/>
        </w:rPr>
        <w:t>。</w:t>
      </w:r>
    </w:p>
    <w:p w14:paraId="2984F655">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bookmarkStart w:id="56" w:name="_Toc12517"/>
      <w:r>
        <w:rPr>
          <w:rFonts w:hint="eastAsia" w:ascii="仿宋" w:hAnsi="仿宋" w:eastAsia="仿宋" w:cs="仿宋"/>
          <w:color w:val="auto"/>
          <w:sz w:val="32"/>
          <w:szCs w:val="32"/>
          <w:lang w:eastAsia="zh-CN"/>
        </w:rPr>
        <w:t>（二）检查频次与报告要求</w:t>
      </w:r>
    </w:p>
    <w:tbl>
      <w:tblPr>
        <w:tblStyle w:val="25"/>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46"/>
        <w:gridCol w:w="7803"/>
      </w:tblGrid>
      <w:tr w14:paraId="6DF4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tblHeader/>
          <w:jc w:val="center"/>
        </w:trPr>
        <w:tc>
          <w:tcPr>
            <w:tcW w:w="1146" w:type="dxa"/>
            <w:shd w:val="clear" w:color="auto" w:fill="auto"/>
            <w:noWrap w:val="0"/>
            <w:tcMar>
              <w:top w:w="150" w:type="dxa"/>
              <w:left w:w="-1" w:type="dxa"/>
              <w:bottom w:w="150" w:type="dxa"/>
              <w:right w:w="240" w:type="dxa"/>
            </w:tcMar>
            <w:vAlign w:val="center"/>
          </w:tcPr>
          <w:p w14:paraId="392E899E">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项目</w:t>
            </w:r>
          </w:p>
        </w:tc>
        <w:tc>
          <w:tcPr>
            <w:tcW w:w="7803" w:type="dxa"/>
            <w:shd w:val="clear" w:color="auto" w:fill="auto"/>
            <w:noWrap w:val="0"/>
            <w:tcMar>
              <w:top w:w="150" w:type="dxa"/>
              <w:left w:w="240" w:type="dxa"/>
              <w:bottom w:w="150" w:type="dxa"/>
              <w:right w:w="240" w:type="dxa"/>
            </w:tcMar>
            <w:vAlign w:val="center"/>
          </w:tcPr>
          <w:p w14:paraId="29EA1983">
            <w:pPr>
              <w:keepNext w:val="0"/>
              <w:keepLines w:val="0"/>
              <w:suppressLineNumbers w:val="0"/>
              <w:adjustRightInd w:val="0"/>
              <w:snapToGrid w:val="0"/>
              <w:spacing w:before="0" w:beforeAutospacing="0" w:after="0" w:afterAutospacing="0" w:line="560" w:lineRule="exact"/>
              <w:ind w:left="0" w:right="0"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要求</w:t>
            </w:r>
          </w:p>
        </w:tc>
      </w:tr>
      <w:tr w14:paraId="6381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46" w:type="dxa"/>
            <w:shd w:val="clear" w:color="auto" w:fill="auto"/>
            <w:noWrap w:val="0"/>
            <w:tcMar>
              <w:top w:w="150" w:type="dxa"/>
              <w:left w:w="-1" w:type="dxa"/>
              <w:bottom w:w="150" w:type="dxa"/>
              <w:right w:w="240" w:type="dxa"/>
            </w:tcMar>
            <w:vAlign w:val="center"/>
          </w:tcPr>
          <w:p w14:paraId="025D69A2">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检查频次</w:t>
            </w:r>
          </w:p>
        </w:tc>
        <w:tc>
          <w:tcPr>
            <w:tcW w:w="7803" w:type="dxa"/>
            <w:shd w:val="clear" w:color="auto" w:fill="auto"/>
            <w:noWrap w:val="0"/>
            <w:tcMar>
              <w:top w:w="150" w:type="dxa"/>
              <w:left w:w="240" w:type="dxa"/>
              <w:bottom w:w="150" w:type="dxa"/>
              <w:right w:w="-1" w:type="dxa"/>
            </w:tcMar>
            <w:vAlign w:val="center"/>
          </w:tcPr>
          <w:p w14:paraId="1E444F8C">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每月至少一次（全年12次），可根据学校安排或季节特点适当加密</w:t>
            </w:r>
          </w:p>
        </w:tc>
      </w:tr>
      <w:tr w14:paraId="0C4E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46" w:type="dxa"/>
            <w:shd w:val="clear" w:color="auto" w:fill="auto"/>
            <w:noWrap w:val="0"/>
            <w:tcMar>
              <w:top w:w="150" w:type="dxa"/>
              <w:left w:w="-1" w:type="dxa"/>
              <w:bottom w:w="150" w:type="dxa"/>
              <w:right w:w="240" w:type="dxa"/>
            </w:tcMar>
            <w:vAlign w:val="center"/>
          </w:tcPr>
          <w:p w14:paraId="34E68851">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检查报告</w:t>
            </w:r>
          </w:p>
        </w:tc>
        <w:tc>
          <w:tcPr>
            <w:tcW w:w="7803" w:type="dxa"/>
            <w:shd w:val="clear" w:color="auto" w:fill="auto"/>
            <w:noWrap w:val="0"/>
            <w:tcMar>
              <w:top w:w="150" w:type="dxa"/>
              <w:left w:w="240" w:type="dxa"/>
              <w:bottom w:w="150" w:type="dxa"/>
              <w:right w:w="-1" w:type="dxa"/>
            </w:tcMar>
            <w:vAlign w:val="center"/>
          </w:tcPr>
          <w:p w14:paraId="1EDC8BC7">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每次检查后5个工作日内提交，报告需有检查人签字、项目负责人审核、加盖乙方公章</w:t>
            </w:r>
          </w:p>
        </w:tc>
      </w:tr>
      <w:tr w14:paraId="0A21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46" w:type="dxa"/>
            <w:shd w:val="clear" w:color="auto" w:fill="auto"/>
            <w:noWrap w:val="0"/>
            <w:tcMar>
              <w:top w:w="150" w:type="dxa"/>
              <w:left w:w="-1" w:type="dxa"/>
              <w:bottom w:w="150" w:type="dxa"/>
              <w:right w:w="240" w:type="dxa"/>
            </w:tcMar>
            <w:vAlign w:val="center"/>
          </w:tcPr>
          <w:p w14:paraId="4BA8E53B">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紧急报告</w:t>
            </w:r>
          </w:p>
        </w:tc>
        <w:tc>
          <w:tcPr>
            <w:tcW w:w="7803" w:type="dxa"/>
            <w:shd w:val="clear" w:color="auto" w:fill="auto"/>
            <w:noWrap w:val="0"/>
            <w:tcMar>
              <w:top w:w="150" w:type="dxa"/>
              <w:left w:w="240" w:type="dxa"/>
              <w:bottom w:w="150" w:type="dxa"/>
              <w:right w:w="-1" w:type="dxa"/>
            </w:tcMar>
            <w:vAlign w:val="center"/>
          </w:tcPr>
          <w:p w14:paraId="6556CCA4">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紧急隐患24小时内提交，内容含隐患现状、风险分析、临时措施建议</w:t>
            </w:r>
          </w:p>
        </w:tc>
      </w:tr>
      <w:tr w14:paraId="595B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0" w:hRule="atLeast"/>
          <w:jc w:val="center"/>
        </w:trPr>
        <w:tc>
          <w:tcPr>
            <w:tcW w:w="1146" w:type="dxa"/>
            <w:shd w:val="clear" w:color="auto" w:fill="auto"/>
            <w:noWrap w:val="0"/>
            <w:tcMar>
              <w:top w:w="150" w:type="dxa"/>
              <w:left w:w="-1" w:type="dxa"/>
              <w:bottom w:w="150" w:type="dxa"/>
              <w:right w:w="240" w:type="dxa"/>
            </w:tcMar>
            <w:vAlign w:val="center"/>
          </w:tcPr>
          <w:p w14:paraId="3BCE04F3">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季度总结</w:t>
            </w:r>
          </w:p>
        </w:tc>
        <w:tc>
          <w:tcPr>
            <w:tcW w:w="7803" w:type="dxa"/>
            <w:shd w:val="clear" w:color="auto" w:fill="auto"/>
            <w:noWrap w:val="0"/>
            <w:tcMar>
              <w:top w:w="150" w:type="dxa"/>
              <w:left w:w="240" w:type="dxa"/>
              <w:bottom w:w="150" w:type="dxa"/>
              <w:right w:w="-1" w:type="dxa"/>
            </w:tcMar>
            <w:vAlign w:val="center"/>
          </w:tcPr>
          <w:p w14:paraId="264874D8">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每季度最后一个月随当次检查报告一并提交，总结本季度检查情况、隐患整改跟踪、问题分析</w:t>
            </w:r>
          </w:p>
        </w:tc>
      </w:tr>
      <w:tr w14:paraId="31A5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146" w:type="dxa"/>
            <w:shd w:val="clear" w:color="auto" w:fill="auto"/>
            <w:noWrap w:val="0"/>
            <w:tcMar>
              <w:top w:w="150" w:type="dxa"/>
              <w:left w:w="-1" w:type="dxa"/>
              <w:bottom w:w="150" w:type="dxa"/>
              <w:right w:w="240" w:type="dxa"/>
            </w:tcMar>
            <w:vAlign w:val="center"/>
          </w:tcPr>
          <w:p w14:paraId="390E2D8C">
            <w:pPr>
              <w:keepNext w:val="0"/>
              <w:keepLines w:val="0"/>
              <w:suppressLineNumbers w:val="0"/>
              <w:adjustRightInd w:val="0"/>
              <w:snapToGrid w:val="0"/>
              <w:spacing w:before="0" w:beforeAutospacing="0" w:after="0" w:afterAutospacing="0" w:line="560" w:lineRule="exact"/>
              <w:ind w:left="0" w:right="0"/>
              <w:jc w:val="center"/>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年度总结</w:t>
            </w:r>
          </w:p>
        </w:tc>
        <w:tc>
          <w:tcPr>
            <w:tcW w:w="7803" w:type="dxa"/>
            <w:shd w:val="clear" w:color="auto" w:fill="auto"/>
            <w:noWrap w:val="0"/>
            <w:tcMar>
              <w:top w:w="150" w:type="dxa"/>
              <w:left w:w="240" w:type="dxa"/>
              <w:bottom w:w="150" w:type="dxa"/>
              <w:right w:w="-1" w:type="dxa"/>
            </w:tcMar>
            <w:vAlign w:val="center"/>
          </w:tcPr>
          <w:p w14:paraId="6294404D">
            <w:pPr>
              <w:keepNext w:val="0"/>
              <w:keepLines w:val="0"/>
              <w:suppressLineNumbers w:val="0"/>
              <w:adjustRightInd w:val="0"/>
              <w:snapToGrid w:val="0"/>
              <w:spacing w:before="0" w:beforeAutospacing="0" w:after="0" w:afterAutospacing="0" w:line="560" w:lineRule="exact"/>
              <w:ind w:left="0" w:right="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合同期满前15日内提交，汇总全年检查数据、常见问题分析、改进建议</w:t>
            </w:r>
          </w:p>
        </w:tc>
      </w:tr>
    </w:tbl>
    <w:p w14:paraId="12A905FE">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（三）人员资质要求</w:t>
      </w:r>
    </w:p>
    <w:p w14:paraId="379D7E92">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项目总负责人：须持有有效的一级注册消防工程师资格证书，且具有3年以上消防设施检测或维保项目管理经验。</w:t>
      </w:r>
    </w:p>
    <w:p w14:paraId="12A8FD4F">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检查技术人员：须持有消防设施操作员（中级及以上）职业资格证书，且具有1年以上现场检查经验。</w:t>
      </w:r>
    </w:p>
    <w:p w14:paraId="4B0C94D0">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所有人员应熟悉国家消防技术规范，具备良好的沟通能力和报告撰写能力。</w:t>
      </w:r>
    </w:p>
    <w:p w14:paraId="106ADA68">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（四）检查设备要求</w:t>
      </w:r>
    </w:p>
    <w:p w14:paraId="771E493F">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供应商应自备开展消防设施检查所需的专业工具和仪器，包括但不限于：</w:t>
      </w:r>
    </w:p>
    <w:p w14:paraId="17EEE7A9">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火灾报警控制器专用测试工具；</w:t>
      </w:r>
    </w:p>
    <w:p w14:paraId="5ACA9161">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感烟/感温探测器试验器；</w:t>
      </w:r>
    </w:p>
    <w:p w14:paraId="62EBDA8A">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消火栓系统试水装置（含流量计、压力表）；</w:t>
      </w:r>
    </w:p>
    <w:p w14:paraId="28E6B75D">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喷淋系统末端试水装置配套工具；</w:t>
      </w:r>
    </w:p>
    <w:p w14:paraId="29FF6DCE">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照度计、声级计（用于应急照明、疏散指示、报警声响测试）；</w:t>
      </w:r>
    </w:p>
    <w:p w14:paraId="3C63754C">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接地电阻测试仪、绝缘电阻测试仪（如涉及）；</w:t>
      </w:r>
    </w:p>
    <w:p w14:paraId="3F57DA04">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激光测距仪、卷尺、温湿度计等通用工具；</w:t>
      </w:r>
    </w:p>
    <w:p w14:paraId="0C2898E3">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个人防护用品（安全帽、手套、防护鞋等）。</w:t>
      </w:r>
    </w:p>
    <w:p w14:paraId="2A41B7F3">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（以上设备应在响应文件中列明，并承诺保持良好状态）</w:t>
      </w:r>
    </w:p>
    <w:p w14:paraId="7EA4A3F1">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（五）服务承诺</w:t>
      </w:r>
    </w:p>
    <w:p w14:paraId="1CC174AC">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乙方应保证每月检查按时开展，不得无故拖延或减少频次。</w:t>
      </w:r>
    </w:p>
    <w:p w14:paraId="4783F292">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对发现的隐患，乙方应提供整改建议并配合甲方进行技术咨询。</w:t>
      </w:r>
    </w:p>
    <w:p w14:paraId="5B48610A">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简单问题协助处理响应时间不超过24小时（紧急情况2小时内到场）。</w:t>
      </w:r>
    </w:p>
    <w:p w14:paraId="4398C17A">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所有报告和数据应真实、准确，不得弄虚作假。</w:t>
      </w:r>
    </w:p>
    <w:p w14:paraId="2B22B5E0">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严格遵守学校安全管理规定，进校检查前办理相关手续，检查过程中注意安全，避免影响正常教学秩序。</w:t>
      </w:r>
    </w:p>
    <w:p w14:paraId="62CC3CB7">
      <w:pPr>
        <w:adjustRightInd w:val="0"/>
        <w:snapToGrid w:val="0"/>
        <w:spacing w:line="560" w:lineRule="exact"/>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每次进校检查前，乙方应至少提前2个工作日通知甲方，由甲方安排人员陪同检查，确保检查过程符合学校安全管理规定。</w:t>
      </w:r>
    </w:p>
    <w:p w14:paraId="566A45B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right="0" w:rightChars="0"/>
        <w:textAlignment w:val="auto"/>
        <w:rPr>
          <w:rFonts w:hint="eastAsia" w:ascii="仿宋" w:hAnsi="仿宋" w:eastAsia="仿宋" w:cs="仿宋"/>
          <w:color w:val="auto"/>
          <w:sz w:val="32"/>
          <w:szCs w:val="32"/>
          <w:highlight w:val="none"/>
          <w:lang w:val="en-US" w:eastAsia="zh-CN"/>
        </w:rPr>
      </w:pPr>
      <w:r>
        <w:rPr>
          <w:rFonts w:hint="eastAsia"/>
          <w:color w:val="auto"/>
          <w:lang w:val="en-US" w:eastAsia="zh-CN"/>
        </w:rPr>
        <w:t>7.</w:t>
      </w:r>
      <w:r>
        <w:rPr>
          <w:rFonts w:hint="eastAsia" w:ascii="仿宋" w:hAnsi="仿宋" w:eastAsia="仿宋" w:cs="仿宋"/>
          <w:color w:val="auto"/>
          <w:sz w:val="32"/>
          <w:szCs w:val="32"/>
          <w:highlight w:val="none"/>
          <w:lang w:val="en-US" w:eastAsia="zh-CN"/>
        </w:rPr>
        <w:t>协助开展消防安全检查：</w:t>
      </w:r>
    </w:p>
    <w:p w14:paraId="48B8ECA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学校接受必要的安全检查迎检工作时，乙方有义务指派相关1-2名消防技术人员配合检查，提供相关技术服务，甲方应在检查前一天进行通知。</w:t>
      </w:r>
    </w:p>
    <w:p w14:paraId="524DFA51">
      <w:pPr>
        <w:bidi w:val="0"/>
        <w:rPr>
          <w:rFonts w:hint="default" w:eastAsia="宋体"/>
          <w:color w:val="FF0000"/>
          <w:lang w:val="en-US" w:eastAsia="zh-CN"/>
        </w:rPr>
      </w:pPr>
    </w:p>
    <w:p w14:paraId="6079169C">
      <w:pPr>
        <w:bidi w:val="0"/>
        <w:rPr>
          <w:rFonts w:hint="eastAsia" w:eastAsia="宋体"/>
          <w:color w:val="FF0000"/>
          <w:lang w:eastAsia="zh-CN"/>
        </w:rPr>
      </w:pPr>
    </w:p>
    <w:p w14:paraId="1F230C4C">
      <w:pPr>
        <w:bidi w:val="0"/>
        <w:rPr>
          <w:rFonts w:hint="eastAsia" w:eastAsia="宋体"/>
          <w:lang w:eastAsia="zh-CN"/>
        </w:rPr>
      </w:pPr>
    </w:p>
    <w:p w14:paraId="30FA236F">
      <w:pPr>
        <w:bidi w:val="0"/>
        <w:rPr>
          <w:rFonts w:hint="eastAsia" w:eastAsia="宋体"/>
          <w:lang w:eastAsia="zh-CN"/>
        </w:rPr>
      </w:pPr>
    </w:p>
    <w:p w14:paraId="64C43FFC">
      <w:pPr>
        <w:bidi w:val="0"/>
        <w:rPr>
          <w:rFonts w:hint="eastAsia" w:eastAsia="宋体"/>
          <w:lang w:eastAsia="zh-CN"/>
        </w:rPr>
      </w:pPr>
    </w:p>
    <w:p w14:paraId="66A7F85F">
      <w:pPr>
        <w:bidi w:val="0"/>
        <w:rPr>
          <w:rFonts w:hint="eastAsia" w:eastAsia="宋体"/>
          <w:lang w:eastAsia="zh-CN"/>
        </w:rPr>
      </w:pPr>
    </w:p>
    <w:p w14:paraId="3B7456CE">
      <w:pPr>
        <w:pStyle w:val="2"/>
        <w:adjustRightInd w:val="0"/>
        <w:snapToGrid w:val="0"/>
        <w:spacing w:line="560" w:lineRule="exact"/>
        <w:rPr>
          <w:rFonts w:hint="eastAsia" w:asciiTheme="majorEastAsia" w:hAnsiTheme="majorEastAsia" w:eastAsiaTheme="majorEastAsia" w:cstheme="majorEastAsia"/>
          <w:sz w:val="44"/>
          <w:lang w:val="en-US" w:eastAsia="zh-CN"/>
        </w:rPr>
      </w:pPr>
      <w:r>
        <w:rPr>
          <w:rFonts w:hint="eastAsia" w:asciiTheme="majorEastAsia" w:hAnsiTheme="majorEastAsia" w:eastAsiaTheme="majorEastAsia" w:cstheme="majorEastAsia"/>
          <w:sz w:val="44"/>
          <w:lang w:val="en-US" w:eastAsia="zh-CN"/>
        </w:rPr>
        <w:t>第六部分 报价文件格式</w:t>
      </w:r>
      <w:bookmarkEnd w:id="53"/>
      <w:bookmarkEnd w:id="54"/>
      <w:bookmarkEnd w:id="55"/>
      <w:bookmarkEnd w:id="56"/>
    </w:p>
    <w:p w14:paraId="620830D5">
      <w:pPr>
        <w:adjustRightInd w:val="0"/>
        <w:snapToGrid w:val="0"/>
        <w:spacing w:line="560" w:lineRule="exact"/>
        <w:ind w:left="638" w:leftChars="228"/>
        <w:rPr>
          <w:rFonts w:ascii="黑体" w:hAnsi="黑体" w:eastAsia="黑体" w:cs="黑体"/>
          <w:sz w:val="32"/>
          <w:szCs w:val="32"/>
        </w:rPr>
      </w:pPr>
      <w:r>
        <w:rPr>
          <w:rFonts w:hint="eastAsia" w:ascii="黑体" w:hAnsi="黑体" w:eastAsia="黑体" w:cs="黑体"/>
          <w:sz w:val="32"/>
          <w:szCs w:val="32"/>
        </w:rPr>
        <w:t>一、商务部分</w:t>
      </w:r>
    </w:p>
    <w:p w14:paraId="014AC6B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响应承诺函</w:t>
      </w:r>
      <w:r>
        <w:rPr>
          <w:rFonts w:hint="eastAsia" w:ascii="仿宋" w:hAnsi="仿宋" w:eastAsia="仿宋" w:cs="仿宋"/>
          <w:sz w:val="32"/>
          <w:szCs w:val="32"/>
        </w:rPr>
        <w:t>（详见附件1）</w:t>
      </w:r>
    </w:p>
    <w:p w14:paraId="49319D4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2.★如为授权代表签字，提供法定代表人授权书（详见附件2）</w:t>
      </w:r>
    </w:p>
    <w:p w14:paraId="5A63668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3.★近三年内，在经营活动中没有重大违法记录的声明（详见附件3）</w:t>
      </w:r>
    </w:p>
    <w:p w14:paraId="3798107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4.★商务响应表（详见附件4）</w:t>
      </w:r>
    </w:p>
    <w:p w14:paraId="07643F1B">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二、资信部分</w:t>
      </w:r>
    </w:p>
    <w:p w14:paraId="0B6D7150">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4AF78290">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三、技术部分</w:t>
      </w:r>
    </w:p>
    <w:p w14:paraId="4449A09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1.对本项目的技术服务类总体要求的理解（如有）</w:t>
      </w:r>
    </w:p>
    <w:p w14:paraId="3F72B1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2.项目总体架构及技术解决方案、技术保证措施、供货方案等（如有）</w:t>
      </w:r>
    </w:p>
    <w:p w14:paraId="05450BD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3.★技术响应表（详见附件5）</w:t>
      </w:r>
    </w:p>
    <w:p w14:paraId="591DA06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4.投标货物产品图片等证明货物的合格性和符合磋商文件规定的技术资料。（如有）</w:t>
      </w:r>
    </w:p>
    <w:p w14:paraId="50BFDF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5.供应商或制造商在采购人所属地区的售后服务维修机构数量及分布情况（如有）。</w:t>
      </w:r>
    </w:p>
    <w:p w14:paraId="6A2E42B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6.技术服务、技术培训、售后服务的内容和措施（如有）。</w:t>
      </w:r>
    </w:p>
    <w:p w14:paraId="25B18DF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7.供应商同类项目实施情况一览表并提供能证明其业绩属实的合同复印件（如有）。</w:t>
      </w:r>
    </w:p>
    <w:p w14:paraId="41133728">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8.选配件、专用耗材、售后服务优惠表（如有）。</w:t>
      </w:r>
    </w:p>
    <w:p w14:paraId="563A25F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9.磋商文件规定或供应商认为其它应介绍或提交的资料和文件。</w:t>
      </w:r>
    </w:p>
    <w:p w14:paraId="0649EA6F">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四、报价部分</w:t>
      </w:r>
    </w:p>
    <w:p w14:paraId="43D31E9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★报价一览表（详见附件6）</w:t>
      </w:r>
    </w:p>
    <w:p w14:paraId="244F67EC">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五、特别说明</w:t>
      </w:r>
    </w:p>
    <w:p w14:paraId="35439E7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以上格式中标注“★”的，供应商必须提供，未提供或未按要求提供的，一律为无效投标。</w:t>
      </w:r>
    </w:p>
    <w:p w14:paraId="755F8641">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4F57C4E">
      <w:pPr>
        <w:rPr>
          <w:rFonts w:ascii="方正公文黑体" w:hAnsi="方正公文黑体" w:eastAsia="方正公文黑体" w:cs="方正公文黑体"/>
          <w:sz w:val="36"/>
          <w:szCs w:val="36"/>
        </w:rPr>
      </w:pPr>
      <w:bookmarkStart w:id="57" w:name="_Toc40089800"/>
      <w:bookmarkStart w:id="58" w:name="_Toc14759"/>
      <w:bookmarkStart w:id="59" w:name="_Toc356490394"/>
      <w:bookmarkStart w:id="60" w:name="_Toc356491342"/>
      <w:r>
        <w:rPr>
          <w:rFonts w:hint="eastAsia" w:ascii="方正公文黑体" w:hAnsi="方正公文黑体" w:eastAsia="方正公文黑体" w:cs="方正公文黑体"/>
          <w:sz w:val="36"/>
          <w:szCs w:val="36"/>
        </w:rPr>
        <w:t>附件</w:t>
      </w:r>
      <w:bookmarkEnd w:id="57"/>
      <w:bookmarkEnd w:id="58"/>
    </w:p>
    <w:p w14:paraId="04B4E8E2">
      <w:pPr>
        <w:jc w:val="center"/>
        <w:rPr>
          <w:rFonts w:ascii="仿宋_GB2312" w:hAnsi="仿宋_GB2312" w:eastAsia="仿宋_GB2312" w:cs="仿宋_GB2312"/>
          <w:b/>
        </w:rPr>
      </w:pPr>
    </w:p>
    <w:p w14:paraId="5FDA6700">
      <w:pPr>
        <w:jc w:val="center"/>
        <w:rPr>
          <w:rFonts w:ascii="仿宋_GB2312" w:hAnsi="仿宋_GB2312" w:eastAsia="仿宋_GB2312" w:cs="仿宋_GB2312"/>
          <w:b/>
        </w:rPr>
      </w:pPr>
    </w:p>
    <w:p w14:paraId="7281881F">
      <w:pPr>
        <w:jc w:val="center"/>
        <w:rPr>
          <w:rFonts w:ascii="仿宋_GB2312" w:hAnsi="仿宋_GB2312" w:eastAsia="仿宋_GB2312" w:cs="仿宋_GB2312"/>
          <w:b/>
        </w:rPr>
      </w:pPr>
    </w:p>
    <w:p w14:paraId="6C68088A">
      <w:pPr>
        <w:jc w:val="center"/>
        <w:rPr>
          <w:rFonts w:ascii="仿宋_GB2312" w:hAnsi="仿宋_GB2312" w:eastAsia="仿宋_GB2312" w:cs="仿宋_GB2312"/>
          <w:b/>
        </w:rPr>
      </w:pPr>
    </w:p>
    <w:p w14:paraId="422C3C32">
      <w:pPr>
        <w:ind w:firstLine="2209" w:firstLineChars="500"/>
        <w:rPr>
          <w:rFonts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hAnsi="仿宋_GB2312" w:eastAsia="仿宋_GB2312" w:cs="仿宋_GB2312"/>
          <w:b/>
          <w:bCs w:val="0"/>
          <w:sz w:val="36"/>
          <w:szCs w:val="36"/>
        </w:rPr>
      </w:pPr>
      <w:bookmarkStart w:id="61" w:name="_Toc1227"/>
      <w:bookmarkStart w:id="62" w:name="_Toc40089801"/>
      <w:r>
        <w:rPr>
          <w:rFonts w:hint="eastAsia" w:ascii="仿宋_GB2312" w:hAnsi="仿宋_GB2312" w:eastAsia="仿宋_GB2312" w:cs="仿宋_GB2312"/>
          <w:b/>
          <w:bCs w:val="0"/>
          <w:sz w:val="36"/>
          <w:szCs w:val="36"/>
        </w:rPr>
        <w:t>正本或副本</w:t>
      </w:r>
      <w:bookmarkEnd w:id="61"/>
      <w:bookmarkEnd w:id="62"/>
    </w:p>
    <w:p w14:paraId="491510B1">
      <w:pPr>
        <w:ind w:firstLine="2168" w:firstLineChars="600"/>
        <w:rPr>
          <w:rFonts w:ascii="仿宋_GB2312" w:hAnsi="仿宋_GB2312" w:eastAsia="仿宋_GB2312" w:cs="仿宋_GB2312"/>
          <w:b/>
          <w:bCs w:val="0"/>
          <w:sz w:val="36"/>
          <w:szCs w:val="36"/>
          <w:u w:val="single"/>
        </w:rPr>
      </w:pPr>
      <w:bookmarkStart w:id="63" w:name="_Toc27492"/>
      <w:bookmarkStart w:id="64" w:name="_Toc40089802"/>
      <w:r>
        <w:rPr>
          <w:rFonts w:hint="eastAsia" w:ascii="仿宋_GB2312" w:hAnsi="仿宋_GB2312" w:eastAsia="仿宋_GB2312" w:cs="仿宋_GB2312"/>
          <w:b/>
          <w:bCs w:val="0"/>
          <w:sz w:val="36"/>
          <w:szCs w:val="36"/>
          <w:u w:val="single"/>
        </w:rPr>
        <w:t>（项目名称）</w:t>
      </w:r>
      <w:bookmarkEnd w:id="63"/>
      <w:bookmarkEnd w:id="64"/>
      <w:bookmarkStart w:id="65" w:name="_Toc2490"/>
      <w:bookmarkStart w:id="66" w:name="_Toc40089803"/>
      <w:r>
        <w:rPr>
          <w:rFonts w:hint="eastAsia" w:ascii="仿宋_GB2312" w:hAnsi="仿宋_GB2312" w:eastAsia="仿宋_GB2312" w:cs="仿宋_GB2312"/>
          <w:b/>
          <w:bCs w:val="0"/>
          <w:sz w:val="36"/>
          <w:szCs w:val="36"/>
          <w:u w:val="single"/>
        </w:rPr>
        <w:t xml:space="preserve">             </w:t>
      </w:r>
    </w:p>
    <w:p w14:paraId="285564F6">
      <w:pPr>
        <w:rPr>
          <w:rFonts w:ascii="仿宋_GB2312" w:hAnsi="仿宋_GB2312" w:eastAsia="仿宋_GB2312" w:cs="仿宋_GB2312"/>
        </w:rPr>
      </w:pPr>
    </w:p>
    <w:p w14:paraId="620101EE">
      <w:pPr>
        <w:ind w:firstLine="2168" w:firstLineChars="600"/>
        <w:rPr>
          <w:rFonts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5"/>
      <w:bookmarkEnd w:id="66"/>
      <w:r>
        <w:rPr>
          <w:rFonts w:hint="eastAsia" w:ascii="仿宋_GB2312" w:hAnsi="仿宋_GB2312" w:eastAsia="仿宋_GB2312" w:cs="仿宋_GB2312"/>
          <w:b/>
          <w:bCs w:val="0"/>
          <w:sz w:val="36"/>
          <w:szCs w:val="36"/>
          <w:u w:val="single"/>
        </w:rPr>
        <w:t xml:space="preserve">             </w:t>
      </w:r>
    </w:p>
    <w:p w14:paraId="6FC530A1">
      <w:pPr>
        <w:rPr>
          <w:rFonts w:ascii="仿宋_GB2312" w:hAnsi="仿宋_GB2312" w:eastAsia="仿宋_GB2312" w:cs="仿宋_GB2312"/>
        </w:rPr>
      </w:pPr>
    </w:p>
    <w:p w14:paraId="31132BC3">
      <w:pPr>
        <w:rPr>
          <w:rFonts w:ascii="仿宋_GB2312" w:hAnsi="仿宋_GB2312" w:eastAsia="仿宋_GB2312" w:cs="仿宋_GB2312"/>
        </w:rPr>
      </w:pPr>
    </w:p>
    <w:p w14:paraId="51604168">
      <w:pPr>
        <w:jc w:val="center"/>
        <w:rPr>
          <w:rFonts w:ascii="仿宋_GB2312" w:hAnsi="仿宋_GB2312" w:eastAsia="仿宋_GB2312" w:cs="仿宋_GB2312"/>
          <w:b/>
          <w:bCs w:val="0"/>
          <w:sz w:val="52"/>
          <w:szCs w:val="52"/>
        </w:rPr>
      </w:pPr>
      <w:bookmarkStart w:id="67" w:name="_Toc17456"/>
      <w:bookmarkStart w:id="68" w:name="_Toc40089805"/>
    </w:p>
    <w:p w14:paraId="6BF2A2C0">
      <w:pPr>
        <w:jc w:val="center"/>
        <w:rPr>
          <w:rFonts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7"/>
      <w:bookmarkEnd w:id="68"/>
    </w:p>
    <w:p w14:paraId="0A3C129F">
      <w:pPr>
        <w:rPr>
          <w:rFonts w:ascii="仿宋_GB2312" w:hAnsi="仿宋_GB2312" w:eastAsia="仿宋_GB2312" w:cs="仿宋_GB2312"/>
        </w:rPr>
      </w:pPr>
    </w:p>
    <w:p w14:paraId="2C02A9DC">
      <w:pPr>
        <w:rPr>
          <w:rFonts w:ascii="仿宋_GB2312" w:hAnsi="仿宋_GB2312" w:eastAsia="仿宋_GB2312" w:cs="仿宋_GB2312"/>
        </w:rPr>
      </w:pPr>
    </w:p>
    <w:p w14:paraId="32817FAC">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69" w:name="_Toc40089806"/>
      <w:bookmarkStart w:id="70" w:name="_Toc25141"/>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9"/>
      <w:bookmarkEnd w:id="70"/>
    </w:p>
    <w:p w14:paraId="4AF6BE83">
      <w:pPr>
        <w:adjustRightInd w:val="0"/>
        <w:snapToGrid w:val="0"/>
        <w:spacing w:line="560" w:lineRule="exact"/>
        <w:ind w:firstLine="964" w:firstLineChars="300"/>
        <w:rPr>
          <w:rFonts w:ascii="仿宋_GB2312" w:hAnsi="仿宋_GB2312" w:eastAsia="仿宋_GB2312" w:cs="仿宋_GB2312"/>
          <w:b/>
          <w:bCs w:val="0"/>
          <w:sz w:val="32"/>
          <w:szCs w:val="32"/>
          <w:u w:val="single"/>
        </w:rPr>
      </w:pPr>
      <w:bookmarkStart w:id="71" w:name="_Toc27017"/>
      <w:bookmarkStart w:id="72"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71"/>
      <w:bookmarkEnd w:id="72"/>
      <w:r>
        <w:rPr>
          <w:rFonts w:hint="eastAsia" w:ascii="仿宋_GB2312" w:hAnsi="仿宋_GB2312" w:eastAsia="仿宋_GB2312" w:cs="仿宋_GB2312"/>
          <w:b/>
          <w:bCs w:val="0"/>
          <w:sz w:val="32"/>
          <w:szCs w:val="32"/>
          <w:u w:val="single"/>
        </w:rPr>
        <w:t xml:space="preserve">       </w:t>
      </w:r>
    </w:p>
    <w:p w14:paraId="6AE0DD3B">
      <w:pPr>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7AE5AF81">
      <w:pPr>
        <w:pStyle w:val="19"/>
        <w:adjustRightInd w:val="0"/>
        <w:snapToGrid w:val="0"/>
        <w:spacing w:line="560" w:lineRule="exact"/>
        <w:ind w:firstLine="964" w:firstLineChars="300"/>
        <w:rPr>
          <w:rFonts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4551F237">
      <w:pPr>
        <w:rPr>
          <w:rFonts w:ascii="仿宋_GB2312" w:hAnsi="仿宋_GB2312" w:eastAsia="仿宋_GB2312" w:cs="仿宋_GB2312"/>
        </w:rPr>
      </w:pPr>
      <w:r>
        <w:rPr>
          <w:rFonts w:hint="eastAsia" w:ascii="仿宋_GB2312" w:hAnsi="仿宋_GB2312" w:eastAsia="仿宋_GB2312" w:cs="仿宋_GB2312"/>
        </w:rPr>
        <w:br w:type="page"/>
      </w:r>
    </w:p>
    <w:p w14:paraId="58ECF7F5">
      <w:pPr>
        <w:pStyle w:val="2"/>
        <w:spacing w:line="240" w:lineRule="auto"/>
        <w:rPr>
          <w:rFonts w:ascii="仿宋_GB2312" w:hAnsi="仿宋_GB2312" w:eastAsia="仿宋_GB2312" w:cs="仿宋_GB2312"/>
          <w:szCs w:val="36"/>
        </w:rPr>
      </w:pPr>
      <w:bookmarkStart w:id="73" w:name="_Toc9943"/>
      <w:bookmarkStart w:id="74" w:name="_Toc25558"/>
      <w:bookmarkStart w:id="75" w:name="_Toc40089808"/>
      <w:r>
        <w:rPr>
          <w:rFonts w:hint="eastAsia"/>
        </w:rPr>
        <w:t>一、商务部分</w:t>
      </w:r>
      <w:bookmarkEnd w:id="73"/>
    </w:p>
    <w:p w14:paraId="34FFC79C">
      <w:pPr>
        <w:rPr>
          <w:rFonts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9"/>
      <w:bookmarkEnd w:id="60"/>
      <w:bookmarkEnd w:id="74"/>
      <w:bookmarkEnd w:id="75"/>
    </w:p>
    <w:p w14:paraId="72A564FA">
      <w:pPr>
        <w:pStyle w:val="21"/>
        <w:spacing w:line="360" w:lineRule="auto"/>
        <w:jc w:val="center"/>
        <w:rPr>
          <w:rFonts w:ascii="仿宋_GB2312" w:hAnsi="仿宋_GB2312" w:eastAsia="仿宋_GB2312" w:cs="仿宋_GB2312"/>
          <w:b/>
          <w:bCs w:val="0"/>
          <w:sz w:val="36"/>
          <w:szCs w:val="36"/>
        </w:rPr>
      </w:pPr>
      <w:bookmarkStart w:id="76" w:name="_Toc7957"/>
      <w:bookmarkStart w:id="77" w:name="_Toc40"/>
      <w:r>
        <w:rPr>
          <w:rFonts w:hint="eastAsia" w:ascii="仿宋_GB2312" w:hAnsi="仿宋_GB2312" w:eastAsia="仿宋_GB2312" w:cs="仿宋_GB2312"/>
          <w:b/>
          <w:bCs w:val="0"/>
          <w:sz w:val="36"/>
          <w:szCs w:val="36"/>
        </w:rPr>
        <w:t>响应承诺函</w:t>
      </w:r>
      <w:bookmarkEnd w:id="76"/>
      <w:bookmarkEnd w:id="77"/>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90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8A2CFC7">
      <w:pPr>
        <w:adjustRightInd w:val="0"/>
        <w:snapToGrid w:val="0"/>
        <w:spacing w:line="560" w:lineRule="exact"/>
        <w:rPr>
          <w:rFonts w:ascii="仿宋_GB2312" w:hAnsi="仿宋_GB2312" w:eastAsia="仿宋_GB2312" w:cs="仿宋_GB2312"/>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bookmarkStart w:id="78" w:name="_Toc323129568"/>
      <w:bookmarkStart w:id="79" w:name="_Toc323130135"/>
      <w:bookmarkStart w:id="80" w:name="_Toc26307"/>
      <w:bookmarkStart w:id="81" w:name="_Toc325620729"/>
      <w:bookmarkStart w:id="82" w:name="_Toc40089809"/>
      <w:bookmarkStart w:id="83" w:name="_Toc356491343"/>
      <w:r>
        <w:rPr>
          <w:rFonts w:hint="eastAsia" w:ascii="方正公文黑体" w:hAnsi="方正公文黑体" w:eastAsia="方正公文黑体" w:cs="方正公文黑体"/>
          <w:sz w:val="36"/>
          <w:szCs w:val="36"/>
        </w:rPr>
        <w:t>附件</w:t>
      </w:r>
      <w:bookmarkEnd w:id="78"/>
      <w:bookmarkEnd w:id="79"/>
      <w:r>
        <w:rPr>
          <w:rFonts w:hint="eastAsia" w:ascii="方正公文黑体" w:hAnsi="方正公文黑体" w:eastAsia="方正公文黑体" w:cs="方正公文黑体"/>
          <w:sz w:val="36"/>
          <w:szCs w:val="36"/>
        </w:rPr>
        <w:t>2</w:t>
      </w:r>
      <w:bookmarkEnd w:id="80"/>
      <w:bookmarkEnd w:id="81"/>
      <w:bookmarkEnd w:id="82"/>
      <w:bookmarkEnd w:id="83"/>
      <w:bookmarkStart w:id="84" w:name="_Toc356491344"/>
      <w:bookmarkStart w:id="85" w:name="_Toc356490395"/>
    </w:p>
    <w:p w14:paraId="066A086B">
      <w:pPr>
        <w:pStyle w:val="21"/>
        <w:spacing w:line="360" w:lineRule="auto"/>
        <w:jc w:val="center"/>
        <w:rPr>
          <w:rFonts w:hint="eastAsia" w:ascii="仿宋_GB2312" w:hAnsi="仿宋_GB2312" w:eastAsia="仿宋_GB2312" w:cs="仿宋_GB2312"/>
          <w:b/>
          <w:bCs w:val="0"/>
          <w:sz w:val="36"/>
          <w:szCs w:val="36"/>
        </w:rPr>
      </w:pPr>
      <w:bookmarkStart w:id="86" w:name="_Toc3901"/>
      <w:bookmarkStart w:id="87" w:name="_Toc14824"/>
      <w:bookmarkStart w:id="88" w:name="_Toc28196"/>
      <w:bookmarkStart w:id="89" w:name="_Toc524016633"/>
      <w:bookmarkStart w:id="90" w:name="_Toc22979"/>
      <w:bookmarkStart w:id="91" w:name="_Toc23717"/>
      <w:bookmarkStart w:id="92" w:name="_Toc8229"/>
      <w:bookmarkStart w:id="93" w:name="_Toc524016738"/>
      <w:bookmarkStart w:id="94" w:name="_Toc16945"/>
      <w:bookmarkStart w:id="95" w:name="_Toc524016575"/>
      <w:bookmarkStart w:id="96" w:name="_Toc32320_WPSOffice_Level2"/>
    </w:p>
    <w:p w14:paraId="1B952390">
      <w:pPr>
        <w:pStyle w:val="21"/>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bookmarkEnd w:id="86"/>
      <w:bookmarkEnd w:id="87"/>
      <w:bookmarkEnd w:id="88"/>
      <w:bookmarkEnd w:id="89"/>
      <w:bookmarkEnd w:id="90"/>
      <w:bookmarkEnd w:id="91"/>
      <w:bookmarkEnd w:id="92"/>
      <w:bookmarkEnd w:id="93"/>
      <w:bookmarkEnd w:id="94"/>
      <w:bookmarkEnd w:id="95"/>
      <w:bookmarkEnd w:id="96"/>
    </w:p>
    <w:p w14:paraId="175ED9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45C0F8F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3D439EED">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2150252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4541C2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5E4240B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50D92DBC">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0F362C4A">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4EECC64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5579EBF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056F52E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0845A5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11018758">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230E1146">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6EBAAB5F">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482C7111">
      <w:pPr>
        <w:pStyle w:val="21"/>
        <w:spacing w:line="360" w:lineRule="auto"/>
        <w:jc w:val="center"/>
        <w:rPr>
          <w:rFonts w:hint="eastAsia" w:ascii="仿宋_GB2312" w:hAnsi="仿宋_GB2312" w:eastAsia="仿宋_GB2312" w:cs="仿宋_GB2312"/>
          <w:b/>
          <w:bCs w:val="0"/>
          <w:sz w:val="36"/>
          <w:szCs w:val="36"/>
        </w:rPr>
      </w:pPr>
    </w:p>
    <w:p w14:paraId="5A97541D">
      <w:pPr>
        <w:pStyle w:val="21"/>
        <w:spacing w:line="360" w:lineRule="auto"/>
        <w:jc w:val="center"/>
        <w:rPr>
          <w:rFonts w:hint="eastAsia" w:ascii="仿宋_GB2312" w:hAnsi="仿宋_GB2312" w:eastAsia="仿宋_GB2312" w:cs="仿宋_GB2312"/>
          <w:b/>
          <w:bCs w:val="0"/>
          <w:sz w:val="36"/>
          <w:szCs w:val="36"/>
        </w:rPr>
      </w:pPr>
    </w:p>
    <w:p w14:paraId="6A324B3F">
      <w:pPr>
        <w:pStyle w:val="21"/>
        <w:spacing w:line="360" w:lineRule="auto"/>
        <w:jc w:val="center"/>
        <w:rPr>
          <w:rFonts w:hint="eastAsia" w:ascii="仿宋_GB2312" w:hAnsi="仿宋_GB2312" w:eastAsia="仿宋_GB2312" w:cs="仿宋_GB2312"/>
          <w:b/>
          <w:bCs w:val="0"/>
          <w:sz w:val="36"/>
          <w:szCs w:val="36"/>
        </w:rPr>
      </w:pPr>
    </w:p>
    <w:p w14:paraId="344B0A63">
      <w:pPr>
        <w:pStyle w:val="21"/>
        <w:spacing w:line="360" w:lineRule="auto"/>
        <w:jc w:val="center"/>
        <w:rPr>
          <w:rFonts w:hint="eastAsia" w:ascii="仿宋_GB2312" w:hAnsi="仿宋_GB2312" w:eastAsia="仿宋_GB2312" w:cs="仿宋_GB2312"/>
          <w:b/>
          <w:bCs w:val="0"/>
          <w:sz w:val="36"/>
          <w:szCs w:val="36"/>
        </w:rPr>
      </w:pPr>
    </w:p>
    <w:p w14:paraId="338B09B7">
      <w:pPr>
        <w:pStyle w:val="21"/>
        <w:spacing w:line="360" w:lineRule="auto"/>
        <w:jc w:val="center"/>
        <w:rPr>
          <w:rFonts w:hint="eastAsia" w:ascii="仿宋_GB2312" w:hAnsi="仿宋_GB2312" w:eastAsia="仿宋_GB2312" w:cs="仿宋_GB2312"/>
          <w:b/>
          <w:bCs w:val="0"/>
          <w:sz w:val="36"/>
          <w:szCs w:val="36"/>
        </w:rPr>
      </w:pPr>
    </w:p>
    <w:p w14:paraId="172DCD55">
      <w:pPr>
        <w:pStyle w:val="21"/>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5040EA3D">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DF07A43">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6748C81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6702A20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5AD112A0">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p>
    <w:p w14:paraId="2B22360E">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EF8DF0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0CBB5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6B11E93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5AAD6CB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0660A87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68B22A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7FC268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4A753D4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7F7B97E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p>
    <w:p w14:paraId="1A979B0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3448B1D8">
      <w:pPr>
        <w:rPr>
          <w:rFonts w:ascii="仿宋_GB2312" w:hAnsi="仿宋_GB2312" w:eastAsia="仿宋_GB2312" w:cs="仿宋_GB2312"/>
        </w:rPr>
      </w:pPr>
      <w:r>
        <w:rPr>
          <w:rFonts w:hint="eastAsia" w:ascii="仿宋_GB2312" w:hAnsi="仿宋_GB2312" w:eastAsia="仿宋_GB2312" w:cs="仿宋_GB2312"/>
          <w:szCs w:val="28"/>
        </w:rPr>
        <w:br w:type="page"/>
      </w:r>
      <w:bookmarkStart w:id="97" w:name="_Toc24686"/>
      <w:bookmarkStart w:id="98" w:name="_Toc513627405"/>
      <w:bookmarkStart w:id="99" w:name="_Toc40089810"/>
      <w:r>
        <w:rPr>
          <w:rFonts w:hint="eastAsia" w:ascii="方正公文黑体" w:hAnsi="方正公文黑体" w:eastAsia="方正公文黑体" w:cs="方正公文黑体"/>
          <w:sz w:val="36"/>
          <w:szCs w:val="36"/>
        </w:rPr>
        <w:t>附件3</w:t>
      </w:r>
    </w:p>
    <w:p w14:paraId="10D71918">
      <w:pPr>
        <w:rPr>
          <w:rFonts w:ascii="仿宋_GB2312" w:hAnsi="仿宋_GB2312" w:eastAsia="仿宋_GB2312" w:cs="仿宋_GB2312"/>
        </w:rPr>
      </w:pPr>
    </w:p>
    <w:p w14:paraId="65A82368">
      <w:pPr>
        <w:pStyle w:val="21"/>
        <w:snapToGrid w:val="0"/>
        <w:spacing w:after="0" w:line="560" w:lineRule="exact"/>
        <w:jc w:val="center"/>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97"/>
      <w:bookmarkEnd w:id="98"/>
      <w:bookmarkEnd w:id="99"/>
      <w:r>
        <w:rPr>
          <w:rFonts w:hint="eastAsia" w:ascii="仿宋_GB2312" w:hAnsi="仿宋_GB2312" w:eastAsia="仿宋_GB2312" w:cs="仿宋_GB2312"/>
          <w:b/>
          <w:bCs w:val="0"/>
          <w:sz w:val="32"/>
          <w:szCs w:val="32"/>
        </w:rPr>
        <w:t>函</w:t>
      </w:r>
    </w:p>
    <w:p w14:paraId="5E114EFA">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75A2BD7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138A87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我单位近三年内在经营活动中没有重大违法记录，特此声明。</w:t>
      </w:r>
    </w:p>
    <w:p w14:paraId="555DD0C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若招标采购单位在本项目采购过程中，发现我单位近三年内在经营活动中有重大违法记录，我单位将无条件退出本项目的报价，并承担因此引起的一切后果。</w:t>
      </w:r>
    </w:p>
    <w:p w14:paraId="06DB5F5E">
      <w:pPr>
        <w:snapToGrid w:val="0"/>
        <w:spacing w:line="560" w:lineRule="exact"/>
        <w:ind w:firstLine="480"/>
        <w:rPr>
          <w:rFonts w:hint="eastAsia" w:ascii="仿宋" w:hAnsi="仿宋" w:eastAsia="仿宋" w:cs="仿宋"/>
          <w:sz w:val="32"/>
          <w:szCs w:val="32"/>
        </w:rPr>
      </w:pPr>
    </w:p>
    <w:p w14:paraId="0A1C8348">
      <w:pPr>
        <w:snapToGrid w:val="0"/>
        <w:spacing w:line="560" w:lineRule="exact"/>
        <w:rPr>
          <w:rFonts w:hint="eastAsia" w:ascii="仿宋" w:hAnsi="仿宋" w:eastAsia="仿宋" w:cs="仿宋"/>
          <w:sz w:val="32"/>
          <w:szCs w:val="32"/>
        </w:rPr>
      </w:pPr>
    </w:p>
    <w:p w14:paraId="776CDF4B">
      <w:pPr>
        <w:snapToGrid w:val="0"/>
        <w:spacing w:line="560" w:lineRule="exact"/>
        <w:rPr>
          <w:rFonts w:hint="eastAsia" w:ascii="仿宋" w:hAnsi="仿宋" w:eastAsia="仿宋" w:cs="仿宋"/>
          <w:sz w:val="32"/>
          <w:szCs w:val="32"/>
        </w:rPr>
      </w:pPr>
    </w:p>
    <w:p w14:paraId="5042CD01">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0C0C6C2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5D2F4EEB">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40656F12">
      <w:pPr>
        <w:snapToGrid w:val="0"/>
        <w:spacing w:line="560" w:lineRule="exact"/>
        <w:ind w:firstLine="480"/>
        <w:rPr>
          <w:rFonts w:hint="eastAsia" w:ascii="仿宋" w:hAnsi="仿宋" w:eastAsia="仿宋" w:cs="仿宋"/>
          <w:sz w:val="32"/>
          <w:szCs w:val="32"/>
        </w:rPr>
      </w:pPr>
      <w:r>
        <w:rPr>
          <w:rFonts w:hint="eastAsia" w:ascii="仿宋" w:hAnsi="仿宋" w:eastAsia="仿宋" w:cs="仿宋"/>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68AD35FA">
      <w:pPr>
        <w:rPr>
          <w:rFonts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100" w:name="_Toc9292"/>
      <w:bookmarkStart w:id="101" w:name="_Toc40089811"/>
      <w:r>
        <w:rPr>
          <w:rFonts w:hint="eastAsia" w:ascii="方正公文黑体" w:hAnsi="方正公文黑体" w:eastAsia="方正公文黑体" w:cs="方正公文黑体"/>
          <w:sz w:val="36"/>
          <w:szCs w:val="36"/>
        </w:rPr>
        <w:t>附件4</w:t>
      </w:r>
      <w:bookmarkEnd w:id="100"/>
      <w:bookmarkEnd w:id="101"/>
    </w:p>
    <w:p w14:paraId="086ABF27">
      <w:pPr>
        <w:pStyle w:val="10"/>
        <w:spacing w:before="0" w:after="0"/>
        <w:ind w:right="378" w:rightChars="135"/>
        <w:jc w:val="center"/>
        <w:rPr>
          <w:rFonts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5909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1561A005">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44D1521F">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磋商文件要求</w:t>
            </w:r>
          </w:p>
        </w:tc>
        <w:tc>
          <w:tcPr>
            <w:tcW w:w="1673" w:type="dxa"/>
            <w:vAlign w:val="center"/>
          </w:tcPr>
          <w:p w14:paraId="4EC2CAE0">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4B62ED7E">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sz w:val="32"/>
                <w:szCs w:val="32"/>
              </w:rPr>
            </w:pPr>
            <w:r>
              <w:rPr>
                <w:rStyle w:val="32"/>
                <w:rFonts w:hint="eastAsia" w:ascii="仿宋_GB2312" w:hAnsi="仿宋_GB2312" w:eastAsia="仿宋_GB2312" w:cs="仿宋_GB2312"/>
                <w:b/>
                <w:bCs w:val="0"/>
                <w:szCs w:val="28"/>
              </w:rPr>
              <w:t>正偏离理由</w:t>
            </w:r>
          </w:p>
        </w:tc>
      </w:tr>
      <w:tr w14:paraId="7012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09E24AC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4BB9BE1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242FB5F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756C1C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0E8D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7BAA3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1BAB7D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302C58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0B1BAB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78E2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A276CF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p>
        </w:tc>
        <w:tc>
          <w:tcPr>
            <w:tcW w:w="3402" w:type="dxa"/>
            <w:vAlign w:val="center"/>
          </w:tcPr>
          <w:p w14:paraId="2035CB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42489EE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21D6738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r w14:paraId="4228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D54E31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65DF55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1673" w:type="dxa"/>
            <w:vAlign w:val="center"/>
          </w:tcPr>
          <w:p w14:paraId="77235E9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c>
          <w:tcPr>
            <w:tcW w:w="2544" w:type="dxa"/>
            <w:vAlign w:val="center"/>
          </w:tcPr>
          <w:p w14:paraId="4E55B6B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sz w:val="32"/>
                <w:szCs w:val="32"/>
              </w:rPr>
            </w:pPr>
          </w:p>
        </w:tc>
      </w:tr>
    </w:tbl>
    <w:p w14:paraId="61B8FEE0">
      <w:pPr>
        <w:adjustRightInd w:val="0"/>
        <w:snapToGrid w:val="0"/>
        <w:spacing w:line="560" w:lineRule="exact"/>
        <w:rPr>
          <w:rFonts w:hint="eastAsia" w:ascii="仿宋" w:hAnsi="仿宋" w:eastAsia="仿宋" w:cs="仿宋"/>
          <w:bCs w:val="0"/>
          <w:sz w:val="32"/>
          <w:szCs w:val="32"/>
        </w:rPr>
      </w:pPr>
      <w:r>
        <w:rPr>
          <w:rFonts w:hint="eastAsia" w:ascii="仿宋" w:hAnsi="仿宋" w:eastAsia="仿宋" w:cs="仿宋"/>
          <w:sz w:val="32"/>
          <w:szCs w:val="32"/>
        </w:rPr>
        <w:t>注：1.按照磋商文件第五部分项目需求中的商务需求的顺序对应逐条应答，</w:t>
      </w:r>
      <w:r>
        <w:rPr>
          <w:rFonts w:hint="eastAsia" w:ascii="仿宋" w:hAnsi="仿宋" w:eastAsia="仿宋" w:cs="仿宋"/>
          <w:bCs w:val="0"/>
          <w:sz w:val="32"/>
          <w:szCs w:val="32"/>
        </w:rPr>
        <w:t>对照磋商文件要求在“响应程度”栏填写“无偏离”或“正偏离”或“负偏离”。</w:t>
      </w:r>
    </w:p>
    <w:p w14:paraId="35154C5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2.供应商必须据实填写，不得虚假填写，否则将取消其报价或中选。</w:t>
      </w:r>
    </w:p>
    <w:p w14:paraId="41F58BE4">
      <w:pPr>
        <w:spacing w:line="480" w:lineRule="auto"/>
        <w:rPr>
          <w:rFonts w:ascii="仿宋_GB2312" w:hAnsi="仿宋_GB2312" w:eastAsia="仿宋_GB2312" w:cs="仿宋_GB2312"/>
          <w:sz w:val="24"/>
        </w:rPr>
      </w:pPr>
    </w:p>
    <w:p w14:paraId="0FA4278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供应商（公章）：</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4700809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sz w:val="32"/>
          <w:szCs w:val="32"/>
        </w:rPr>
      </w:pPr>
      <w:r>
        <w:rPr>
          <w:rFonts w:hint="eastAsia" w:ascii="仿宋" w:hAnsi="仿宋" w:eastAsia="仿宋" w:cs="仿宋"/>
          <w:bCs w:val="0"/>
          <w:sz w:val="32"/>
          <w:szCs w:val="32"/>
        </w:rPr>
        <w:t>法人代表或其授权人（签字）：</w:t>
      </w:r>
      <w:r>
        <w:rPr>
          <w:rFonts w:hint="eastAsia" w:ascii="仿宋" w:hAnsi="仿宋" w:eastAsia="仿宋" w:cs="仿宋"/>
          <w:bCs w:val="0"/>
          <w:sz w:val="32"/>
          <w:szCs w:val="32"/>
          <w:u w:val="single"/>
        </w:rPr>
        <w:t xml:space="preserve">              </w:t>
      </w:r>
      <w:r>
        <w:rPr>
          <w:rFonts w:hint="eastAsia" w:ascii="仿宋" w:hAnsi="仿宋" w:eastAsia="仿宋" w:cs="仿宋"/>
          <w:bCs w:val="0"/>
          <w:sz w:val="32"/>
          <w:szCs w:val="32"/>
        </w:rPr>
        <w:t xml:space="preserve">               </w:t>
      </w:r>
    </w:p>
    <w:p w14:paraId="31E924D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sz w:val="32"/>
          <w:szCs w:val="32"/>
          <w:u w:val="single"/>
        </w:rPr>
      </w:pPr>
      <w:r>
        <w:rPr>
          <w:rFonts w:hint="eastAsia" w:ascii="仿宋" w:hAnsi="仿宋" w:eastAsia="仿宋" w:cs="仿宋"/>
          <w:bCs w:val="0"/>
          <w:sz w:val="32"/>
          <w:szCs w:val="32"/>
        </w:rPr>
        <w:t>日   期：</w:t>
      </w:r>
      <w:r>
        <w:rPr>
          <w:rFonts w:hint="eastAsia" w:ascii="仿宋" w:hAnsi="仿宋" w:eastAsia="仿宋" w:cs="仿宋"/>
          <w:sz w:val="32"/>
          <w:szCs w:val="32"/>
          <w:u w:val="single"/>
        </w:rPr>
        <w:t xml:space="preserve">                                  </w:t>
      </w:r>
    </w:p>
    <w:p w14:paraId="4AF7D95B">
      <w:r>
        <w:rPr>
          <w:rFonts w:hint="eastAsia"/>
        </w:rPr>
        <w:br w:type="page"/>
      </w:r>
      <w:bookmarkStart w:id="102" w:name="_Toc23941"/>
      <w:bookmarkStart w:id="103" w:name="_Toc40089812"/>
    </w:p>
    <w:p w14:paraId="6402AD57">
      <w:pPr>
        <w:pStyle w:val="2"/>
        <w:numPr>
          <w:ilvl w:val="0"/>
          <w:numId w:val="4"/>
        </w:numPr>
        <w:spacing w:line="240" w:lineRule="auto"/>
      </w:pPr>
      <w:bookmarkStart w:id="104" w:name="_Toc21595"/>
      <w:r>
        <w:rPr>
          <w:rFonts w:hint="eastAsia"/>
        </w:rPr>
        <w:t>资信部分</w:t>
      </w:r>
      <w:bookmarkEnd w:id="104"/>
    </w:p>
    <w:p w14:paraId="0139C35B">
      <w:pPr>
        <w:rPr>
          <w:rFonts w:ascii="仿宋_GB2312" w:hAnsi="仿宋_GB2312" w:eastAsia="仿宋_GB2312" w:cs="仿宋_GB2312"/>
          <w:kern w:val="0"/>
          <w:sz w:val="32"/>
          <w:szCs w:val="32"/>
        </w:rPr>
      </w:pPr>
    </w:p>
    <w:p w14:paraId="5B51CD2D">
      <w:pPr>
        <w:pStyle w:val="31"/>
        <w:widowControl/>
        <w:adjustRightInd w:val="0"/>
        <w:snapToGrid w:val="0"/>
        <w:spacing w:line="560" w:lineRule="exact"/>
        <w:ind w:firstLine="640"/>
        <w:jc w:val="left"/>
        <w:textAlignment w:val="center"/>
        <w:rPr>
          <w:rFonts w:hint="eastAsia" w:ascii="仿宋" w:hAnsi="仿宋" w:eastAsia="仿宋" w:cs="仿宋"/>
          <w:bCs/>
          <w:kern w:val="0"/>
          <w:sz w:val="32"/>
          <w:szCs w:val="32"/>
        </w:rPr>
      </w:pPr>
      <w:r>
        <w:rPr>
          <w:rFonts w:hint="eastAsia" w:ascii="仿宋" w:hAnsi="仿宋" w:eastAsia="仿宋" w:cs="仿宋"/>
          <w:bCs/>
          <w:kern w:val="0"/>
          <w:sz w:val="32"/>
          <w:szCs w:val="32"/>
        </w:rPr>
        <w:t>1.符合《中华人民共和国政府采购法》第二十二条规定，在中国境内注册的具有独立法人资格或个体户（提供营业执照）。</w:t>
      </w:r>
    </w:p>
    <w:p w14:paraId="2EF5DF2E">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2.未被“信用中国”网站（www.creditchina.gov.cn）列入失信被执行人、重大税收违法案件当事人名单、政府采购严重失信行为记录名单（提供网上截图加盖公章）或信用报告。</w:t>
      </w:r>
    </w:p>
    <w:p w14:paraId="31B0944C">
      <w:pPr>
        <w:pStyle w:val="21"/>
        <w:snapToGrid w:val="0"/>
        <w:spacing w:after="0"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.承诺函(样本)</w:t>
      </w:r>
    </w:p>
    <w:p w14:paraId="37143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p>
    <w:p w14:paraId="268B87E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承诺函</w:t>
      </w:r>
    </w:p>
    <w:p w14:paraId="3856BDE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kern w:val="0"/>
          <w:sz w:val="32"/>
          <w:szCs w:val="32"/>
        </w:rPr>
      </w:pPr>
    </w:p>
    <w:p w14:paraId="4C2FF762">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致：海南卫生健康职业学院</w:t>
      </w:r>
    </w:p>
    <w:p w14:paraId="0A45C6A4">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kern w:val="0"/>
          <w:sz w:val="32"/>
          <w:szCs w:val="32"/>
        </w:rPr>
        <w:t>不是联合体参与报价，我单位承诺成交后不转包、不分包</w:t>
      </w:r>
      <w:r>
        <w:rPr>
          <w:rFonts w:hint="eastAsia" w:ascii="仿宋" w:hAnsi="仿宋" w:eastAsia="仿宋" w:cs="仿宋"/>
          <w:sz w:val="32"/>
          <w:szCs w:val="32"/>
        </w:rPr>
        <w:t>，并承担因此引起的一切后果。</w:t>
      </w:r>
    </w:p>
    <w:p w14:paraId="48F67B46">
      <w:pPr>
        <w:snapToGrid w:val="0"/>
        <w:spacing w:line="560" w:lineRule="exact"/>
        <w:rPr>
          <w:rFonts w:hint="eastAsia" w:ascii="仿宋" w:hAnsi="仿宋" w:eastAsia="仿宋" w:cs="仿宋"/>
          <w:sz w:val="32"/>
          <w:szCs w:val="32"/>
        </w:rPr>
      </w:pPr>
    </w:p>
    <w:p w14:paraId="67C0D1C2">
      <w:pPr>
        <w:snapToGrid w:val="0"/>
        <w:spacing w:line="560" w:lineRule="exact"/>
        <w:rPr>
          <w:rFonts w:hint="eastAsia" w:ascii="仿宋" w:hAnsi="仿宋" w:eastAsia="仿宋" w:cs="仿宋"/>
          <w:sz w:val="32"/>
          <w:szCs w:val="32"/>
        </w:rPr>
      </w:pPr>
    </w:p>
    <w:p w14:paraId="7E362343">
      <w:pPr>
        <w:snapToGrid w:val="0"/>
        <w:spacing w:line="560" w:lineRule="exact"/>
        <w:rPr>
          <w:rFonts w:hint="eastAsia" w:ascii="仿宋" w:hAnsi="仿宋" w:eastAsia="仿宋" w:cs="仿宋"/>
          <w:sz w:val="32"/>
          <w:szCs w:val="32"/>
        </w:rPr>
      </w:pPr>
    </w:p>
    <w:p w14:paraId="3EF7845C">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4BCE2BB8">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034F317">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124641E6">
      <w:pPr>
        <w:rPr>
          <w:rFonts w:hint="eastAsia" w:ascii="仿宋" w:hAnsi="仿宋" w:eastAsia="仿宋" w:cs="仿宋"/>
        </w:rPr>
      </w:pPr>
    </w:p>
    <w:p w14:paraId="3C2FFAB3">
      <w:pPr>
        <w:rPr>
          <w:rFonts w:hint="eastAsia" w:ascii="仿宋" w:hAnsi="仿宋" w:eastAsia="仿宋" w:cs="仿宋"/>
          <w:kern w:val="0"/>
          <w:sz w:val="32"/>
          <w:szCs w:val="32"/>
        </w:rPr>
      </w:pPr>
    </w:p>
    <w:p w14:paraId="110D4E94">
      <w:pPr>
        <w:rPr>
          <w:rFonts w:hint="eastAsia" w:ascii="仿宋" w:hAnsi="仿宋" w:eastAsia="仿宋" w:cs="仿宋"/>
        </w:rPr>
      </w:pPr>
    </w:p>
    <w:p w14:paraId="2C5918E5">
      <w:pPr>
        <w:rPr>
          <w:rFonts w:hint="eastAsia" w:ascii="仿宋" w:hAnsi="仿宋" w:eastAsia="仿宋" w:cs="仿宋"/>
        </w:rPr>
      </w:pPr>
    </w:p>
    <w:p w14:paraId="4B97DC2D">
      <w:pPr>
        <w:rPr>
          <w:rFonts w:hint="eastAsia" w:ascii="仿宋" w:hAnsi="仿宋" w:eastAsia="仿宋" w:cs="仿宋"/>
        </w:rPr>
      </w:pPr>
    </w:p>
    <w:p w14:paraId="496FC311"/>
    <w:p w14:paraId="296A1C57"/>
    <w:p w14:paraId="3994539E"/>
    <w:p w14:paraId="65C7E24C"/>
    <w:p w14:paraId="66ED3278">
      <w:pPr>
        <w:pStyle w:val="2"/>
        <w:numPr>
          <w:ilvl w:val="0"/>
          <w:numId w:val="4"/>
        </w:numPr>
        <w:spacing w:line="240" w:lineRule="auto"/>
      </w:pPr>
      <w:bookmarkStart w:id="105" w:name="_Toc28212"/>
      <w:r>
        <w:rPr>
          <w:rFonts w:hint="eastAsia"/>
        </w:rPr>
        <w:t>技术部分</w:t>
      </w:r>
      <w:bookmarkEnd w:id="105"/>
    </w:p>
    <w:p w14:paraId="19685ADF">
      <w:pPr>
        <w:rPr>
          <w:rFonts w:ascii="仿宋_GB2312" w:hAnsi="仿宋_GB2312" w:eastAsia="仿宋_GB2312" w:cs="仿宋_GB2312"/>
          <w:b/>
          <w:kern w:val="0"/>
          <w:sz w:val="36"/>
          <w:szCs w:val="36"/>
        </w:rPr>
      </w:pPr>
      <w:bookmarkStart w:id="106" w:name="_Toc248"/>
    </w:p>
    <w:bookmarkEnd w:id="106"/>
    <w:p w14:paraId="5B9280DE">
      <w:pPr>
        <w:rPr>
          <w:rFonts w:ascii="方正公文黑体" w:hAnsi="方正公文黑体" w:eastAsia="方正公文黑体" w:cs="方正公文黑体"/>
          <w:sz w:val="36"/>
          <w:szCs w:val="36"/>
        </w:rPr>
      </w:pPr>
      <w:r>
        <w:rPr>
          <w:rFonts w:hint="eastAsia" w:ascii="黑体" w:hAnsi="黑体" w:eastAsia="黑体" w:cs="黑体"/>
          <w:b/>
          <w:bCs w:val="0"/>
          <w:sz w:val="36"/>
          <w:szCs w:val="36"/>
        </w:rPr>
        <w:t>附件5</w:t>
      </w:r>
    </w:p>
    <w:p w14:paraId="13A88570">
      <w:pPr>
        <w:pStyle w:val="10"/>
        <w:spacing w:before="0" w:after="0"/>
        <w:ind w:right="378" w:rightChars="135"/>
        <w:jc w:val="center"/>
        <w:rPr>
          <w:rFonts w:hint="eastAsia" w:ascii="仿宋" w:hAnsi="仿宋" w:eastAsia="仿宋" w:cs="仿宋"/>
          <w:b/>
          <w:sz w:val="36"/>
          <w:szCs w:val="36"/>
          <w:lang w:val="en-US" w:eastAsia="zh-CN"/>
        </w:rPr>
      </w:pPr>
      <w:r>
        <w:rPr>
          <w:rFonts w:hint="eastAsia" w:ascii="仿宋" w:hAnsi="仿宋" w:eastAsia="仿宋" w:cs="仿宋"/>
          <w:b/>
          <w:sz w:val="36"/>
          <w:szCs w:val="36"/>
        </w:rPr>
        <w:t>技术响应</w:t>
      </w:r>
      <w:r>
        <w:rPr>
          <w:rFonts w:hint="eastAsia" w:ascii="仿宋" w:hAnsi="仿宋" w:eastAsia="仿宋" w:cs="仿宋"/>
          <w:b/>
          <w:sz w:val="36"/>
          <w:szCs w:val="36"/>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7A9C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073B677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项目</w:t>
            </w:r>
          </w:p>
        </w:tc>
        <w:tc>
          <w:tcPr>
            <w:tcW w:w="2208" w:type="dxa"/>
            <w:vAlign w:val="center"/>
          </w:tcPr>
          <w:p w14:paraId="711CE6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磋商文件要求</w:t>
            </w:r>
          </w:p>
        </w:tc>
        <w:tc>
          <w:tcPr>
            <w:tcW w:w="2181" w:type="dxa"/>
            <w:vAlign w:val="center"/>
          </w:tcPr>
          <w:p w14:paraId="26490A6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报价文件响应情况</w:t>
            </w:r>
          </w:p>
        </w:tc>
        <w:tc>
          <w:tcPr>
            <w:tcW w:w="1565" w:type="dxa"/>
            <w:vAlign w:val="center"/>
          </w:tcPr>
          <w:p w14:paraId="4F37BD9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响应程度</w:t>
            </w:r>
          </w:p>
        </w:tc>
        <w:tc>
          <w:tcPr>
            <w:tcW w:w="1850" w:type="dxa"/>
            <w:vAlign w:val="center"/>
          </w:tcPr>
          <w:p w14:paraId="06F1AAA8">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b/>
                <w:bCs w:val="0"/>
                <w:sz w:val="32"/>
                <w:szCs w:val="32"/>
              </w:rPr>
            </w:pPr>
            <w:r>
              <w:rPr>
                <w:rStyle w:val="32"/>
                <w:rFonts w:hint="eastAsia" w:cs="仿宋"/>
                <w:b/>
                <w:bCs w:val="0"/>
                <w:sz w:val="32"/>
                <w:szCs w:val="32"/>
              </w:rPr>
              <w:t>正偏离理由</w:t>
            </w:r>
          </w:p>
        </w:tc>
      </w:tr>
      <w:tr w14:paraId="007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9A5204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7527F23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eastAsia" w:eastAsia="仿宋" w:cs="仿宋"/>
                <w:sz w:val="32"/>
                <w:szCs w:val="32"/>
                <w:lang w:val="en-US" w:eastAsia="zh-CN"/>
              </w:rPr>
            </w:pPr>
          </w:p>
        </w:tc>
        <w:tc>
          <w:tcPr>
            <w:tcW w:w="2181" w:type="dxa"/>
            <w:vAlign w:val="center"/>
          </w:tcPr>
          <w:p w14:paraId="10D85C0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337A3CA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6EAD450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3E54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37CEF0C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208" w:type="dxa"/>
            <w:vAlign w:val="center"/>
          </w:tcPr>
          <w:p w14:paraId="0EB31ADC">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2181" w:type="dxa"/>
            <w:vAlign w:val="center"/>
          </w:tcPr>
          <w:p w14:paraId="47429981">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565" w:type="dxa"/>
            <w:vAlign w:val="center"/>
          </w:tcPr>
          <w:p w14:paraId="6D650AD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c>
          <w:tcPr>
            <w:tcW w:w="1850" w:type="dxa"/>
          </w:tcPr>
          <w:p w14:paraId="394F5FEB">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2"/>
                <w:rFonts w:hint="default" w:cs="仿宋"/>
                <w:sz w:val="32"/>
                <w:szCs w:val="32"/>
              </w:rPr>
            </w:pPr>
          </w:p>
        </w:tc>
      </w:tr>
      <w:tr w14:paraId="6559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C468587">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B14232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42B2A97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721AAAE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C0F9B0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1074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6CCFA4D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0D3173C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0A64F8A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39E06DB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0E2C338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r w14:paraId="75EE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C1CE52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sz w:val="32"/>
                <w:szCs w:val="32"/>
              </w:rPr>
            </w:pPr>
          </w:p>
        </w:tc>
        <w:tc>
          <w:tcPr>
            <w:tcW w:w="2208" w:type="dxa"/>
            <w:vAlign w:val="center"/>
          </w:tcPr>
          <w:p w14:paraId="5398B7C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2181" w:type="dxa"/>
            <w:vAlign w:val="center"/>
          </w:tcPr>
          <w:p w14:paraId="177816A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565" w:type="dxa"/>
            <w:vAlign w:val="center"/>
          </w:tcPr>
          <w:p w14:paraId="171B405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c>
          <w:tcPr>
            <w:tcW w:w="1850" w:type="dxa"/>
          </w:tcPr>
          <w:p w14:paraId="722538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sz w:val="32"/>
                <w:szCs w:val="32"/>
              </w:rPr>
            </w:pPr>
          </w:p>
        </w:tc>
      </w:tr>
    </w:tbl>
    <w:p w14:paraId="732C43F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注：</w:t>
      </w:r>
    </w:p>
    <w:p w14:paraId="580034DA">
      <w:pPr>
        <w:adjustRightInd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sz w:val="32"/>
          <w:szCs w:val="32"/>
        </w:rPr>
        <w:t>1.按照磋商文件第五部分项目需求</w:t>
      </w:r>
      <w:r>
        <w:rPr>
          <w:rFonts w:hint="eastAsia" w:ascii="仿宋" w:hAnsi="仿宋" w:eastAsia="仿宋" w:cs="仿宋"/>
          <w:sz w:val="32"/>
          <w:szCs w:val="32"/>
          <w:lang w:eastAsia="zh-CN"/>
        </w:rPr>
        <w:t>中的技术需求</w:t>
      </w:r>
      <w:r>
        <w:rPr>
          <w:rFonts w:hint="eastAsia" w:ascii="仿宋" w:hAnsi="仿宋" w:eastAsia="仿宋" w:cs="仿宋"/>
          <w:sz w:val="32"/>
          <w:szCs w:val="32"/>
        </w:rPr>
        <w:t>顺序对应逐条应答，</w:t>
      </w:r>
      <w:r>
        <w:rPr>
          <w:rFonts w:hint="eastAsia" w:ascii="仿宋" w:hAnsi="仿宋" w:eastAsia="仿宋" w:cs="仿宋"/>
          <w:bCs w:val="0"/>
          <w:sz w:val="32"/>
          <w:szCs w:val="32"/>
        </w:rPr>
        <w:t>对照磋商文件要求在“响应程度”栏填写“无偏离”或“正偏离”或“负偏离”。</w:t>
      </w:r>
    </w:p>
    <w:p w14:paraId="148EFF01">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sz w:val="32"/>
          <w:szCs w:val="32"/>
        </w:rPr>
      </w:pPr>
      <w:r>
        <w:rPr>
          <w:rFonts w:hint="eastAsia" w:ascii="仿宋" w:hAnsi="仿宋" w:eastAsia="仿宋" w:cs="仿宋"/>
          <w:bCs w:val="0"/>
          <w:sz w:val="32"/>
          <w:szCs w:val="32"/>
        </w:rPr>
        <w:t>2.不填写对应指标，而只填写响应情况或弄虚作假、前后不一致的，其报价文件有可能被拒绝。</w:t>
      </w:r>
    </w:p>
    <w:p w14:paraId="471AFFD5">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供应商（公章）：</w:t>
      </w:r>
      <w:r>
        <w:rPr>
          <w:rFonts w:hint="eastAsia" w:ascii="仿宋" w:hAnsi="仿宋" w:eastAsia="仿宋" w:cs="仿宋"/>
          <w:sz w:val="32"/>
          <w:szCs w:val="32"/>
          <w:u w:val="single"/>
        </w:rPr>
        <w:t xml:space="preserve">                           </w:t>
      </w:r>
    </w:p>
    <w:p w14:paraId="3C662123">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法人代表或其授权人（签字）：</w:t>
      </w:r>
      <w:r>
        <w:rPr>
          <w:rFonts w:hint="eastAsia" w:ascii="仿宋" w:hAnsi="仿宋" w:eastAsia="仿宋" w:cs="仿宋"/>
          <w:sz w:val="32"/>
          <w:szCs w:val="32"/>
          <w:u w:val="single"/>
        </w:rPr>
        <w:t xml:space="preserve">               </w:t>
      </w:r>
    </w:p>
    <w:p w14:paraId="3E947696">
      <w:pPr>
        <w:snapToGrid w:val="0"/>
        <w:spacing w:line="560" w:lineRule="exact"/>
        <w:ind w:firstLine="480"/>
        <w:rPr>
          <w:rFonts w:hint="eastAsia" w:ascii="仿宋" w:hAnsi="仿宋" w:eastAsia="仿宋" w:cs="仿宋"/>
          <w:sz w:val="32"/>
          <w:szCs w:val="32"/>
          <w:u w:val="single"/>
        </w:rPr>
      </w:pPr>
      <w:r>
        <w:rPr>
          <w:rFonts w:hint="eastAsia" w:ascii="仿宋" w:hAnsi="仿宋" w:eastAsia="仿宋" w:cs="仿宋"/>
          <w:sz w:val="32"/>
          <w:szCs w:val="32"/>
        </w:rPr>
        <w:t>日   期：</w:t>
      </w:r>
      <w:r>
        <w:rPr>
          <w:rFonts w:hint="eastAsia" w:ascii="仿宋" w:hAnsi="仿宋" w:eastAsia="仿宋" w:cs="仿宋"/>
          <w:sz w:val="32"/>
          <w:szCs w:val="32"/>
          <w:u w:val="single"/>
        </w:rPr>
        <w:t xml:space="preserve">                                 </w:t>
      </w:r>
    </w:p>
    <w:p w14:paraId="09DF71D7">
      <w:pPr>
        <w:spacing w:line="480" w:lineRule="auto"/>
        <w:ind w:firstLine="480"/>
        <w:rPr>
          <w:rFonts w:ascii="仿宋_GB2312" w:hAnsi="仿宋_GB2312" w:eastAsia="仿宋_GB2312" w:cs="仿宋_GB2312"/>
          <w:sz w:val="24"/>
        </w:rPr>
      </w:pPr>
    </w:p>
    <w:p w14:paraId="54ACCB07">
      <w:pPr>
        <w:rPr>
          <w:rFonts w:ascii="仿宋_GB2312" w:hAnsi="仿宋_GB2312" w:eastAsia="仿宋_GB2312" w:cs="仿宋_GB2312"/>
        </w:rPr>
      </w:pPr>
      <w:r>
        <w:rPr>
          <w:rFonts w:hint="eastAsia" w:ascii="仿宋_GB2312" w:hAnsi="仿宋_GB2312" w:eastAsia="仿宋_GB2312" w:cs="仿宋_GB2312"/>
        </w:rPr>
        <w:br w:type="page"/>
      </w:r>
    </w:p>
    <w:p w14:paraId="654E8506">
      <w:pPr>
        <w:jc w:val="center"/>
        <w:rPr>
          <w:rFonts w:hint="eastAsia" w:ascii="仿宋" w:hAnsi="仿宋" w:eastAsia="仿宋" w:cs="仿宋"/>
          <w:sz w:val="44"/>
          <w:szCs w:val="44"/>
        </w:rPr>
      </w:pPr>
      <w:bookmarkStart w:id="107" w:name="_Toc25388"/>
      <w:r>
        <w:rPr>
          <w:rFonts w:hint="eastAsia" w:ascii="仿宋" w:hAnsi="仿宋" w:eastAsia="仿宋" w:cs="仿宋"/>
          <w:sz w:val="44"/>
          <w:szCs w:val="44"/>
        </w:rPr>
        <w:t>商务及技术证明材料</w:t>
      </w:r>
    </w:p>
    <w:p w14:paraId="385D8C91">
      <w:pPr>
        <w:pStyle w:val="13"/>
        <w:spacing w:before="84"/>
        <w:jc w:val="left"/>
        <w:rPr>
          <w:rFonts w:hint="eastAsia" w:ascii="仿宋" w:hAnsi="仿宋" w:eastAsia="仿宋" w:cs="仿宋"/>
          <w:spacing w:val="-2"/>
          <w:sz w:val="32"/>
          <w:szCs w:val="32"/>
        </w:rPr>
      </w:pPr>
    </w:p>
    <w:p w14:paraId="17BF85D7">
      <w:pPr>
        <w:pStyle w:val="13"/>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（供应商根据竞争性磋商文件第三部分附表 2评分细则表中的要求提供，格式自拟）</w:t>
      </w:r>
    </w:p>
    <w:p w14:paraId="4244FCD9">
      <w:pPr>
        <w:rPr>
          <w:rFonts w:hint="eastAsia" w:ascii="仿宋" w:hAnsi="仿宋" w:eastAsia="仿宋" w:cs="仿宋"/>
          <w:sz w:val="32"/>
          <w:szCs w:val="32"/>
        </w:rPr>
      </w:pPr>
    </w:p>
    <w:p w14:paraId="2E000014"/>
    <w:p w14:paraId="600D1F06"/>
    <w:p w14:paraId="27E63D53"/>
    <w:p w14:paraId="398D7C3B"/>
    <w:p w14:paraId="6617B65A"/>
    <w:p w14:paraId="5FE79521"/>
    <w:p w14:paraId="7D1D10CF"/>
    <w:p w14:paraId="651CD5A9"/>
    <w:p w14:paraId="016DD26B"/>
    <w:p w14:paraId="3DDB9D6B"/>
    <w:p w14:paraId="53ECF5AA"/>
    <w:p w14:paraId="45F35A9C"/>
    <w:p w14:paraId="5799A9F5"/>
    <w:p w14:paraId="52795271"/>
    <w:p w14:paraId="0C24E1A4"/>
    <w:p w14:paraId="3821EBD3"/>
    <w:p w14:paraId="0F7AA863"/>
    <w:p w14:paraId="4DEB95DB"/>
    <w:p w14:paraId="4548D095"/>
    <w:p w14:paraId="123BA24D"/>
    <w:p w14:paraId="1A0BE36A"/>
    <w:p w14:paraId="08E1277F"/>
    <w:p w14:paraId="19FF27AC"/>
    <w:p w14:paraId="5929C3DD"/>
    <w:p w14:paraId="407CE55F"/>
    <w:p w14:paraId="0198EDA2"/>
    <w:p w14:paraId="50A27890"/>
    <w:p w14:paraId="1B31C805"/>
    <w:p w14:paraId="6BBC576D"/>
    <w:p w14:paraId="60345867"/>
    <w:p w14:paraId="23E7EA00"/>
    <w:p w14:paraId="644A93C0">
      <w:pPr>
        <w:pStyle w:val="2"/>
        <w:spacing w:line="240" w:lineRule="auto"/>
      </w:pPr>
      <w:bookmarkStart w:id="108" w:name="_Toc2093"/>
      <w:r>
        <w:rPr>
          <w:rFonts w:hint="eastAsia"/>
        </w:rPr>
        <w:t>四、报价部分</w:t>
      </w:r>
      <w:bookmarkEnd w:id="107"/>
      <w:bookmarkEnd w:id="108"/>
    </w:p>
    <w:p w14:paraId="6F3D0AA8">
      <w:pPr>
        <w:rPr>
          <w:rFonts w:ascii="方正公文黑体" w:hAnsi="方正公文黑体" w:eastAsia="方正公文黑体" w:cs="方正公文黑体"/>
          <w:sz w:val="36"/>
          <w:szCs w:val="36"/>
        </w:rPr>
      </w:pPr>
      <w:bookmarkStart w:id="109" w:name="_Toc15965"/>
      <w:r>
        <w:rPr>
          <w:rFonts w:hint="eastAsia" w:ascii="方正公文黑体" w:hAnsi="方正公文黑体" w:eastAsia="方正公文黑体" w:cs="方正公文黑体"/>
          <w:sz w:val="36"/>
          <w:szCs w:val="36"/>
        </w:rPr>
        <w:t>附件</w:t>
      </w:r>
      <w:bookmarkEnd w:id="109"/>
      <w:r>
        <w:rPr>
          <w:rFonts w:hint="eastAsia" w:ascii="方正公文黑体" w:hAnsi="方正公文黑体" w:eastAsia="方正公文黑体" w:cs="方正公文黑体"/>
          <w:sz w:val="36"/>
          <w:szCs w:val="36"/>
        </w:rPr>
        <w:t>6</w:t>
      </w:r>
    </w:p>
    <w:p w14:paraId="08CB4F7B">
      <w:pPr>
        <w:jc w:val="center"/>
        <w:rPr>
          <w:rFonts w:ascii="仿宋_GB2312" w:hAnsi="仿宋_GB2312" w:eastAsia="仿宋_GB2312" w:cs="仿宋_GB2312"/>
          <w:b/>
          <w:bCs w:val="0"/>
          <w:sz w:val="36"/>
          <w:szCs w:val="36"/>
        </w:rPr>
      </w:pPr>
    </w:p>
    <w:p w14:paraId="784FFC15">
      <w:pPr>
        <w:jc w:val="center"/>
        <w:rPr>
          <w:rFonts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2969FB4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0F5AF38D">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64C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29B1F9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7C986A2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071A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558EE06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7EEB055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70F222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5A65D93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5714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0B1D1A5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 w:hAnsi="仿宋" w:eastAsia="仿宋" w:cs="仿宋"/>
                <w:sz w:val="32"/>
                <w:szCs w:val="32"/>
              </w:rPr>
              <w:t>项目完成期限</w:t>
            </w:r>
          </w:p>
        </w:tc>
        <w:tc>
          <w:tcPr>
            <w:tcW w:w="7141" w:type="dxa"/>
            <w:vAlign w:val="center"/>
          </w:tcPr>
          <w:p w14:paraId="580928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r w14:paraId="6B25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52BC948E">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14D8CF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p>
        </w:tc>
      </w:tr>
    </w:tbl>
    <w:p w14:paraId="693D8A46">
      <w:pPr>
        <w:adjustRightInd w:val="0"/>
        <w:snapToGrid w:val="0"/>
        <w:spacing w:line="560" w:lineRule="exact"/>
        <w:rPr>
          <w:rFonts w:ascii="仿宋_GB2312" w:hAnsi="仿宋_GB2312" w:eastAsia="仿宋_GB2312" w:cs="仿宋_GB2312"/>
          <w:bCs w:val="0"/>
          <w:sz w:val="32"/>
          <w:szCs w:val="32"/>
        </w:rPr>
      </w:pPr>
    </w:p>
    <w:p w14:paraId="7551E2F9">
      <w:pPr>
        <w:adjustRightInd w:val="0"/>
        <w:snapToGrid w:val="0"/>
        <w:spacing w:line="560" w:lineRule="exact"/>
        <w:ind w:firstLine="320" w:firstLineChars="100"/>
        <w:rPr>
          <w:rFonts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368CF109">
      <w:pPr>
        <w:adjustRightInd w:val="0"/>
        <w:snapToGrid w:val="0"/>
        <w:spacing w:line="560" w:lineRule="exact"/>
        <w:ind w:firstLine="320" w:firstLineChars="100"/>
        <w:rPr>
          <w:rFonts w:ascii="仿宋_GB2312" w:hAnsi="仿宋_GB2312" w:eastAsia="仿宋_GB2312" w:cs="仿宋_GB2312"/>
          <w:sz w:val="32"/>
          <w:szCs w:val="32"/>
        </w:rPr>
      </w:pPr>
    </w:p>
    <w:p w14:paraId="1F1FAEFE">
      <w:pPr>
        <w:adjustRightInd w:val="0"/>
        <w:snapToGrid w:val="0"/>
        <w:spacing w:line="560" w:lineRule="exact"/>
        <w:ind w:firstLine="320" w:firstLineChars="100"/>
        <w:rPr>
          <w:rFonts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6FB02A7E">
      <w:pPr>
        <w:adjustRightInd w:val="0"/>
        <w:snapToGrid w:val="0"/>
        <w:spacing w:line="560" w:lineRule="exact"/>
        <w:ind w:firstLine="1600" w:firstLineChars="500"/>
        <w:rPr>
          <w:rFonts w:hint="eastAsia" w:ascii="仿宋_GB2312" w:hAnsi="仿宋_GB2312" w:eastAsia="仿宋_GB2312" w:cs="仿宋_GB2312"/>
          <w:sz w:val="32"/>
          <w:szCs w:val="32"/>
        </w:rPr>
      </w:pPr>
    </w:p>
    <w:p w14:paraId="30493F5A">
      <w:pPr>
        <w:adjustRightInd w:val="0"/>
        <w:snapToGrid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7E0A75F">
      <w:pPr>
        <w:pStyle w:val="16"/>
        <w:adjustRightInd w:val="0"/>
        <w:snapToGrid w:val="0"/>
        <w:spacing w:after="0" w:line="560" w:lineRule="exact"/>
        <w:ind w:left="0" w:leftChars="0"/>
        <w:rPr>
          <w:rFonts w:ascii="仿宋_GB2312" w:hAnsi="仿宋_GB2312" w:eastAsia="仿宋_GB2312" w:cs="仿宋_GB2312"/>
          <w:kern w:val="2"/>
          <w:sz w:val="32"/>
          <w:szCs w:val="32"/>
        </w:rPr>
      </w:pPr>
    </w:p>
    <w:p w14:paraId="204C8816">
      <w:pPr>
        <w:pStyle w:val="16"/>
        <w:adjustRightInd w:val="0"/>
        <w:snapToGrid w:val="0"/>
        <w:spacing w:after="0" w:line="560" w:lineRule="exact"/>
        <w:ind w:left="0" w:leftChars="0"/>
        <w:rPr>
          <w:rFonts w:ascii="仿宋_GB2312" w:hAnsi="仿宋_GB2312" w:eastAsia="仿宋_GB2312" w:cs="仿宋_GB2312"/>
          <w:kern w:val="2"/>
          <w:sz w:val="32"/>
          <w:szCs w:val="32"/>
        </w:rPr>
      </w:pPr>
    </w:p>
    <w:bookmarkEnd w:id="84"/>
    <w:bookmarkEnd w:id="85"/>
    <w:bookmarkEnd w:id="102"/>
    <w:bookmarkEnd w:id="103"/>
    <w:p w14:paraId="12F75996">
      <w:pPr>
        <w:pStyle w:val="2"/>
        <w:spacing w:line="240" w:lineRule="auto"/>
      </w:pPr>
      <w:bookmarkStart w:id="110" w:name="_Toc22438"/>
      <w:bookmarkStart w:id="111" w:name="_Toc4812"/>
      <w:r>
        <w:rPr>
          <w:rFonts w:hint="eastAsia"/>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76BF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23A7F873">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p>
          <w:p w14:paraId="6C610823">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sz w:val="32"/>
                <w:szCs w:val="32"/>
              </w:rPr>
            </w:pPr>
          </w:p>
          <w:p w14:paraId="0A7E8AAD">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30AAA4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2F38B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410BC3F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600691C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5A1CC94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665DB44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02DA9902">
      <w:pPr>
        <w:adjustRightInd w:val="0"/>
        <w:snapToGrid w:val="0"/>
        <w:spacing w:line="560" w:lineRule="exact"/>
        <w:rPr>
          <w:rFonts w:ascii="仿宋_GB2312" w:hAnsi="仿宋_GB2312" w:eastAsia="仿宋_GB2312" w:cs="仿宋_GB2312"/>
          <w:vanish/>
          <w:sz w:val="32"/>
          <w:szCs w:val="32"/>
        </w:rPr>
      </w:pPr>
    </w:p>
    <w:p w14:paraId="19A21B1D">
      <w:pPr>
        <w:adjustRightInd w:val="0"/>
        <w:snapToGrid w:val="0"/>
        <w:spacing w:line="560" w:lineRule="exact"/>
        <w:rPr>
          <w:rFonts w:ascii="仿宋_GB2312" w:hAnsi="仿宋_GB2312" w:eastAsia="仿宋_GB2312" w:cs="仿宋_GB2312"/>
          <w:vanish/>
          <w:sz w:val="32"/>
          <w:szCs w:val="32"/>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421D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16828ACB">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时之前不准启封………</w:t>
            </w:r>
          </w:p>
        </w:tc>
      </w:tr>
    </w:tbl>
    <w:p w14:paraId="6946C225">
      <w:pPr>
        <w:adjustRightInd w:val="0"/>
        <w:snapToGrid w:val="0"/>
        <w:spacing w:line="560" w:lineRule="exact"/>
        <w:rPr>
          <w:rFonts w:ascii="仿宋_GB2312" w:hAnsi="仿宋_GB2312" w:eastAsia="仿宋_GB2312" w:cs="仿宋_GB2312"/>
          <w:sz w:val="32"/>
          <w:szCs w:val="32"/>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DAC7CA-1671-47D1-9394-B333D6B6B4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D0A28B7-3077-42CC-BF24-D4D030250FB6}"/>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8EBDDAFB-B482-4782-82EE-6A3A03D1B84B}"/>
  </w:font>
  <w:font w:name="仿宋_GB2312">
    <w:panose1 w:val="02010609030101010101"/>
    <w:charset w:val="86"/>
    <w:family w:val="modern"/>
    <w:pitch w:val="default"/>
    <w:sig w:usb0="00000001" w:usb1="080E0000" w:usb2="00000000" w:usb3="00000000" w:csb0="00040000" w:csb1="00000000"/>
    <w:embedRegular r:id="rId4" w:fontKey="{26CADE03-4408-49C3-BD6A-E95292713894}"/>
  </w:font>
  <w:font w:name="方正公文黑体">
    <w:panose1 w:val="02000500000000000000"/>
    <w:charset w:val="86"/>
    <w:family w:val="auto"/>
    <w:pitch w:val="default"/>
    <w:sig w:usb0="A00002BF" w:usb1="38CF7CFA" w:usb2="00000016" w:usb3="00000000" w:csb0="00040001" w:csb1="00000000"/>
    <w:embedRegular r:id="rId5" w:fontKey="{5BF7E2D4-4EA1-48BC-AB2F-A98A1C6A607D}"/>
  </w:font>
  <w:font w:name="WPSEMBED1">
    <w:panose1 w:val="0201060903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B5DC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E32D0">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17E32D0">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D48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D8D66">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73D8D66">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09BFE3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4383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C0DAB3">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C0DAB3">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DD785">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5F45D">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65F45D">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8C0C6">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F9B86">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F4F9B86">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06FC">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32</w:t>
    </w:r>
    <w:r>
      <w:fldChar w:fldCharType="end"/>
    </w:r>
  </w:p>
  <w:p w14:paraId="498EC160">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486B3">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2CEF">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BE4A">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9670">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5F5DA">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356A">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BE738B54"/>
    <w:multiLevelType w:val="singleLevel"/>
    <w:tmpl w:val="BE738B54"/>
    <w:lvl w:ilvl="0" w:tentative="0">
      <w:start w:val="4"/>
      <w:numFmt w:val="decimal"/>
      <w:suff w:val="nothing"/>
      <w:lvlText w:val="（%1）"/>
      <w:lvlJc w:val="left"/>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215DBB"/>
    <w:rsid w:val="03B92498"/>
    <w:rsid w:val="03BA4A14"/>
    <w:rsid w:val="03C03826"/>
    <w:rsid w:val="03E1761F"/>
    <w:rsid w:val="04210BBD"/>
    <w:rsid w:val="043A0EC2"/>
    <w:rsid w:val="04BD1B14"/>
    <w:rsid w:val="04C21C5A"/>
    <w:rsid w:val="05080FE1"/>
    <w:rsid w:val="051536FE"/>
    <w:rsid w:val="0521245C"/>
    <w:rsid w:val="0524197F"/>
    <w:rsid w:val="0539563E"/>
    <w:rsid w:val="0569541C"/>
    <w:rsid w:val="05793C8D"/>
    <w:rsid w:val="05BF72F6"/>
    <w:rsid w:val="06220A34"/>
    <w:rsid w:val="063B0A20"/>
    <w:rsid w:val="063D115E"/>
    <w:rsid w:val="063D7F45"/>
    <w:rsid w:val="06515A71"/>
    <w:rsid w:val="06966A2B"/>
    <w:rsid w:val="069D2831"/>
    <w:rsid w:val="06B362BB"/>
    <w:rsid w:val="06CC1424"/>
    <w:rsid w:val="06E03B70"/>
    <w:rsid w:val="06E67100"/>
    <w:rsid w:val="06FF6413"/>
    <w:rsid w:val="07043A2A"/>
    <w:rsid w:val="07281BB4"/>
    <w:rsid w:val="074B1119"/>
    <w:rsid w:val="07586296"/>
    <w:rsid w:val="076013B7"/>
    <w:rsid w:val="077417A0"/>
    <w:rsid w:val="077E558A"/>
    <w:rsid w:val="07854B6B"/>
    <w:rsid w:val="07943000"/>
    <w:rsid w:val="08156C5F"/>
    <w:rsid w:val="081D4626"/>
    <w:rsid w:val="084F19EE"/>
    <w:rsid w:val="08DA0EE6"/>
    <w:rsid w:val="09542027"/>
    <w:rsid w:val="09692E5A"/>
    <w:rsid w:val="09831F2B"/>
    <w:rsid w:val="09A432A2"/>
    <w:rsid w:val="09BC4A90"/>
    <w:rsid w:val="09BE64C0"/>
    <w:rsid w:val="09FB55B8"/>
    <w:rsid w:val="0A3F0100"/>
    <w:rsid w:val="0A560A40"/>
    <w:rsid w:val="0A7B2255"/>
    <w:rsid w:val="0B04224A"/>
    <w:rsid w:val="0B16263E"/>
    <w:rsid w:val="0B8B2FBA"/>
    <w:rsid w:val="0B9B2EA1"/>
    <w:rsid w:val="0BB51797"/>
    <w:rsid w:val="0BDA3067"/>
    <w:rsid w:val="0BED6A7B"/>
    <w:rsid w:val="0BF70C1C"/>
    <w:rsid w:val="0C65652A"/>
    <w:rsid w:val="0C6C07D5"/>
    <w:rsid w:val="0C8353F1"/>
    <w:rsid w:val="0C9D49EB"/>
    <w:rsid w:val="0CA5180B"/>
    <w:rsid w:val="0CB02DAF"/>
    <w:rsid w:val="0CB63A18"/>
    <w:rsid w:val="0CD143AE"/>
    <w:rsid w:val="0CEA5470"/>
    <w:rsid w:val="0CF74AB8"/>
    <w:rsid w:val="0D181FDD"/>
    <w:rsid w:val="0D3D1A44"/>
    <w:rsid w:val="0D5648B3"/>
    <w:rsid w:val="0D5D3E94"/>
    <w:rsid w:val="0D761459"/>
    <w:rsid w:val="0D766D04"/>
    <w:rsid w:val="0E812BF3"/>
    <w:rsid w:val="0E9733D5"/>
    <w:rsid w:val="0EB06E60"/>
    <w:rsid w:val="0EB10E23"/>
    <w:rsid w:val="0EF07055"/>
    <w:rsid w:val="0EFB1BB6"/>
    <w:rsid w:val="0F052A35"/>
    <w:rsid w:val="0F1A7048"/>
    <w:rsid w:val="0F317386"/>
    <w:rsid w:val="0F5574D8"/>
    <w:rsid w:val="0F601A19"/>
    <w:rsid w:val="0F6C64AC"/>
    <w:rsid w:val="0FA1275E"/>
    <w:rsid w:val="0FB76D11"/>
    <w:rsid w:val="0FD55F4E"/>
    <w:rsid w:val="0FE16FFE"/>
    <w:rsid w:val="0FE32D76"/>
    <w:rsid w:val="0FE33B06"/>
    <w:rsid w:val="0FF705D0"/>
    <w:rsid w:val="10017FB3"/>
    <w:rsid w:val="10090BD7"/>
    <w:rsid w:val="10235B8D"/>
    <w:rsid w:val="10515328"/>
    <w:rsid w:val="1088396D"/>
    <w:rsid w:val="108B0D18"/>
    <w:rsid w:val="109567B4"/>
    <w:rsid w:val="111700D2"/>
    <w:rsid w:val="11190C87"/>
    <w:rsid w:val="11B83D8F"/>
    <w:rsid w:val="11D67F1C"/>
    <w:rsid w:val="123A29F6"/>
    <w:rsid w:val="123E35CF"/>
    <w:rsid w:val="12450EE5"/>
    <w:rsid w:val="12490E8B"/>
    <w:rsid w:val="12DE7825"/>
    <w:rsid w:val="12E070F9"/>
    <w:rsid w:val="12E952FB"/>
    <w:rsid w:val="131821D8"/>
    <w:rsid w:val="132A2348"/>
    <w:rsid w:val="13347445"/>
    <w:rsid w:val="133C34EE"/>
    <w:rsid w:val="133F619B"/>
    <w:rsid w:val="13853604"/>
    <w:rsid w:val="138F79D2"/>
    <w:rsid w:val="13DF0BCE"/>
    <w:rsid w:val="13E0137B"/>
    <w:rsid w:val="13E56991"/>
    <w:rsid w:val="13EC5CCF"/>
    <w:rsid w:val="13F84916"/>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B531B3"/>
    <w:rsid w:val="17C50FB3"/>
    <w:rsid w:val="17EE07BE"/>
    <w:rsid w:val="18883998"/>
    <w:rsid w:val="189D5A8C"/>
    <w:rsid w:val="18C2202E"/>
    <w:rsid w:val="18C33745"/>
    <w:rsid w:val="18F31AB7"/>
    <w:rsid w:val="1901426D"/>
    <w:rsid w:val="191C10A7"/>
    <w:rsid w:val="191C2DD1"/>
    <w:rsid w:val="1925050E"/>
    <w:rsid w:val="197B254B"/>
    <w:rsid w:val="19A46172"/>
    <w:rsid w:val="19C46CD8"/>
    <w:rsid w:val="19C84D8B"/>
    <w:rsid w:val="19DE010A"/>
    <w:rsid w:val="19F245C4"/>
    <w:rsid w:val="1A014E15"/>
    <w:rsid w:val="1A0A7151"/>
    <w:rsid w:val="1A18186E"/>
    <w:rsid w:val="1A2B0002"/>
    <w:rsid w:val="1A2C531A"/>
    <w:rsid w:val="1A361CF4"/>
    <w:rsid w:val="1A5361CB"/>
    <w:rsid w:val="1A785A33"/>
    <w:rsid w:val="1AA2382E"/>
    <w:rsid w:val="1B3A4B9B"/>
    <w:rsid w:val="1B46065D"/>
    <w:rsid w:val="1B4E306E"/>
    <w:rsid w:val="1BA50EE0"/>
    <w:rsid w:val="1BAB583C"/>
    <w:rsid w:val="1BB3C7C0"/>
    <w:rsid w:val="1BDD4B1E"/>
    <w:rsid w:val="1C146065"/>
    <w:rsid w:val="1CFA6CD7"/>
    <w:rsid w:val="1D3C1D18"/>
    <w:rsid w:val="1D726A12"/>
    <w:rsid w:val="1D7E0B92"/>
    <w:rsid w:val="1D863B83"/>
    <w:rsid w:val="1DD42870"/>
    <w:rsid w:val="1DD45AAC"/>
    <w:rsid w:val="1DE91A1B"/>
    <w:rsid w:val="1DF50EBD"/>
    <w:rsid w:val="1DF87FC5"/>
    <w:rsid w:val="1E122A78"/>
    <w:rsid w:val="1E2D340E"/>
    <w:rsid w:val="1E7554E1"/>
    <w:rsid w:val="1E7A7A86"/>
    <w:rsid w:val="1E804B75"/>
    <w:rsid w:val="1ED57D2E"/>
    <w:rsid w:val="1EF62324"/>
    <w:rsid w:val="1F765554"/>
    <w:rsid w:val="1F845AC6"/>
    <w:rsid w:val="1F884CCF"/>
    <w:rsid w:val="1F9B949E"/>
    <w:rsid w:val="1F9F033C"/>
    <w:rsid w:val="1FEC25BF"/>
    <w:rsid w:val="1FEF6E6E"/>
    <w:rsid w:val="20193933"/>
    <w:rsid w:val="20350AB8"/>
    <w:rsid w:val="209B0A84"/>
    <w:rsid w:val="20C0056A"/>
    <w:rsid w:val="210D14B1"/>
    <w:rsid w:val="21887642"/>
    <w:rsid w:val="219407F2"/>
    <w:rsid w:val="219F2875"/>
    <w:rsid w:val="21DB2A55"/>
    <w:rsid w:val="21E87D78"/>
    <w:rsid w:val="220B1CB9"/>
    <w:rsid w:val="220F3557"/>
    <w:rsid w:val="22227D34"/>
    <w:rsid w:val="22250FCC"/>
    <w:rsid w:val="225E0B1F"/>
    <w:rsid w:val="22AD2D70"/>
    <w:rsid w:val="22B366F6"/>
    <w:rsid w:val="22B6498D"/>
    <w:rsid w:val="22B660C8"/>
    <w:rsid w:val="22E6561F"/>
    <w:rsid w:val="23005595"/>
    <w:rsid w:val="23294AEC"/>
    <w:rsid w:val="232E330C"/>
    <w:rsid w:val="2330729E"/>
    <w:rsid w:val="233139A1"/>
    <w:rsid w:val="23377EE9"/>
    <w:rsid w:val="23C2284B"/>
    <w:rsid w:val="23FE7B1E"/>
    <w:rsid w:val="2412563B"/>
    <w:rsid w:val="243674C1"/>
    <w:rsid w:val="2443398C"/>
    <w:rsid w:val="24963C3A"/>
    <w:rsid w:val="24D77410"/>
    <w:rsid w:val="25903244"/>
    <w:rsid w:val="25C94365"/>
    <w:rsid w:val="25CD79B1"/>
    <w:rsid w:val="25F5597A"/>
    <w:rsid w:val="263E440B"/>
    <w:rsid w:val="26924756"/>
    <w:rsid w:val="269A09F7"/>
    <w:rsid w:val="2739601D"/>
    <w:rsid w:val="27433CA3"/>
    <w:rsid w:val="2771221C"/>
    <w:rsid w:val="278136ED"/>
    <w:rsid w:val="278E3045"/>
    <w:rsid w:val="279B0C50"/>
    <w:rsid w:val="279D270A"/>
    <w:rsid w:val="27A75FE0"/>
    <w:rsid w:val="27B626C7"/>
    <w:rsid w:val="27DA0163"/>
    <w:rsid w:val="288938C1"/>
    <w:rsid w:val="28924901"/>
    <w:rsid w:val="28B3769A"/>
    <w:rsid w:val="28DD71C8"/>
    <w:rsid w:val="290F795D"/>
    <w:rsid w:val="2976189C"/>
    <w:rsid w:val="29BD4AD2"/>
    <w:rsid w:val="29CD6601"/>
    <w:rsid w:val="29E9585C"/>
    <w:rsid w:val="29F758E8"/>
    <w:rsid w:val="2A307B20"/>
    <w:rsid w:val="2A566664"/>
    <w:rsid w:val="2A701253"/>
    <w:rsid w:val="2A8274CB"/>
    <w:rsid w:val="2A8D3BB3"/>
    <w:rsid w:val="2AAF03D5"/>
    <w:rsid w:val="2AC82E3D"/>
    <w:rsid w:val="2ADF07C0"/>
    <w:rsid w:val="2AF1729B"/>
    <w:rsid w:val="2BD10AFE"/>
    <w:rsid w:val="2C301C6E"/>
    <w:rsid w:val="2C9454FE"/>
    <w:rsid w:val="2C9A25B7"/>
    <w:rsid w:val="2CAD22EA"/>
    <w:rsid w:val="2CB238EE"/>
    <w:rsid w:val="2CBC077F"/>
    <w:rsid w:val="2CC31B0E"/>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A11189"/>
    <w:rsid w:val="2FD44032"/>
    <w:rsid w:val="2FED7D34"/>
    <w:rsid w:val="302A5A00"/>
    <w:rsid w:val="302E54F0"/>
    <w:rsid w:val="30542A7D"/>
    <w:rsid w:val="3058256D"/>
    <w:rsid w:val="307F3D64"/>
    <w:rsid w:val="30B05F05"/>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512320"/>
    <w:rsid w:val="33644F60"/>
    <w:rsid w:val="336B25B7"/>
    <w:rsid w:val="33D20888"/>
    <w:rsid w:val="33E41628"/>
    <w:rsid w:val="33EE0701"/>
    <w:rsid w:val="33FB7DDF"/>
    <w:rsid w:val="33FF6CF8"/>
    <w:rsid w:val="340C5B48"/>
    <w:rsid w:val="34131094"/>
    <w:rsid w:val="342033A2"/>
    <w:rsid w:val="344828F8"/>
    <w:rsid w:val="3451508A"/>
    <w:rsid w:val="34520673"/>
    <w:rsid w:val="34607C42"/>
    <w:rsid w:val="34E268A9"/>
    <w:rsid w:val="34E44900"/>
    <w:rsid w:val="35176F31"/>
    <w:rsid w:val="351C625F"/>
    <w:rsid w:val="35487054"/>
    <w:rsid w:val="3579427A"/>
    <w:rsid w:val="359B6AF0"/>
    <w:rsid w:val="35B74975"/>
    <w:rsid w:val="35E52AF5"/>
    <w:rsid w:val="36252EF1"/>
    <w:rsid w:val="36405F7D"/>
    <w:rsid w:val="36591B2F"/>
    <w:rsid w:val="366A2FFA"/>
    <w:rsid w:val="3676199F"/>
    <w:rsid w:val="36A96651"/>
    <w:rsid w:val="36C42F0E"/>
    <w:rsid w:val="36D04C5A"/>
    <w:rsid w:val="36D22A64"/>
    <w:rsid w:val="36DC2DE1"/>
    <w:rsid w:val="3711707E"/>
    <w:rsid w:val="379C71E3"/>
    <w:rsid w:val="37E312B6"/>
    <w:rsid w:val="37E56DDC"/>
    <w:rsid w:val="37F214F9"/>
    <w:rsid w:val="37FA5416"/>
    <w:rsid w:val="37FFE6AC"/>
    <w:rsid w:val="38691F82"/>
    <w:rsid w:val="386B5BA4"/>
    <w:rsid w:val="38B13162"/>
    <w:rsid w:val="391D15F5"/>
    <w:rsid w:val="3A410CD0"/>
    <w:rsid w:val="3A5F655A"/>
    <w:rsid w:val="3A7B57D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D92ACB"/>
    <w:rsid w:val="3EE85404"/>
    <w:rsid w:val="3EF721D5"/>
    <w:rsid w:val="3EFA354B"/>
    <w:rsid w:val="3F0B4E92"/>
    <w:rsid w:val="3F56236D"/>
    <w:rsid w:val="3F7A2D95"/>
    <w:rsid w:val="3F8841F5"/>
    <w:rsid w:val="3FBB2D68"/>
    <w:rsid w:val="3FCC0881"/>
    <w:rsid w:val="3FE78442"/>
    <w:rsid w:val="408D71EA"/>
    <w:rsid w:val="409F3A59"/>
    <w:rsid w:val="40AD17DF"/>
    <w:rsid w:val="40B27A75"/>
    <w:rsid w:val="40EB4D37"/>
    <w:rsid w:val="40F25411"/>
    <w:rsid w:val="411A6F63"/>
    <w:rsid w:val="419D4069"/>
    <w:rsid w:val="41A97E1E"/>
    <w:rsid w:val="41AA4BF2"/>
    <w:rsid w:val="42294664"/>
    <w:rsid w:val="42462B6D"/>
    <w:rsid w:val="428B4A24"/>
    <w:rsid w:val="429D17C3"/>
    <w:rsid w:val="42B40F7C"/>
    <w:rsid w:val="42B7058F"/>
    <w:rsid w:val="42F779C3"/>
    <w:rsid w:val="430F2450"/>
    <w:rsid w:val="43291B47"/>
    <w:rsid w:val="43344A35"/>
    <w:rsid w:val="438C45B0"/>
    <w:rsid w:val="43AB0A6B"/>
    <w:rsid w:val="43AF120B"/>
    <w:rsid w:val="43C81360"/>
    <w:rsid w:val="43F17F21"/>
    <w:rsid w:val="441A4EF4"/>
    <w:rsid w:val="444958B2"/>
    <w:rsid w:val="448B0D0B"/>
    <w:rsid w:val="448D4A83"/>
    <w:rsid w:val="44901E7E"/>
    <w:rsid w:val="44E64193"/>
    <w:rsid w:val="451F3201"/>
    <w:rsid w:val="45394A3E"/>
    <w:rsid w:val="458012DF"/>
    <w:rsid w:val="45856265"/>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25B10"/>
    <w:rsid w:val="475C073D"/>
    <w:rsid w:val="47680E90"/>
    <w:rsid w:val="47B6FF77"/>
    <w:rsid w:val="48304052"/>
    <w:rsid w:val="483616A5"/>
    <w:rsid w:val="485458B8"/>
    <w:rsid w:val="485C6F76"/>
    <w:rsid w:val="486453C9"/>
    <w:rsid w:val="486A6E89"/>
    <w:rsid w:val="488F68F0"/>
    <w:rsid w:val="4891774B"/>
    <w:rsid w:val="48A50E28"/>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C51283A"/>
    <w:rsid w:val="4C581661"/>
    <w:rsid w:val="4C5E6D05"/>
    <w:rsid w:val="4C7F417C"/>
    <w:rsid w:val="4C875185"/>
    <w:rsid w:val="4C8F03ED"/>
    <w:rsid w:val="4CC3201B"/>
    <w:rsid w:val="4D4128AF"/>
    <w:rsid w:val="4D942C25"/>
    <w:rsid w:val="4DA91E14"/>
    <w:rsid w:val="4DA9F889"/>
    <w:rsid w:val="4DED4AC5"/>
    <w:rsid w:val="4E0B430A"/>
    <w:rsid w:val="4E20644E"/>
    <w:rsid w:val="4E740A62"/>
    <w:rsid w:val="4E875F10"/>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131FB2"/>
    <w:rsid w:val="523D285F"/>
    <w:rsid w:val="524644C3"/>
    <w:rsid w:val="527A5F1B"/>
    <w:rsid w:val="528172AA"/>
    <w:rsid w:val="52927709"/>
    <w:rsid w:val="52990A97"/>
    <w:rsid w:val="529F7C3F"/>
    <w:rsid w:val="52A1781D"/>
    <w:rsid w:val="52A766E1"/>
    <w:rsid w:val="52CC7D2D"/>
    <w:rsid w:val="52E21FCD"/>
    <w:rsid w:val="535C6BD8"/>
    <w:rsid w:val="53852DC9"/>
    <w:rsid w:val="53876B42"/>
    <w:rsid w:val="53DF2D8E"/>
    <w:rsid w:val="53F9269E"/>
    <w:rsid w:val="53FF2B7C"/>
    <w:rsid w:val="54065CB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D45B12"/>
    <w:rsid w:val="56EE60A5"/>
    <w:rsid w:val="56FC793A"/>
    <w:rsid w:val="57FA1966"/>
    <w:rsid w:val="583D0E0B"/>
    <w:rsid w:val="585D494D"/>
    <w:rsid w:val="586B6A32"/>
    <w:rsid w:val="58B935B5"/>
    <w:rsid w:val="58CB5722"/>
    <w:rsid w:val="58D85297"/>
    <w:rsid w:val="58EC5B9C"/>
    <w:rsid w:val="590757B1"/>
    <w:rsid w:val="59581206"/>
    <w:rsid w:val="59BD32BD"/>
    <w:rsid w:val="59DC36CB"/>
    <w:rsid w:val="59E5440B"/>
    <w:rsid w:val="5A6C2FE9"/>
    <w:rsid w:val="5A8838A1"/>
    <w:rsid w:val="5AA82EA1"/>
    <w:rsid w:val="5AC91B3E"/>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D846F5"/>
    <w:rsid w:val="5EE31A16"/>
    <w:rsid w:val="5F034C6F"/>
    <w:rsid w:val="5F622211"/>
    <w:rsid w:val="5F8F28CB"/>
    <w:rsid w:val="5FB44B2E"/>
    <w:rsid w:val="5FFD49A1"/>
    <w:rsid w:val="601E16EE"/>
    <w:rsid w:val="60512F91"/>
    <w:rsid w:val="60667D3B"/>
    <w:rsid w:val="60864B16"/>
    <w:rsid w:val="608E2818"/>
    <w:rsid w:val="60D47FE9"/>
    <w:rsid w:val="613F7EC8"/>
    <w:rsid w:val="61652C49"/>
    <w:rsid w:val="617C580C"/>
    <w:rsid w:val="6192071F"/>
    <w:rsid w:val="61A92379"/>
    <w:rsid w:val="61CB6793"/>
    <w:rsid w:val="61D45648"/>
    <w:rsid w:val="626F614B"/>
    <w:rsid w:val="62BC011C"/>
    <w:rsid w:val="62DB2A06"/>
    <w:rsid w:val="62DD0CC0"/>
    <w:rsid w:val="631D6B7A"/>
    <w:rsid w:val="632223E3"/>
    <w:rsid w:val="63527CBF"/>
    <w:rsid w:val="63604CB9"/>
    <w:rsid w:val="63B868A3"/>
    <w:rsid w:val="63D7141F"/>
    <w:rsid w:val="64040C59"/>
    <w:rsid w:val="64306D81"/>
    <w:rsid w:val="64340620"/>
    <w:rsid w:val="64524F4A"/>
    <w:rsid w:val="64564049"/>
    <w:rsid w:val="6479B950"/>
    <w:rsid w:val="6481138B"/>
    <w:rsid w:val="65165F77"/>
    <w:rsid w:val="65723276"/>
    <w:rsid w:val="659438DB"/>
    <w:rsid w:val="65CF7132"/>
    <w:rsid w:val="65D9039F"/>
    <w:rsid w:val="668FFD52"/>
    <w:rsid w:val="66AB26EF"/>
    <w:rsid w:val="66BC351E"/>
    <w:rsid w:val="67206C39"/>
    <w:rsid w:val="678533FB"/>
    <w:rsid w:val="67A51172"/>
    <w:rsid w:val="67CE1AEA"/>
    <w:rsid w:val="6819678B"/>
    <w:rsid w:val="68547E31"/>
    <w:rsid w:val="685E3EBD"/>
    <w:rsid w:val="68660FC4"/>
    <w:rsid w:val="68C36416"/>
    <w:rsid w:val="68EB3277"/>
    <w:rsid w:val="68EF0FB9"/>
    <w:rsid w:val="6907627A"/>
    <w:rsid w:val="690E575F"/>
    <w:rsid w:val="69180D06"/>
    <w:rsid w:val="691C1682"/>
    <w:rsid w:val="692A7707"/>
    <w:rsid w:val="692C0A4C"/>
    <w:rsid w:val="6933534A"/>
    <w:rsid w:val="69336C29"/>
    <w:rsid w:val="69375D48"/>
    <w:rsid w:val="69692B1A"/>
    <w:rsid w:val="696A0640"/>
    <w:rsid w:val="69766FE4"/>
    <w:rsid w:val="698649C0"/>
    <w:rsid w:val="69D77881"/>
    <w:rsid w:val="6A372C18"/>
    <w:rsid w:val="6AB04778"/>
    <w:rsid w:val="6AD2649C"/>
    <w:rsid w:val="6B5C045C"/>
    <w:rsid w:val="6B6F3E15"/>
    <w:rsid w:val="6B7036D0"/>
    <w:rsid w:val="6B722607"/>
    <w:rsid w:val="6B841E8D"/>
    <w:rsid w:val="6BBF2EC5"/>
    <w:rsid w:val="6BFB5EC7"/>
    <w:rsid w:val="6C066D46"/>
    <w:rsid w:val="6C07661A"/>
    <w:rsid w:val="6C3A69EF"/>
    <w:rsid w:val="6C714041"/>
    <w:rsid w:val="6C89702F"/>
    <w:rsid w:val="6C9A748E"/>
    <w:rsid w:val="6CB31D0E"/>
    <w:rsid w:val="6D3A6E8E"/>
    <w:rsid w:val="6D8F4B19"/>
    <w:rsid w:val="6DAA3701"/>
    <w:rsid w:val="6DB17E51"/>
    <w:rsid w:val="6DBA3B2E"/>
    <w:rsid w:val="6DFD14DA"/>
    <w:rsid w:val="6E0E3C8F"/>
    <w:rsid w:val="6E2A0D69"/>
    <w:rsid w:val="6E4C2A0A"/>
    <w:rsid w:val="6E4E0530"/>
    <w:rsid w:val="6E5042A8"/>
    <w:rsid w:val="6EA97E5C"/>
    <w:rsid w:val="6ED651FE"/>
    <w:rsid w:val="6F467505"/>
    <w:rsid w:val="6F5150BD"/>
    <w:rsid w:val="702F68EB"/>
    <w:rsid w:val="703E43F1"/>
    <w:rsid w:val="70453800"/>
    <w:rsid w:val="70AD748E"/>
    <w:rsid w:val="70BB1F0C"/>
    <w:rsid w:val="70DB235B"/>
    <w:rsid w:val="71092E34"/>
    <w:rsid w:val="711E68DF"/>
    <w:rsid w:val="714874B8"/>
    <w:rsid w:val="71897AFB"/>
    <w:rsid w:val="728A3B01"/>
    <w:rsid w:val="72AE2727"/>
    <w:rsid w:val="72C72CA2"/>
    <w:rsid w:val="7309650C"/>
    <w:rsid w:val="733A7699"/>
    <w:rsid w:val="737A5923"/>
    <w:rsid w:val="737F118B"/>
    <w:rsid w:val="73BC418E"/>
    <w:rsid w:val="73CA207F"/>
    <w:rsid w:val="73F70C5C"/>
    <w:rsid w:val="740D083A"/>
    <w:rsid w:val="741E10D9"/>
    <w:rsid w:val="74295E2B"/>
    <w:rsid w:val="744877CF"/>
    <w:rsid w:val="745213E3"/>
    <w:rsid w:val="748A31AB"/>
    <w:rsid w:val="74A72748"/>
    <w:rsid w:val="74AB2123"/>
    <w:rsid w:val="74CE23CA"/>
    <w:rsid w:val="74DC4AE7"/>
    <w:rsid w:val="753955FE"/>
    <w:rsid w:val="756923C9"/>
    <w:rsid w:val="75705230"/>
    <w:rsid w:val="759E1D9D"/>
    <w:rsid w:val="759E7FEF"/>
    <w:rsid w:val="75FE7BC6"/>
    <w:rsid w:val="76171B4F"/>
    <w:rsid w:val="767F0AB9"/>
    <w:rsid w:val="76982C90"/>
    <w:rsid w:val="76FF717E"/>
    <w:rsid w:val="77035C3C"/>
    <w:rsid w:val="77313CD6"/>
    <w:rsid w:val="77334767"/>
    <w:rsid w:val="77790089"/>
    <w:rsid w:val="77B8368C"/>
    <w:rsid w:val="77D43766"/>
    <w:rsid w:val="77FA1D1D"/>
    <w:rsid w:val="781F1BE1"/>
    <w:rsid w:val="783E3DBF"/>
    <w:rsid w:val="78623556"/>
    <w:rsid w:val="78873B38"/>
    <w:rsid w:val="78AB4366"/>
    <w:rsid w:val="78C23FF4"/>
    <w:rsid w:val="793A221E"/>
    <w:rsid w:val="79F47917"/>
    <w:rsid w:val="79F521A7"/>
    <w:rsid w:val="79F71A7C"/>
    <w:rsid w:val="79FF4DD4"/>
    <w:rsid w:val="7A3B17B1"/>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496298"/>
    <w:rsid w:val="7C8141C6"/>
    <w:rsid w:val="7CC14D89"/>
    <w:rsid w:val="7D083FA0"/>
    <w:rsid w:val="7D627B54"/>
    <w:rsid w:val="7D6903CE"/>
    <w:rsid w:val="7D7A4E9D"/>
    <w:rsid w:val="7D9046C1"/>
    <w:rsid w:val="7DBD489D"/>
    <w:rsid w:val="7DE60D6B"/>
    <w:rsid w:val="7DF6029C"/>
    <w:rsid w:val="7DFA0FA7"/>
    <w:rsid w:val="7E097FCF"/>
    <w:rsid w:val="7E1A2770"/>
    <w:rsid w:val="7E1D19FF"/>
    <w:rsid w:val="7ECF5C04"/>
    <w:rsid w:val="7ED76320"/>
    <w:rsid w:val="7EDBB46D"/>
    <w:rsid w:val="7EEF7932"/>
    <w:rsid w:val="7EF96031"/>
    <w:rsid w:val="7F17C953"/>
    <w:rsid w:val="7F47478E"/>
    <w:rsid w:val="7F547970"/>
    <w:rsid w:val="7F7F3ECC"/>
    <w:rsid w:val="7F8A521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0"/>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annotation reference"/>
    <w:qFormat/>
    <w:uiPriority w:val="0"/>
    <w:rPr>
      <w:sz w:val="21"/>
      <w:szCs w:val="21"/>
    </w:rPr>
  </w:style>
  <w:style w:type="character" w:customStyle="1" w:styleId="30">
    <w:name w:val="标题 1 字符"/>
    <w:link w:val="2"/>
    <w:qFormat/>
    <w:uiPriority w:val="0"/>
    <w:rPr>
      <w:b/>
      <w:kern w:val="44"/>
      <w:sz w:val="36"/>
      <w:szCs w:val="44"/>
    </w:rPr>
  </w:style>
  <w:style w:type="paragraph" w:styleId="31">
    <w:name w:val="List Paragraph"/>
    <w:basedOn w:val="1"/>
    <w:qFormat/>
    <w:uiPriority w:val="99"/>
    <w:pPr>
      <w:ind w:firstLine="420" w:firstLineChars="200"/>
    </w:pPr>
    <w:rPr>
      <w:rFonts w:ascii="Times New Roman"/>
      <w:bCs w:val="0"/>
      <w:sz w:val="21"/>
      <w:szCs w:val="20"/>
    </w:rPr>
  </w:style>
  <w:style w:type="character" w:customStyle="1" w:styleId="32">
    <w:name w:val="样式 仿宋"/>
    <w:qFormat/>
    <w:uiPriority w:val="0"/>
    <w:rPr>
      <w:rFonts w:ascii="仿宋" w:hAnsi="仿宋" w:eastAsia="仿宋"/>
      <w:kern w:val="1"/>
    </w:rPr>
  </w:style>
  <w:style w:type="table" w:customStyle="1" w:styleId="33">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D正文"/>
    <w:basedOn w:val="24"/>
    <w:qFormat/>
    <w:uiPriority w:val="0"/>
    <w:pPr>
      <w:spacing w:before="100" w:beforeAutospacing="1" w:after="100" w:afterAutospacing="1"/>
    </w:pPr>
  </w:style>
  <w:style w:type="paragraph" w:customStyle="1" w:styleId="35">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6">
    <w:name w:val="列表段落1"/>
    <w:basedOn w:val="1"/>
    <w:qFormat/>
    <w:uiPriority w:val="34"/>
    <w:pPr>
      <w:adjustRightInd w:val="0"/>
      <w:snapToGrid w:val="0"/>
    </w:pPr>
    <w:rPr>
      <w:rFonts w:hAnsi="宋体"/>
    </w:rPr>
  </w:style>
  <w:style w:type="paragraph" w:customStyle="1" w:styleId="37">
    <w:name w:val="列出段落1"/>
    <w:basedOn w:val="1"/>
    <w:qFormat/>
    <w:uiPriority w:val="99"/>
    <w:pPr>
      <w:ind w:firstLine="420" w:firstLineChars="200"/>
    </w:pPr>
  </w:style>
  <w:style w:type="paragraph" w:customStyle="1" w:styleId="38">
    <w:name w:val="石墨文档正文"/>
    <w:qFormat/>
    <w:uiPriority w:val="0"/>
    <w:rPr>
      <w:rFonts w:ascii="微软雅黑" w:hAnsi="微软雅黑" w:eastAsia="微软雅黑" w:cs="微软雅黑"/>
      <w:sz w:val="24"/>
      <w:szCs w:val="24"/>
      <w:lang w:val="en-US" w:eastAsia="zh-CN" w:bidi="ar-SA"/>
    </w:rPr>
  </w:style>
  <w:style w:type="character" w:customStyle="1" w:styleId="39">
    <w:name w:val="font11"/>
    <w:basedOn w:val="27"/>
    <w:qFormat/>
    <w:uiPriority w:val="0"/>
    <w:rPr>
      <w:rFonts w:hint="eastAsia" w:ascii="宋体" w:hAnsi="宋体" w:eastAsia="宋体" w:cs="宋体"/>
      <w:color w:val="000008"/>
      <w:sz w:val="22"/>
      <w:szCs w:val="22"/>
      <w:u w:val="none"/>
    </w:rPr>
  </w:style>
  <w:style w:type="paragraph" w:customStyle="1" w:styleId="40">
    <w:name w:val="List Paragraph_7694705a-c3a6-41bb-8515-e14ae0fd478f"/>
    <w:basedOn w:val="1"/>
    <w:qFormat/>
    <w:uiPriority w:val="99"/>
    <w:pPr>
      <w:ind w:firstLine="420" w:firstLineChars="200"/>
    </w:pPr>
  </w:style>
  <w:style w:type="paragraph" w:customStyle="1" w:styleId="41">
    <w:name w:val="列出段落2"/>
    <w:basedOn w:val="1"/>
    <w:qFormat/>
    <w:uiPriority w:val="99"/>
    <w:pPr>
      <w:ind w:firstLine="420" w:firstLineChars="200"/>
    </w:pPr>
  </w:style>
  <w:style w:type="paragraph" w:customStyle="1" w:styleId="42">
    <w:name w:val="无间隔1"/>
    <w:qFormat/>
    <w:uiPriority w:val="1"/>
    <w:rPr>
      <w:rFonts w:ascii="Georgia" w:hAnsi="Georgia" w:eastAsia="宋体" w:cs="Times New Roman"/>
      <w:sz w:val="22"/>
      <w:szCs w:val="22"/>
      <w:lang w:val="en-US" w:eastAsia="zh-CN" w:bidi="ar-SA"/>
    </w:rPr>
  </w:style>
  <w:style w:type="paragraph" w:customStyle="1" w:styleId="43">
    <w:name w:val="Table Paragraph"/>
    <w:basedOn w:val="1"/>
    <w:qFormat/>
    <w:uiPriority w:val="1"/>
  </w:style>
  <w:style w:type="paragraph" w:customStyle="1" w:styleId="44">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41</Pages>
  <Words>12802</Words>
  <Characters>13309</Characters>
  <Lines>177</Lines>
  <Paragraphs>49</Paragraphs>
  <TotalTime>29</TotalTime>
  <ScaleCrop>false</ScaleCrop>
  <LinksUpToDate>false</LinksUpToDate>
  <CharactersWithSpaces>14184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2024-12-12T12:17:00Z</dcterms:created>
  <dc:creator>水岸听涛</dc:creator>
  <cp:lastModifiedBy>15103004526</cp:lastModifiedBy>
  <cp:lastPrinted>2025-07-17T16:03:00Z</cp:lastPrinted>
  <dcterms:modified xsi:type="dcterms:W3CDTF">2026-03-23T09:15:48Z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