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9EB7D">
      <w:pPr>
        <w:spacing w:line="600" w:lineRule="exact"/>
        <w:rPr>
          <w:rFonts w:ascii="方正公文小标宋" w:hAnsi="方正公文小标宋" w:eastAsia="方正公文小标宋" w:cs="方正公文小标宋"/>
          <w:color w:val="auto"/>
          <w:highlight w:val="none"/>
        </w:rPr>
      </w:pPr>
      <w:r>
        <w:rPr>
          <w:rFonts w:hint="eastAsia" w:ascii="方正公文小标宋" w:hAnsi="方正公文小标宋" w:eastAsia="方正公文小标宋" w:cs="方正公文小标宋"/>
          <w:color w:val="auto"/>
          <w:highlight w:val="none"/>
        </w:rPr>
        <w:t xml:space="preserve"> </w:t>
      </w:r>
    </w:p>
    <w:p w14:paraId="04541392">
      <w:pPr>
        <w:adjustRightInd w:val="0"/>
        <w:snapToGrid w:val="0"/>
        <w:spacing w:line="560" w:lineRule="exact"/>
        <w:jc w:val="center"/>
        <w:rPr>
          <w:rFonts w:asciiTheme="minorEastAsia" w:hAnsiTheme="minorEastAsia" w:eastAsiaTheme="minorEastAsia" w:cstheme="minorEastAsia"/>
          <w:b/>
          <w:bCs w:val="0"/>
          <w:color w:val="auto"/>
          <w:sz w:val="44"/>
          <w:szCs w:val="44"/>
          <w:highlight w:val="none"/>
        </w:rPr>
      </w:pPr>
      <w:bookmarkStart w:id="0" w:name="_Toc415058499"/>
      <w:bookmarkStart w:id="1" w:name="_Toc415058575"/>
      <w:bookmarkStart w:id="2" w:name="_Toc375561633"/>
    </w:p>
    <w:p w14:paraId="588FEFCC">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Theme="majorEastAsia" w:hAnsiTheme="majorEastAsia" w:eastAsiaTheme="majorEastAsia" w:cstheme="majorEastAsia"/>
          <w:b/>
          <w:color w:val="auto"/>
          <w:sz w:val="52"/>
          <w:szCs w:val="52"/>
          <w:highlight w:val="none"/>
          <w:lang w:val="en-US" w:eastAsia="zh-CN"/>
        </w:rPr>
      </w:pPr>
      <w:r>
        <w:rPr>
          <w:rFonts w:hint="eastAsia" w:asciiTheme="majorEastAsia" w:hAnsiTheme="majorEastAsia" w:eastAsiaTheme="majorEastAsia" w:cstheme="majorEastAsia"/>
          <w:b/>
          <w:color w:val="auto"/>
          <w:sz w:val="52"/>
          <w:szCs w:val="52"/>
          <w:highlight w:val="none"/>
          <w:lang w:val="en-US" w:eastAsia="zh-CN"/>
        </w:rPr>
        <w:t>海南卫生健康职业学院</w:t>
      </w:r>
    </w:p>
    <w:p w14:paraId="1BAC44B8">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Theme="majorEastAsia" w:hAnsiTheme="majorEastAsia" w:eastAsiaTheme="majorEastAsia" w:cstheme="majorEastAsia"/>
          <w:b/>
          <w:color w:val="auto"/>
          <w:sz w:val="52"/>
          <w:szCs w:val="52"/>
          <w:highlight w:val="none"/>
          <w:lang w:val="en-US" w:eastAsia="zh-CN"/>
        </w:rPr>
      </w:pPr>
      <w:r>
        <w:rPr>
          <w:rFonts w:hint="eastAsia" w:asciiTheme="majorEastAsia" w:hAnsiTheme="majorEastAsia" w:eastAsiaTheme="majorEastAsia" w:cstheme="majorEastAsia"/>
          <w:b/>
          <w:color w:val="auto"/>
          <w:sz w:val="52"/>
          <w:szCs w:val="52"/>
          <w:highlight w:val="none"/>
          <w:lang w:val="en-US" w:eastAsia="zh-CN"/>
        </w:rPr>
        <w:t>2026年学生消防应急疏散与灭火演练项目</w:t>
      </w:r>
    </w:p>
    <w:p w14:paraId="30831E8D">
      <w:pPr>
        <w:rPr>
          <w:color w:val="auto"/>
          <w:highlight w:val="none"/>
        </w:rPr>
      </w:pPr>
    </w:p>
    <w:p w14:paraId="6EA1EE21">
      <w:pPr>
        <w:pageBreakBefore w:val="0"/>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Cs w:val="0"/>
          <w:color w:val="auto"/>
          <w:sz w:val="36"/>
          <w:szCs w:val="36"/>
          <w:highlight w:val="none"/>
        </w:rPr>
      </w:pPr>
    </w:p>
    <w:p w14:paraId="48622F36">
      <w:pPr>
        <w:adjustRightInd w:val="0"/>
        <w:snapToGrid w:val="0"/>
        <w:spacing w:line="560" w:lineRule="exact"/>
        <w:ind w:firstLine="720" w:firstLineChars="200"/>
        <w:jc w:val="center"/>
        <w:rPr>
          <w:rFonts w:hint="eastAsia" w:asciiTheme="minorEastAsia" w:hAnsiTheme="minorEastAsia" w:eastAsiaTheme="minorEastAsia" w:cstheme="minorEastAsia"/>
          <w:b/>
          <w:bCs w:val="0"/>
          <w:color w:val="auto"/>
          <w:spacing w:val="40"/>
          <w:sz w:val="36"/>
          <w:szCs w:val="36"/>
          <w:highlight w:val="none"/>
          <w:lang w:val="en-US" w:eastAsia="zh-CN"/>
        </w:rPr>
      </w:pPr>
      <w:r>
        <w:rPr>
          <w:rFonts w:hint="eastAsia" w:asciiTheme="minorEastAsia" w:hAnsiTheme="minorEastAsia" w:eastAsiaTheme="minorEastAsia" w:cstheme="minorEastAsia"/>
          <w:bCs w:val="0"/>
          <w:color w:val="auto"/>
          <w:sz w:val="36"/>
          <w:szCs w:val="36"/>
          <w:highlight w:val="none"/>
        </w:rPr>
        <w:t>项目编号：HNWJY-FW202600</w:t>
      </w:r>
      <w:r>
        <w:rPr>
          <w:rFonts w:hint="eastAsia" w:asciiTheme="minorEastAsia" w:hAnsiTheme="minorEastAsia" w:eastAsiaTheme="minorEastAsia" w:cstheme="minorEastAsia"/>
          <w:bCs w:val="0"/>
          <w:color w:val="auto"/>
          <w:sz w:val="36"/>
          <w:szCs w:val="36"/>
          <w:highlight w:val="none"/>
          <w:lang w:val="en-US" w:eastAsia="zh-CN"/>
        </w:rPr>
        <w:t>5</w:t>
      </w:r>
    </w:p>
    <w:p w14:paraId="7C4D8536">
      <w:pPr>
        <w:adjustRightInd w:val="0"/>
        <w:snapToGrid w:val="0"/>
        <w:spacing w:line="420" w:lineRule="auto"/>
        <w:jc w:val="center"/>
        <w:rPr>
          <w:rFonts w:hint="eastAsia" w:asciiTheme="minorEastAsia" w:hAnsiTheme="minorEastAsia" w:eastAsiaTheme="minorEastAsia" w:cstheme="minorEastAsia"/>
          <w:bCs w:val="0"/>
          <w:color w:val="auto"/>
          <w:sz w:val="36"/>
          <w:szCs w:val="36"/>
          <w:highlight w:val="none"/>
          <w:shd w:val="clear" w:color="auto" w:fill="FFFF00"/>
          <w:lang w:val="en-US" w:eastAsia="zh-CN"/>
        </w:rPr>
      </w:pPr>
    </w:p>
    <w:p w14:paraId="7DCF9AE8">
      <w:pPr>
        <w:adjustRightInd w:val="0"/>
        <w:snapToGrid w:val="0"/>
        <w:spacing w:line="420" w:lineRule="auto"/>
        <w:rPr>
          <w:rFonts w:asciiTheme="minorEastAsia" w:hAnsiTheme="minorEastAsia" w:eastAsiaTheme="minorEastAsia" w:cstheme="minorEastAsia"/>
          <w:b/>
          <w:bCs w:val="0"/>
          <w:color w:val="auto"/>
          <w:spacing w:val="40"/>
          <w:sz w:val="36"/>
          <w:szCs w:val="36"/>
          <w:highlight w:val="none"/>
        </w:rPr>
      </w:pPr>
    </w:p>
    <w:bookmarkEnd w:id="0"/>
    <w:bookmarkEnd w:id="1"/>
    <w:bookmarkEnd w:id="2"/>
    <w:p w14:paraId="05215993">
      <w:pPr>
        <w:spacing w:line="360" w:lineRule="auto"/>
        <w:ind w:firstLine="723" w:firstLineChars="100"/>
        <w:jc w:val="center"/>
        <w:rPr>
          <w:rFonts w:hAnsi="宋体"/>
          <w:b/>
          <w:color w:val="auto"/>
          <w:sz w:val="72"/>
          <w:szCs w:val="72"/>
          <w:highlight w:val="none"/>
        </w:rPr>
      </w:pPr>
      <w:bookmarkStart w:id="3" w:name="_Toc325446794"/>
      <w:bookmarkStart w:id="4" w:name="_Toc326783408"/>
      <w:bookmarkStart w:id="5" w:name="_Toc325731733"/>
    </w:p>
    <w:p w14:paraId="33788060">
      <w:pPr>
        <w:spacing w:line="360" w:lineRule="auto"/>
        <w:ind w:firstLine="723" w:firstLineChars="100"/>
        <w:jc w:val="center"/>
        <w:rPr>
          <w:rFonts w:hAnsi="宋体"/>
          <w:b/>
          <w:color w:val="auto"/>
          <w:sz w:val="72"/>
          <w:szCs w:val="72"/>
          <w:highlight w:val="none"/>
        </w:rPr>
      </w:pPr>
      <w:r>
        <w:rPr>
          <w:rFonts w:hint="eastAsia" w:hAnsi="宋体"/>
          <w:b/>
          <w:sz w:val="72"/>
          <w:szCs w:val="72"/>
          <w:lang w:eastAsia="zh-CN"/>
        </w:rPr>
        <w:t>校内</w:t>
      </w:r>
      <w:r>
        <w:rPr>
          <w:rFonts w:hint="eastAsia" w:hAnsi="宋体"/>
          <w:b/>
          <w:color w:val="auto"/>
          <w:sz w:val="72"/>
          <w:szCs w:val="72"/>
          <w:highlight w:val="none"/>
        </w:rPr>
        <w:t>竞争性磋商文件</w:t>
      </w:r>
    </w:p>
    <w:p w14:paraId="46A55FB3">
      <w:pPr>
        <w:rPr>
          <w:color w:val="auto"/>
          <w:highlight w:val="none"/>
        </w:rPr>
      </w:pPr>
    </w:p>
    <w:bookmarkEnd w:id="3"/>
    <w:bookmarkEnd w:id="4"/>
    <w:bookmarkEnd w:id="5"/>
    <w:p w14:paraId="58F25A44">
      <w:pPr>
        <w:rPr>
          <w:color w:val="auto"/>
          <w:highlight w:val="none"/>
        </w:rPr>
      </w:pPr>
    </w:p>
    <w:p w14:paraId="429C1DBA">
      <w:pPr>
        <w:rPr>
          <w:color w:val="auto"/>
          <w:highlight w:val="none"/>
        </w:rPr>
      </w:pPr>
    </w:p>
    <w:p w14:paraId="3CD6068A">
      <w:pPr>
        <w:rPr>
          <w:color w:val="auto"/>
          <w:highlight w:val="none"/>
        </w:rPr>
      </w:pPr>
    </w:p>
    <w:p w14:paraId="0240D67A">
      <w:pPr>
        <w:rPr>
          <w:color w:val="auto"/>
          <w:highlight w:val="none"/>
        </w:rPr>
      </w:pPr>
    </w:p>
    <w:p w14:paraId="5358E844">
      <w:pPr>
        <w:adjustRightInd w:val="0"/>
        <w:snapToGrid w:val="0"/>
        <w:spacing w:line="560" w:lineRule="exact"/>
        <w:rPr>
          <w:rFonts w:asciiTheme="minorEastAsia" w:hAnsiTheme="minorEastAsia" w:eastAsiaTheme="minorEastAsia" w:cstheme="minorEastAsia"/>
          <w:b/>
          <w:color w:val="auto"/>
          <w:sz w:val="36"/>
          <w:szCs w:val="36"/>
          <w:highlight w:val="none"/>
        </w:rPr>
      </w:pPr>
    </w:p>
    <w:p w14:paraId="4B5FCC18">
      <w:pPr>
        <w:adjustRightInd w:val="0"/>
        <w:snapToGrid w:val="0"/>
        <w:spacing w:line="560" w:lineRule="exact"/>
        <w:jc w:val="center"/>
        <w:rPr>
          <w:rFonts w:asciiTheme="minorEastAsia" w:hAnsiTheme="minorEastAsia" w:eastAsiaTheme="minorEastAsia" w:cstheme="minorEastAsia"/>
          <w:b/>
          <w:bCs w:val="0"/>
          <w:color w:val="auto"/>
          <w:sz w:val="36"/>
          <w:szCs w:val="36"/>
          <w:highlight w:val="none"/>
        </w:rPr>
      </w:pPr>
      <w:r>
        <w:rPr>
          <w:rFonts w:hint="eastAsia" w:asciiTheme="minorEastAsia" w:hAnsiTheme="minorEastAsia" w:eastAsiaTheme="minorEastAsia" w:cstheme="minorEastAsia"/>
          <w:b/>
          <w:color w:val="auto"/>
          <w:sz w:val="36"/>
          <w:szCs w:val="36"/>
          <w:highlight w:val="none"/>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400050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6pt;margin-top:31.5pt;height:0pt;width:0.05pt;z-index:251660288;mso-width-relative:page;mso-height-relative:page;" filled="f" stroked="t" coordsize="21600,21600" o:gfxdata="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CznTm1QAA&#10;AAkBAAAPAAAAAAAAAAEAIAAAACIAAABkcnMvZG93bnJldi54bWxQSwECFAAUAAAACACHTuJARuFH&#10;HugBAADUAwAADgAAAAAAAAABACAAAAAkAQAAZHJzL2Uyb0RvYy54bWxQSwUGAAAAAAYABgBZAQAA&#10;fg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color w:val="auto"/>
          <w:sz w:val="36"/>
          <w:szCs w:val="36"/>
          <w:highlight w:val="none"/>
        </w:rPr>
        <w:t>采购</w:t>
      </w:r>
      <w:r>
        <w:rPr>
          <w:rFonts w:hint="eastAsia" w:asciiTheme="minorEastAsia" w:hAnsiTheme="minorEastAsia" w:eastAsiaTheme="minorEastAsia" w:cstheme="minorEastAsia"/>
          <w:b/>
          <w:bCs w:val="0"/>
          <w:color w:val="auto"/>
          <w:sz w:val="36"/>
          <w:szCs w:val="36"/>
          <w:highlight w:val="none"/>
        </w:rPr>
        <w:t>单位：海南卫生健康职业学院</w:t>
      </w:r>
    </w:p>
    <w:p w14:paraId="7C956E99">
      <w:pPr>
        <w:adjustRightInd w:val="0"/>
        <w:snapToGrid w:val="0"/>
        <w:spacing w:line="560" w:lineRule="exact"/>
        <w:jc w:val="center"/>
        <w:rPr>
          <w:rFonts w:hint="eastAsia" w:asciiTheme="minorEastAsia" w:hAnsiTheme="minorEastAsia" w:eastAsiaTheme="minorEastAsia" w:cstheme="minorEastAsia"/>
          <w:b/>
          <w:bCs w:val="0"/>
          <w:color w:val="auto"/>
          <w:sz w:val="36"/>
          <w:szCs w:val="36"/>
          <w:highlight w:val="none"/>
        </w:rPr>
        <w:sectPr>
          <w:headerReference r:id="rId4" w:type="first"/>
          <w:headerReference r:id="rId3" w:type="default"/>
          <w:footerReference r:id="rId5" w:type="default"/>
          <w:pgSz w:w="11907" w:h="16840"/>
          <w:pgMar w:top="1417" w:right="1587" w:bottom="1418" w:left="1587" w:header="851" w:footer="851" w:gutter="0"/>
          <w:pgNumType w:fmt="numberInDash"/>
          <w:cols w:space="720" w:num="1"/>
          <w:docGrid w:linePitch="381" w:charSpace="-3931"/>
        </w:sectPr>
      </w:pPr>
      <w:r>
        <w:rPr>
          <w:rFonts w:hint="eastAsia" w:asciiTheme="minorEastAsia" w:hAnsiTheme="minorEastAsia" w:eastAsiaTheme="minorEastAsia" w:cstheme="minorEastAsia"/>
          <w:b/>
          <w:bCs w:val="0"/>
          <w:color w:val="auto"/>
          <w:sz w:val="36"/>
          <w:szCs w:val="36"/>
          <w:highlight w:val="none"/>
        </w:rPr>
        <w:t>编制时间：202</w:t>
      </w:r>
      <w:r>
        <w:rPr>
          <w:rFonts w:hint="eastAsia" w:asciiTheme="minorEastAsia" w:hAnsiTheme="minorEastAsia" w:eastAsiaTheme="minorEastAsia" w:cstheme="minorEastAsia"/>
          <w:b/>
          <w:bCs w:val="0"/>
          <w:color w:val="auto"/>
          <w:sz w:val="36"/>
          <w:szCs w:val="36"/>
          <w:highlight w:val="none"/>
          <w:lang w:val="en-US" w:eastAsia="zh-CN"/>
        </w:rPr>
        <w:t>6</w:t>
      </w:r>
      <w:r>
        <w:rPr>
          <w:rFonts w:hint="eastAsia" w:asciiTheme="minorEastAsia" w:hAnsiTheme="minorEastAsia" w:eastAsiaTheme="minorEastAsia" w:cstheme="minorEastAsia"/>
          <w:b/>
          <w:bCs w:val="0"/>
          <w:color w:val="auto"/>
          <w:sz w:val="36"/>
          <w:szCs w:val="36"/>
          <w:highlight w:val="none"/>
        </w:rPr>
        <w:t>年</w:t>
      </w:r>
      <w:r>
        <w:rPr>
          <w:rFonts w:hint="eastAsia" w:asciiTheme="minorEastAsia" w:hAnsiTheme="minorEastAsia" w:eastAsiaTheme="minorEastAsia" w:cstheme="minorEastAsia"/>
          <w:b/>
          <w:bCs w:val="0"/>
          <w:color w:val="auto"/>
          <w:sz w:val="36"/>
          <w:szCs w:val="36"/>
          <w:highlight w:val="none"/>
          <w:lang w:val="en-US" w:eastAsia="zh-CN"/>
        </w:rPr>
        <w:t>5</w:t>
      </w:r>
      <w:r>
        <w:rPr>
          <w:rFonts w:hint="eastAsia" w:asciiTheme="minorEastAsia" w:hAnsiTheme="minorEastAsia" w:eastAsiaTheme="minorEastAsia" w:cstheme="minorEastAsia"/>
          <w:b/>
          <w:bCs w:val="0"/>
          <w:color w:val="auto"/>
          <w:sz w:val="36"/>
          <w:szCs w:val="36"/>
          <w:highlight w:val="none"/>
        </w:rPr>
        <w:t>月</w:t>
      </w:r>
      <w:r>
        <w:rPr>
          <w:rFonts w:hint="eastAsia" w:asciiTheme="minorEastAsia" w:hAnsiTheme="minorEastAsia" w:eastAsiaTheme="minorEastAsia" w:cstheme="minorEastAsia"/>
          <w:b/>
          <w:bCs w:val="0"/>
          <w:color w:val="auto"/>
          <w:sz w:val="36"/>
          <w:szCs w:val="36"/>
          <w:highlight w:val="none"/>
          <w:lang w:val="en-US" w:eastAsia="zh-CN"/>
        </w:rPr>
        <w:t>6</w:t>
      </w:r>
      <w:r>
        <w:rPr>
          <w:rFonts w:hint="eastAsia" w:asciiTheme="minorEastAsia" w:hAnsiTheme="minorEastAsia" w:eastAsiaTheme="minorEastAsia" w:cstheme="minorEastAsia"/>
          <w:b/>
          <w:bCs w:val="0"/>
          <w:color w:val="auto"/>
          <w:sz w:val="36"/>
          <w:szCs w:val="36"/>
          <w:highlight w:val="none"/>
        </w:rPr>
        <w:t>日</w:t>
      </w:r>
    </w:p>
    <w:p w14:paraId="3FC8C581">
      <w:pPr>
        <w:pStyle w:val="19"/>
        <w:tabs>
          <w:tab w:val="right" w:leader="dot" w:pos="9746"/>
        </w:tabs>
        <w:jc w:val="center"/>
        <w:rPr>
          <w:rStyle w:val="31"/>
          <w:rFonts w:asciiTheme="minorEastAsia" w:hAnsiTheme="minorEastAsia" w:eastAsiaTheme="minorEastAsia" w:cstheme="minorEastAsia"/>
          <w:color w:val="auto"/>
          <w:sz w:val="32"/>
          <w:szCs w:val="32"/>
          <w:highlight w:val="none"/>
        </w:rPr>
      </w:pPr>
      <w:bookmarkStart w:id="6" w:name="_Toc9970"/>
      <w:bookmarkStart w:id="7" w:name="_Toc40089788"/>
      <w:bookmarkStart w:id="8" w:name="_Toc356491305"/>
    </w:p>
    <w:p w14:paraId="1FC996C9">
      <w:pPr>
        <w:pStyle w:val="19"/>
        <w:tabs>
          <w:tab w:val="right" w:leader="dot" w:pos="9746"/>
        </w:tabs>
        <w:jc w:val="center"/>
        <w:rPr>
          <w:rStyle w:val="31"/>
          <w:rFonts w:asciiTheme="minorEastAsia" w:hAnsiTheme="minorEastAsia" w:eastAsiaTheme="minorEastAsia" w:cstheme="minorEastAsia"/>
          <w:color w:val="auto"/>
          <w:sz w:val="32"/>
          <w:szCs w:val="32"/>
          <w:highlight w:val="none"/>
        </w:rPr>
      </w:pPr>
      <w:bookmarkStart w:id="9" w:name="_Toc20015"/>
      <w:r>
        <w:rPr>
          <w:rStyle w:val="31"/>
          <w:rFonts w:hint="eastAsia" w:asciiTheme="minorEastAsia" w:hAnsiTheme="minorEastAsia" w:eastAsiaTheme="minorEastAsia" w:cstheme="minorEastAsia"/>
          <w:color w:val="auto"/>
          <w:sz w:val="32"/>
          <w:szCs w:val="32"/>
          <w:highlight w:val="none"/>
        </w:rPr>
        <w:t>目  录</w:t>
      </w:r>
    </w:p>
    <w:bookmarkEnd w:id="6"/>
    <w:bookmarkEnd w:id="9"/>
    <w:p w14:paraId="595FBFAC">
      <w:pPr>
        <w:pStyle w:val="19"/>
        <w:tabs>
          <w:tab w:val="right" w:leader="dot" w:pos="8732"/>
        </w:tabs>
        <w:rPr>
          <w:rFonts w:hint="eastAsia" w:ascii="仿宋" w:hAnsi="仿宋" w:eastAsia="仿宋" w:cs="仿宋"/>
          <w:color w:val="auto"/>
          <w:sz w:val="32"/>
          <w:szCs w:val="32"/>
          <w:highlight w:val="none"/>
        </w:rPr>
      </w:pPr>
      <w:r>
        <w:rPr>
          <w:rStyle w:val="31"/>
          <w:rFonts w:hint="eastAsia" w:ascii="仿宋" w:hAnsi="仿宋" w:eastAsia="仿宋" w:cs="仿宋"/>
          <w:color w:val="auto"/>
          <w:sz w:val="32"/>
          <w:szCs w:val="32"/>
          <w:highlight w:val="none"/>
        </w:rPr>
        <w:fldChar w:fldCharType="begin"/>
      </w:r>
      <w:r>
        <w:rPr>
          <w:rStyle w:val="31"/>
          <w:rFonts w:hint="eastAsia" w:ascii="仿宋" w:hAnsi="仿宋" w:eastAsia="仿宋" w:cs="仿宋"/>
          <w:color w:val="auto"/>
          <w:sz w:val="32"/>
          <w:szCs w:val="32"/>
          <w:highlight w:val="none"/>
        </w:rPr>
        <w:instrText xml:space="preserve">TOC \o "1-2" \h \u </w:instrText>
      </w:r>
      <w:r>
        <w:rPr>
          <w:rStyle w:val="31"/>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_Toc20015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目  录</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_Toc20015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- 1 -</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15D6A5C0">
      <w:pPr>
        <w:pStyle w:val="19"/>
        <w:tabs>
          <w:tab w:val="right" w:leader="dot" w:pos="8732"/>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_Toc19324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第一部分 竞争性磋商公告</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_Toc19324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- 1 -</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7282CF4C">
      <w:pPr>
        <w:pStyle w:val="19"/>
        <w:tabs>
          <w:tab w:val="right" w:leader="dot" w:pos="8732"/>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_Toc22920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第二部分 供应商须知</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_Toc22920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- 5 -</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259122A8">
      <w:pPr>
        <w:pStyle w:val="19"/>
        <w:tabs>
          <w:tab w:val="right" w:leader="dot" w:pos="8732"/>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_Toc19325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第三部分 评审办法</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_Toc19325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- 11 -</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0A53D31A">
      <w:pPr>
        <w:pStyle w:val="19"/>
        <w:tabs>
          <w:tab w:val="right" w:leader="dot" w:pos="8732"/>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_Toc22407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第四部分 授予合同</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_Toc22407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- 15 -</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58DECAD5">
      <w:pPr>
        <w:pStyle w:val="19"/>
        <w:tabs>
          <w:tab w:val="right" w:leader="dot" w:pos="8732"/>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_Toc11038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第五部分 项目需求</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_Toc11038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- 18 -</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61F11772">
      <w:pPr>
        <w:pStyle w:val="19"/>
        <w:tabs>
          <w:tab w:val="right" w:leader="dot" w:pos="8732"/>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_Toc12517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第六部分 报价文件格式</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_Toc12517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- 26 -</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0569A0CB">
      <w:pPr>
        <w:pStyle w:val="19"/>
        <w:tabs>
          <w:tab w:val="right" w:leader="dot" w:pos="8732"/>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_Toc9943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一、商务部分</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_Toc9943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- 29 -</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2286DDB0">
      <w:pPr>
        <w:pStyle w:val="19"/>
        <w:tabs>
          <w:tab w:val="right" w:leader="dot" w:pos="8732"/>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_Toc21595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二、 资信部分</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_Toc21595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- 35 -</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5126038B">
      <w:pPr>
        <w:pStyle w:val="19"/>
        <w:tabs>
          <w:tab w:val="right" w:leader="dot" w:pos="8732"/>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_Toc28212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三、 技术部分</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_Toc28212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- 36 -</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1C7CDD3C">
      <w:pPr>
        <w:pStyle w:val="19"/>
        <w:tabs>
          <w:tab w:val="right" w:leader="dot" w:pos="8732"/>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_Toc2093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四、报价部分</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_Toc2093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- 38 -</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08E7DCEF">
      <w:pPr>
        <w:pStyle w:val="19"/>
        <w:tabs>
          <w:tab w:val="right" w:leader="dot" w:pos="8732"/>
        </w:tabs>
        <w:rPr>
          <w:color w:val="auto"/>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_Toc22438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封套格式</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_Toc22438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- 39 -</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5CF51A03">
      <w:pPr>
        <w:rPr>
          <w:rFonts w:hint="eastAsia" w:ascii="仿宋" w:hAnsi="仿宋" w:eastAsia="仿宋" w:cs="仿宋"/>
          <w:color w:val="auto"/>
          <w:szCs w:val="32"/>
          <w:highlight w:val="none"/>
        </w:rPr>
      </w:pPr>
      <w:r>
        <w:rPr>
          <w:rFonts w:hint="eastAsia" w:ascii="仿宋" w:hAnsi="仿宋" w:eastAsia="仿宋" w:cs="仿宋"/>
          <w:color w:val="auto"/>
          <w:szCs w:val="32"/>
          <w:highlight w:val="none"/>
        </w:rPr>
        <w:fldChar w:fldCharType="end"/>
      </w:r>
      <w:bookmarkStart w:id="10" w:name="_Toc19324"/>
    </w:p>
    <w:p w14:paraId="15E3DC44">
      <w:pPr>
        <w:rPr>
          <w:rFonts w:hint="eastAsia" w:ascii="仿宋" w:hAnsi="仿宋" w:eastAsia="仿宋" w:cs="仿宋"/>
          <w:color w:val="auto"/>
          <w:szCs w:val="32"/>
          <w:highlight w:val="none"/>
        </w:rPr>
      </w:pPr>
    </w:p>
    <w:p w14:paraId="22E885E9">
      <w:pPr>
        <w:rPr>
          <w:rFonts w:hint="eastAsia" w:ascii="仿宋" w:hAnsi="仿宋" w:eastAsia="仿宋" w:cs="仿宋"/>
          <w:color w:val="auto"/>
          <w:szCs w:val="32"/>
          <w:highlight w:val="none"/>
        </w:rPr>
      </w:pPr>
    </w:p>
    <w:p w14:paraId="1615B747">
      <w:pPr>
        <w:rPr>
          <w:rFonts w:hint="eastAsia" w:ascii="仿宋" w:hAnsi="仿宋" w:eastAsia="仿宋" w:cs="仿宋"/>
          <w:color w:val="auto"/>
          <w:szCs w:val="32"/>
          <w:highlight w:val="none"/>
        </w:rPr>
      </w:pPr>
    </w:p>
    <w:p w14:paraId="2E3D7195">
      <w:pPr>
        <w:rPr>
          <w:rFonts w:hint="eastAsia" w:ascii="仿宋" w:hAnsi="仿宋" w:eastAsia="仿宋" w:cs="仿宋"/>
          <w:color w:val="auto"/>
          <w:szCs w:val="32"/>
          <w:highlight w:val="none"/>
        </w:rPr>
      </w:pPr>
    </w:p>
    <w:p w14:paraId="2DDBC6C9">
      <w:pPr>
        <w:rPr>
          <w:rFonts w:hint="eastAsia" w:ascii="仿宋" w:hAnsi="仿宋" w:eastAsia="仿宋" w:cs="仿宋"/>
          <w:color w:val="auto"/>
          <w:szCs w:val="32"/>
          <w:highlight w:val="none"/>
        </w:rPr>
      </w:pPr>
    </w:p>
    <w:p w14:paraId="454FA314">
      <w:pPr>
        <w:rPr>
          <w:rStyle w:val="31"/>
          <w:rFonts w:hint="eastAsia" w:eastAsia="仿宋" w:asciiTheme="minorEastAsia" w:hAnsiTheme="minorEastAsia" w:cstheme="minorEastAsia"/>
          <w:b/>
          <w:color w:val="auto"/>
          <w:sz w:val="44"/>
          <w:highlight w:val="none"/>
          <w:lang w:val="en-US" w:eastAsia="zh-CN"/>
        </w:rPr>
      </w:pPr>
    </w:p>
    <w:p w14:paraId="512BACA2">
      <w:pPr>
        <w:pStyle w:val="2"/>
        <w:jc w:val="center"/>
        <w:rPr>
          <w:color w:val="auto"/>
          <w:highlight w:val="none"/>
        </w:rPr>
      </w:pPr>
      <w:r>
        <w:rPr>
          <w:rStyle w:val="31"/>
          <w:rFonts w:hint="eastAsia" w:asciiTheme="minorEastAsia" w:hAnsiTheme="minorEastAsia" w:eastAsiaTheme="minorEastAsia" w:cstheme="minorEastAsia"/>
          <w:b/>
          <w:color w:val="auto"/>
          <w:sz w:val="44"/>
          <w:highlight w:val="none"/>
        </w:rPr>
        <w:t xml:space="preserve">第一部分 </w:t>
      </w:r>
      <w:bookmarkEnd w:id="7"/>
      <w:bookmarkEnd w:id="8"/>
      <w:r>
        <w:rPr>
          <w:rStyle w:val="31"/>
          <w:rFonts w:hint="eastAsia" w:asciiTheme="minorEastAsia" w:hAnsiTheme="minorEastAsia" w:eastAsiaTheme="minorEastAsia" w:cstheme="minorEastAsia"/>
          <w:b/>
          <w:color w:val="auto"/>
          <w:sz w:val="44"/>
          <w:highlight w:val="none"/>
        </w:rPr>
        <w:t>竞争性磋商公告</w:t>
      </w:r>
      <w:bookmarkEnd w:id="10"/>
      <w:bookmarkStart w:id="11" w:name="_Toc325620702"/>
      <w:bookmarkStart w:id="12" w:name="_Toc325582571"/>
      <w:bookmarkStart w:id="13" w:name="_Toc325582066"/>
    </w:p>
    <w:p w14:paraId="09617736">
      <w:pPr>
        <w:adjustRightInd w:val="0"/>
        <w:snapToGrid w:val="0"/>
        <w:spacing w:line="560" w:lineRule="exact"/>
        <w:ind w:firstLine="640" w:firstLineChars="200"/>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一、采购项目名称</w:t>
      </w:r>
    </w:p>
    <w:p w14:paraId="476FD575">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Chars="0" w:firstLine="640"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2026年学生消防应急疏散与灭火演练项目</w:t>
      </w:r>
    </w:p>
    <w:p w14:paraId="6F553F5F">
      <w:pPr>
        <w:adjustRightInd w:val="0"/>
        <w:snapToGrid w:val="0"/>
        <w:spacing w:line="560" w:lineRule="exact"/>
        <w:ind w:firstLine="640" w:firstLineChars="200"/>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二、采购项目编号</w:t>
      </w:r>
    </w:p>
    <w:p w14:paraId="697A0C71">
      <w:pPr>
        <w:adjustRightInd w:val="0"/>
        <w:snapToGrid w:val="0"/>
        <w:spacing w:line="560" w:lineRule="exact"/>
        <w:ind w:firstLine="640" w:firstLineChars="200"/>
        <w:jc w:val="left"/>
        <w:rPr>
          <w:rFonts w:hint="default"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eastAsia="zh-CN"/>
        </w:rPr>
        <w:t>HNWJY-FW202600</w:t>
      </w:r>
      <w:r>
        <w:rPr>
          <w:rFonts w:hint="eastAsia" w:ascii="仿宋" w:hAnsi="仿宋" w:eastAsia="仿宋" w:cs="仿宋"/>
          <w:b w:val="0"/>
          <w:bCs/>
          <w:color w:val="auto"/>
          <w:sz w:val="32"/>
          <w:szCs w:val="32"/>
          <w:highlight w:val="none"/>
          <w:lang w:val="en-US" w:eastAsia="zh-CN"/>
        </w:rPr>
        <w:t>5</w:t>
      </w:r>
    </w:p>
    <w:p w14:paraId="3EC4863A">
      <w:pPr>
        <w:adjustRightInd w:val="0"/>
        <w:snapToGrid w:val="0"/>
        <w:spacing w:line="560" w:lineRule="exact"/>
        <w:ind w:firstLine="640" w:firstLineChars="200"/>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三、采购项目</w:t>
      </w:r>
    </w:p>
    <w:tbl>
      <w:tblPr>
        <w:tblStyle w:val="25"/>
        <w:tblW w:w="10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7135"/>
        <w:gridCol w:w="1519"/>
      </w:tblGrid>
      <w:tr w14:paraId="06037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378" w:type="dxa"/>
            <w:vAlign w:val="center"/>
          </w:tcPr>
          <w:p w14:paraId="26CC8221">
            <w:pPr>
              <w:keepNext w:val="0"/>
              <w:keepLines w:val="0"/>
              <w:suppressLineNumbers w:val="0"/>
              <w:adjustRightInd w:val="0"/>
              <w:snapToGrid w:val="0"/>
              <w:spacing w:before="0" w:beforeAutospacing="0" w:after="0" w:afterAutospacing="0" w:line="520" w:lineRule="exact"/>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项目</w:t>
            </w:r>
          </w:p>
          <w:p w14:paraId="027B6C8C">
            <w:pPr>
              <w:keepNext w:val="0"/>
              <w:keepLines w:val="0"/>
              <w:suppressLineNumbers w:val="0"/>
              <w:adjustRightInd w:val="0"/>
              <w:snapToGrid w:val="0"/>
              <w:spacing w:before="0" w:beforeAutospacing="0" w:after="0" w:afterAutospacing="0" w:line="520" w:lineRule="exact"/>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名称</w:t>
            </w:r>
          </w:p>
        </w:tc>
        <w:tc>
          <w:tcPr>
            <w:tcW w:w="7135" w:type="dxa"/>
            <w:vAlign w:val="center"/>
          </w:tcPr>
          <w:p w14:paraId="3B2A4AAB">
            <w:pPr>
              <w:keepNext w:val="0"/>
              <w:keepLines w:val="0"/>
              <w:suppressLineNumbers w:val="0"/>
              <w:adjustRightInd w:val="0"/>
              <w:snapToGrid w:val="0"/>
              <w:spacing w:before="0" w:beforeAutospacing="0" w:after="0" w:afterAutospacing="0" w:line="520" w:lineRule="exact"/>
              <w:ind w:left="0" w:right="0" w:firstLine="640" w:firstLineChars="20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供应商资格要求</w:t>
            </w:r>
          </w:p>
        </w:tc>
        <w:tc>
          <w:tcPr>
            <w:tcW w:w="1519" w:type="dxa"/>
            <w:vAlign w:val="center"/>
          </w:tcPr>
          <w:p w14:paraId="0346D9C0">
            <w:pPr>
              <w:keepNext w:val="0"/>
              <w:keepLines w:val="0"/>
              <w:suppressLineNumbers w:val="0"/>
              <w:adjustRightInd w:val="0"/>
              <w:snapToGrid w:val="0"/>
              <w:spacing w:before="0" w:beforeAutospacing="0" w:after="0" w:afterAutospacing="0" w:line="520" w:lineRule="exact"/>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预算金额(元)</w:t>
            </w:r>
          </w:p>
        </w:tc>
      </w:tr>
      <w:tr w14:paraId="5BAC8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1378" w:type="dxa"/>
            <w:vAlign w:val="center"/>
          </w:tcPr>
          <w:p w14:paraId="78BA0F92">
            <w:pPr>
              <w:keepNext w:val="0"/>
              <w:keepLines w:val="0"/>
              <w:suppressLineNumbers w:val="0"/>
              <w:adjustRightInd w:val="0"/>
              <w:snapToGrid w:val="0"/>
              <w:spacing w:before="0" w:beforeAutospacing="0" w:after="0" w:afterAutospacing="0" w:line="560" w:lineRule="exact"/>
              <w:ind w:left="0" w:right="0"/>
              <w:jc w:val="center"/>
              <w:rPr>
                <w:rFonts w:hint="default" w:ascii="仿宋" w:hAnsi="仿宋" w:eastAsia="仿宋" w:cs="仿宋"/>
                <w:color w:val="auto"/>
                <w:sz w:val="32"/>
                <w:szCs w:val="32"/>
                <w:highlight w:val="none"/>
              </w:rPr>
            </w:pPr>
          </w:p>
          <w:p w14:paraId="4CD983D1">
            <w:pPr>
              <w:keepNext w:val="0"/>
              <w:keepLines w:val="0"/>
              <w:suppressLineNumbers w:val="0"/>
              <w:adjustRightInd w:val="0"/>
              <w:snapToGrid w:val="0"/>
              <w:spacing w:before="0" w:beforeAutospacing="0" w:after="0" w:afterAutospacing="0" w:line="560" w:lineRule="exact"/>
              <w:ind w:left="0" w:right="0"/>
              <w:jc w:val="center"/>
              <w:rPr>
                <w:rFonts w:hint="default" w:ascii="仿宋" w:hAnsi="仿宋" w:eastAsia="仿宋" w:cs="仿宋"/>
                <w:color w:val="auto"/>
                <w:sz w:val="32"/>
                <w:szCs w:val="32"/>
                <w:highlight w:val="none"/>
              </w:rPr>
            </w:pPr>
          </w:p>
          <w:p w14:paraId="036D865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20" w:lineRule="exact"/>
              <w:ind w:left="0" w:right="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2026年学生消防应急疏散与灭火演练项目</w:t>
            </w:r>
          </w:p>
          <w:p w14:paraId="4BEA3955">
            <w:pPr>
              <w:keepNext w:val="0"/>
              <w:keepLines w:val="0"/>
              <w:suppressLineNumbers w:val="0"/>
              <w:adjustRightInd w:val="0"/>
              <w:snapToGrid w:val="0"/>
              <w:spacing w:before="0" w:beforeAutospacing="0" w:after="0" w:afterAutospacing="0" w:line="520" w:lineRule="exact"/>
              <w:ind w:left="0" w:right="0"/>
              <w:jc w:val="center"/>
              <w:textAlignment w:val="center"/>
              <w:rPr>
                <w:rFonts w:hint="default" w:ascii="仿宋" w:hAnsi="仿宋" w:eastAsia="仿宋" w:cs="仿宋"/>
                <w:color w:val="auto"/>
                <w:kern w:val="0"/>
                <w:sz w:val="32"/>
                <w:szCs w:val="32"/>
                <w:highlight w:val="none"/>
              </w:rPr>
            </w:pPr>
          </w:p>
        </w:tc>
        <w:tc>
          <w:tcPr>
            <w:tcW w:w="7135" w:type="dxa"/>
            <w:vAlign w:val="center"/>
          </w:tcPr>
          <w:p w14:paraId="1F34FED1">
            <w:pPr>
              <w:pStyle w:val="32"/>
              <w:keepNext w:val="0"/>
              <w:keepLines w:val="0"/>
              <w:widowControl/>
              <w:numPr>
                <w:ilvl w:val="0"/>
                <w:numId w:val="3"/>
              </w:numPr>
              <w:suppressLineNumbers w:val="0"/>
              <w:adjustRightInd w:val="0"/>
              <w:snapToGrid w:val="0"/>
              <w:spacing w:before="0" w:beforeAutospacing="0" w:after="0" w:afterAutospacing="0" w:line="500" w:lineRule="exact"/>
              <w:ind w:left="0" w:leftChars="0" w:right="0" w:rightChars="0" w:firstLine="0" w:firstLineChars="0"/>
              <w:jc w:val="left"/>
              <w:textAlignment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符合《中华人民共和国政府采购法》第二十二条规定，在中国境内注册，具有独立承担民事责任能力的法人、其他组织或者自然人。供应商须提供有效的营业执照（法人或其他组织）</w:t>
            </w:r>
          </w:p>
          <w:p w14:paraId="023CD5D7">
            <w:pPr>
              <w:pStyle w:val="32"/>
              <w:keepNext w:val="0"/>
              <w:keepLines w:val="0"/>
              <w:widowControl/>
              <w:numPr>
                <w:ilvl w:val="0"/>
                <w:numId w:val="0"/>
              </w:numPr>
              <w:suppressLineNumbers w:val="0"/>
              <w:adjustRightInd w:val="0"/>
              <w:snapToGrid w:val="0"/>
              <w:spacing w:before="0" w:beforeAutospacing="0" w:after="0" w:afterAutospacing="0" w:line="500" w:lineRule="exact"/>
              <w:ind w:left="0" w:leftChars="0" w:right="0" w:rightChars="0"/>
              <w:jc w:val="left"/>
              <w:textAlignment w:val="center"/>
              <w:rPr>
                <w:rFonts w:hint="default" w:ascii="仿宋" w:hAnsi="仿宋" w:eastAsia="仿宋" w:cs="仿宋"/>
                <w:color w:val="auto"/>
                <w:kern w:val="0"/>
                <w:sz w:val="32"/>
                <w:szCs w:val="32"/>
                <w:highlight w:val="none"/>
              </w:rPr>
            </w:pPr>
            <w:r>
              <w:rPr>
                <w:rFonts w:hint="eastAsia" w:ascii="仿宋" w:hAnsi="仿宋" w:eastAsia="仿宋" w:cs="仿宋"/>
                <w:bCs w:val="0"/>
                <w:color w:val="auto"/>
                <w:kern w:val="0"/>
                <w:sz w:val="32"/>
                <w:szCs w:val="32"/>
                <w:highlight w:val="none"/>
                <w:lang w:val="en-US" w:eastAsia="zh-CN" w:bidi="ar-SA"/>
              </w:rPr>
              <w:t>2</w:t>
            </w:r>
            <w:r>
              <w:rPr>
                <w:rFonts w:hint="default" w:ascii="仿宋" w:hAnsi="仿宋" w:eastAsia="仿宋" w:cs="仿宋"/>
                <w:bCs w:val="0"/>
                <w:color w:val="auto"/>
                <w:kern w:val="0"/>
                <w:sz w:val="32"/>
                <w:szCs w:val="32"/>
                <w:highlight w:val="none"/>
                <w:lang w:val="en-US" w:eastAsia="zh-CN" w:bidi="ar-SA"/>
              </w:rPr>
              <w:t>.</w:t>
            </w:r>
            <w:r>
              <w:rPr>
                <w:rFonts w:hint="eastAsia" w:ascii="仿宋" w:hAnsi="仿宋" w:eastAsia="仿宋" w:cs="仿宋"/>
                <w:color w:val="auto"/>
                <w:kern w:val="0"/>
                <w:sz w:val="32"/>
                <w:szCs w:val="32"/>
                <w:highlight w:val="none"/>
              </w:rPr>
              <w:t>近三年内（成立时间不足三年的、自成立时间起），在经营活动中没有重大违法记录，提供声明函原件（详见附件3，重大违法记录是指供应商因违法经营受到刑事处罚或责令停产停业、吊销许可证或者执照、较大数额等行政处罚）。</w:t>
            </w:r>
          </w:p>
          <w:p w14:paraId="356023C5">
            <w:pPr>
              <w:pStyle w:val="32"/>
              <w:keepNext w:val="0"/>
              <w:keepLines w:val="0"/>
              <w:widowControl/>
              <w:suppressLineNumbers w:val="0"/>
              <w:adjustRightInd w:val="0"/>
              <w:snapToGrid w:val="0"/>
              <w:spacing w:before="0" w:beforeAutospacing="0" w:after="0" w:afterAutospacing="0" w:line="500" w:lineRule="exact"/>
              <w:ind w:left="0" w:right="0" w:firstLine="0" w:firstLineChars="0"/>
              <w:jc w:val="left"/>
              <w:textAlignment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3.</w:t>
            </w:r>
            <w:r>
              <w:rPr>
                <w:rFonts w:hint="eastAsia" w:ascii="仿宋" w:hAnsi="仿宋" w:eastAsia="仿宋" w:cs="仿宋"/>
                <w:color w:val="auto"/>
                <w:kern w:val="0"/>
                <w:sz w:val="32"/>
                <w:szCs w:val="32"/>
                <w:highlight w:val="none"/>
              </w:rPr>
              <w:t>未被“信用中国”网站。（www.creditchina.gov.cn）列入失信被执行人、重大税收违法案件当事人名单、政府采购严重失信行为记录名单或信用报告（提供网上截图</w:t>
            </w:r>
            <w:r>
              <w:rPr>
                <w:rFonts w:hint="eastAsia" w:ascii="仿宋" w:hAnsi="仿宋" w:eastAsia="仿宋" w:cs="仿宋"/>
                <w:color w:val="auto"/>
                <w:sz w:val="31"/>
                <w:szCs w:val="31"/>
                <w:highlight w:val="none"/>
                <w:shd w:val="clear" w:color="auto" w:fill="FFFFFF"/>
              </w:rPr>
              <w:t>加盖公章</w:t>
            </w:r>
            <w:r>
              <w:rPr>
                <w:rFonts w:hint="eastAsia" w:ascii="仿宋" w:hAnsi="仿宋" w:eastAsia="仿宋" w:cs="仿宋"/>
                <w:color w:val="auto"/>
                <w:kern w:val="0"/>
                <w:sz w:val="32"/>
                <w:szCs w:val="32"/>
                <w:highlight w:val="none"/>
              </w:rPr>
              <w:t>）。</w:t>
            </w:r>
          </w:p>
          <w:p w14:paraId="34DF5B82">
            <w:pPr>
              <w:pStyle w:val="32"/>
              <w:keepNext w:val="0"/>
              <w:keepLines w:val="0"/>
              <w:widowControl/>
              <w:suppressLineNumbers w:val="0"/>
              <w:adjustRightInd w:val="0"/>
              <w:snapToGrid w:val="0"/>
              <w:spacing w:before="0" w:beforeAutospacing="0" w:after="0" w:afterAutospacing="0" w:line="500" w:lineRule="exact"/>
              <w:ind w:left="0" w:right="0" w:firstLine="0" w:firstLineChars="0"/>
              <w:jc w:val="left"/>
              <w:textAlignment w:val="center"/>
              <w:rPr>
                <w:rFonts w:hint="default"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4</w:t>
            </w:r>
            <w:r>
              <w:rPr>
                <w:rFonts w:hint="eastAsia" w:ascii="仿宋" w:hAnsi="仿宋" w:eastAsia="仿宋" w:cs="仿宋"/>
                <w:color w:val="auto"/>
                <w:kern w:val="0"/>
                <w:sz w:val="32"/>
                <w:szCs w:val="32"/>
                <w:highlight w:val="none"/>
              </w:rPr>
              <w:t>.本项目不接受联合体参与报价，成交后不允许转包，提交承诺函。</w:t>
            </w:r>
          </w:p>
        </w:tc>
        <w:tc>
          <w:tcPr>
            <w:tcW w:w="1519" w:type="dxa"/>
            <w:vAlign w:val="center"/>
          </w:tcPr>
          <w:p w14:paraId="21544877">
            <w:pPr>
              <w:keepNext w:val="0"/>
              <w:keepLines w:val="0"/>
              <w:suppressLineNumbers w:val="0"/>
              <w:adjustRightInd w:val="0"/>
              <w:snapToGrid w:val="0"/>
              <w:spacing w:before="0" w:beforeAutospacing="0" w:after="0" w:afterAutospacing="0" w:line="520" w:lineRule="exact"/>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25</w:t>
            </w:r>
            <w:r>
              <w:rPr>
                <w:rFonts w:hint="eastAsia" w:ascii="仿宋" w:hAnsi="仿宋" w:eastAsia="仿宋" w:cs="仿宋"/>
                <w:color w:val="auto"/>
                <w:sz w:val="32"/>
                <w:szCs w:val="32"/>
                <w:highlight w:val="none"/>
              </w:rPr>
              <w:t>000.00元</w:t>
            </w:r>
          </w:p>
        </w:tc>
      </w:tr>
    </w:tbl>
    <w:p w14:paraId="552E8ABC">
      <w:pPr>
        <w:bidi w:val="0"/>
        <w:rPr>
          <w:color w:val="auto"/>
          <w:highlight w:val="none"/>
        </w:rPr>
        <w:sectPr>
          <w:headerReference r:id="rId7" w:type="first"/>
          <w:footerReference r:id="rId9" w:type="first"/>
          <w:headerReference r:id="rId6" w:type="default"/>
          <w:footerReference r:id="rId8" w:type="default"/>
          <w:pgSz w:w="11906" w:h="16838"/>
          <w:pgMar w:top="1440" w:right="1587" w:bottom="1440" w:left="1587" w:header="851" w:footer="992" w:gutter="0"/>
          <w:pgNumType w:fmt="numberInDash" w:start="1"/>
          <w:cols w:space="425" w:num="1"/>
          <w:titlePg/>
          <w:docGrid w:type="lines" w:linePitch="312" w:charSpace="0"/>
        </w:sectPr>
      </w:pPr>
    </w:p>
    <w:p w14:paraId="27B6C29C">
      <w:pPr>
        <w:adjustRightInd w:val="0"/>
        <w:snapToGrid w:val="0"/>
        <w:spacing w:line="560" w:lineRule="exact"/>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四、投标人须知</w:t>
      </w:r>
    </w:p>
    <w:p w14:paraId="3F38FDFA">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1.报名时间：202</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20</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val="en-US" w:eastAsia="zh-CN"/>
        </w:rPr>
        <w:t>16</w:t>
      </w:r>
      <w:r>
        <w:rPr>
          <w:rFonts w:hint="eastAsia" w:ascii="仿宋" w:hAnsi="仿宋" w:eastAsia="仿宋" w:cs="仿宋"/>
          <w:color w:val="auto"/>
          <w:sz w:val="32"/>
          <w:szCs w:val="32"/>
          <w:highlight w:val="none"/>
        </w:rPr>
        <w:t>时</w:t>
      </w:r>
      <w:r>
        <w:rPr>
          <w:rFonts w:hint="eastAsia" w:ascii="仿宋" w:hAnsi="仿宋" w:eastAsia="仿宋" w:cs="仿宋"/>
          <w:color w:val="auto"/>
          <w:sz w:val="32"/>
          <w:szCs w:val="32"/>
          <w:highlight w:val="none"/>
          <w:lang w:val="en-US" w:eastAsia="zh-CN"/>
        </w:rPr>
        <w:t>00</w:t>
      </w:r>
      <w:r>
        <w:rPr>
          <w:rFonts w:hint="eastAsia" w:ascii="仿宋" w:hAnsi="仿宋" w:eastAsia="仿宋" w:cs="仿宋"/>
          <w:color w:val="auto"/>
          <w:sz w:val="32"/>
          <w:szCs w:val="32"/>
          <w:highlight w:val="none"/>
        </w:rPr>
        <w:t>分至202</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25</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val="en-US" w:eastAsia="zh-CN"/>
        </w:rPr>
        <w:t>17</w:t>
      </w:r>
      <w:r>
        <w:rPr>
          <w:rFonts w:hint="eastAsia" w:ascii="仿宋" w:hAnsi="仿宋" w:eastAsia="仿宋" w:cs="仿宋"/>
          <w:color w:val="auto"/>
          <w:sz w:val="32"/>
          <w:szCs w:val="32"/>
          <w:highlight w:val="none"/>
        </w:rPr>
        <w:t>时</w:t>
      </w:r>
      <w:r>
        <w:rPr>
          <w:rFonts w:hint="eastAsia" w:ascii="仿宋" w:hAnsi="仿宋" w:eastAsia="仿宋" w:cs="仿宋"/>
          <w:color w:val="auto"/>
          <w:sz w:val="32"/>
          <w:szCs w:val="32"/>
          <w:highlight w:val="none"/>
          <w:lang w:val="en-US" w:eastAsia="zh-CN"/>
        </w:rPr>
        <w:t>30</w:t>
      </w:r>
      <w:r>
        <w:rPr>
          <w:rFonts w:hint="eastAsia" w:ascii="仿宋" w:hAnsi="仿宋" w:eastAsia="仿宋" w:cs="仿宋"/>
          <w:color w:val="auto"/>
          <w:sz w:val="32"/>
          <w:szCs w:val="32"/>
          <w:highlight w:val="none"/>
        </w:rPr>
        <w:t>分（北京时间，法定节假日除外），逾期不再受理。</w:t>
      </w:r>
    </w:p>
    <w:p w14:paraId="32CED5C4">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报名方式：本次采购采用邮件报名。报名时需提供以下加盖供应商公章的扫描件一套：报名表（自行下载）、营业执照、法定代表人身份证复印件或授权委托书及委托代理人身份证。相关文件的扫描件发送至联系人邮箱，并注意查收个人邮箱收件箱确认报名信息。</w:t>
      </w:r>
    </w:p>
    <w:p w14:paraId="1E143FA5">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3.采购文件获取方式：海南卫生健康职业学院官方网站（https://www.hnhvc.edu.cn/1036/list.htm）自行下载。</w:t>
      </w:r>
    </w:p>
    <w:p w14:paraId="2177E976">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4.递交报价文件时间及地点：</w:t>
      </w:r>
    </w:p>
    <w:p w14:paraId="44338B49">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4.1 时间：报价文件递交截止时间202</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26</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eastAsia="zh-CN"/>
        </w:rPr>
        <w:t>上</w:t>
      </w:r>
      <w:r>
        <w:rPr>
          <w:rFonts w:hint="eastAsia" w:ascii="仿宋" w:hAnsi="仿宋" w:eastAsia="仿宋" w:cs="仿宋"/>
          <w:color w:val="auto"/>
          <w:sz w:val="32"/>
          <w:szCs w:val="32"/>
          <w:highlight w:val="none"/>
        </w:rPr>
        <w:t>午</w:t>
      </w:r>
      <w:r>
        <w:rPr>
          <w:rFonts w:hint="eastAsia" w:ascii="仿宋" w:hAnsi="仿宋" w:eastAsia="仿宋" w:cs="仿宋"/>
          <w:color w:val="auto"/>
          <w:sz w:val="32"/>
          <w:szCs w:val="32"/>
          <w:highlight w:val="none"/>
          <w:lang w:val="en-US" w:eastAsia="zh-CN"/>
        </w:rPr>
        <w:t xml:space="preserve">9 </w:t>
      </w:r>
      <w:r>
        <w:rPr>
          <w:rFonts w:hint="eastAsia" w:ascii="仿宋" w:hAnsi="仿宋" w:eastAsia="仿宋" w:cs="仿宋"/>
          <w:color w:val="auto"/>
          <w:sz w:val="32"/>
          <w:szCs w:val="32"/>
          <w:highlight w:val="none"/>
        </w:rPr>
        <w:t>时</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分</w:t>
      </w:r>
      <w:r>
        <w:rPr>
          <w:rFonts w:hint="eastAsia" w:ascii="仿宋" w:hAnsi="仿宋" w:eastAsia="仿宋" w:cs="仿宋"/>
          <w:color w:val="auto"/>
          <w:sz w:val="32"/>
          <w:szCs w:val="32"/>
          <w:highlight w:val="none"/>
          <w:lang w:val="en-US" w:eastAsia="zh-CN"/>
        </w:rPr>
        <w:t>20</w:t>
      </w:r>
      <w:r>
        <w:rPr>
          <w:rFonts w:hint="eastAsia" w:ascii="仿宋" w:hAnsi="仿宋" w:eastAsia="仿宋" w:cs="仿宋"/>
          <w:color w:val="auto"/>
          <w:sz w:val="32"/>
          <w:szCs w:val="32"/>
          <w:highlight w:val="none"/>
        </w:rPr>
        <w:t>前（北京时间），逾期未提交报价文件者视为自动放弃本项目报价资格。</w:t>
      </w:r>
    </w:p>
    <w:p w14:paraId="12D2EBF4">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4.2 地址：</w:t>
      </w:r>
      <w:r>
        <w:rPr>
          <w:rFonts w:hint="eastAsia" w:ascii="仿宋" w:hAnsi="仿宋" w:eastAsia="仿宋" w:cs="仿宋"/>
          <w:color w:val="auto"/>
          <w:sz w:val="32"/>
          <w:szCs w:val="32"/>
          <w:highlight w:val="none"/>
          <w:lang w:val="en-US" w:eastAsia="zh-CN"/>
        </w:rPr>
        <w:t>海口市秀英区秀华路32号海南卫生健康职业学院教职工之家-职工书屋（靠近学校西门）</w:t>
      </w:r>
      <w:r>
        <w:rPr>
          <w:rFonts w:hint="eastAsia" w:ascii="仿宋" w:hAnsi="仿宋" w:eastAsia="仿宋" w:cs="仿宋"/>
          <w:color w:val="auto"/>
          <w:sz w:val="32"/>
          <w:szCs w:val="32"/>
          <w:highlight w:val="none"/>
        </w:rPr>
        <w:t>。</w:t>
      </w:r>
    </w:p>
    <w:p w14:paraId="58BAC079">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5.开标时间及地点：</w:t>
      </w:r>
    </w:p>
    <w:p w14:paraId="28ABCC8F">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5.1 时间：202</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26</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eastAsia="zh-CN"/>
        </w:rPr>
        <w:t>上</w:t>
      </w:r>
      <w:r>
        <w:rPr>
          <w:rFonts w:hint="eastAsia" w:ascii="仿宋" w:hAnsi="仿宋" w:eastAsia="仿宋" w:cs="仿宋"/>
          <w:color w:val="auto"/>
          <w:sz w:val="32"/>
          <w:szCs w:val="32"/>
          <w:highlight w:val="none"/>
        </w:rPr>
        <w:t>午</w:t>
      </w:r>
      <w:r>
        <w:rPr>
          <w:rFonts w:hint="eastAsia" w:ascii="仿宋" w:hAnsi="仿宋" w:eastAsia="仿宋" w:cs="仿宋"/>
          <w:color w:val="auto"/>
          <w:sz w:val="32"/>
          <w:szCs w:val="32"/>
          <w:highlight w:val="none"/>
          <w:lang w:val="en-US" w:eastAsia="zh-CN"/>
        </w:rPr>
        <w:t xml:space="preserve">9 </w:t>
      </w:r>
      <w:r>
        <w:rPr>
          <w:rFonts w:hint="eastAsia" w:ascii="仿宋" w:hAnsi="仿宋" w:eastAsia="仿宋" w:cs="仿宋"/>
          <w:color w:val="auto"/>
          <w:sz w:val="32"/>
          <w:szCs w:val="32"/>
          <w:highlight w:val="none"/>
        </w:rPr>
        <w:t>时</w:t>
      </w:r>
      <w:bookmarkStart w:id="112" w:name="_GoBack"/>
      <w:bookmarkEnd w:id="112"/>
      <w:r>
        <w:rPr>
          <w:rFonts w:hint="eastAsia" w:ascii="仿宋" w:hAnsi="仿宋" w:eastAsia="仿宋" w:cs="仿宋"/>
          <w:color w:val="auto"/>
          <w:sz w:val="32"/>
          <w:szCs w:val="32"/>
          <w:highlight w:val="none"/>
        </w:rPr>
        <w:t>分</w:t>
      </w:r>
      <w:r>
        <w:rPr>
          <w:rFonts w:hint="eastAsia" w:ascii="仿宋" w:hAnsi="仿宋" w:eastAsia="仿宋" w:cs="仿宋"/>
          <w:color w:val="auto"/>
          <w:sz w:val="32"/>
          <w:szCs w:val="32"/>
          <w:highlight w:val="none"/>
          <w:lang w:val="en-US" w:eastAsia="zh-CN"/>
        </w:rPr>
        <w:t>20</w:t>
      </w:r>
      <w:r>
        <w:rPr>
          <w:rFonts w:hint="eastAsia" w:ascii="仿宋" w:hAnsi="仿宋" w:eastAsia="仿宋" w:cs="仿宋"/>
          <w:color w:val="auto"/>
          <w:sz w:val="32"/>
          <w:szCs w:val="32"/>
          <w:highlight w:val="none"/>
        </w:rPr>
        <w:t>前（北京时间）；</w:t>
      </w:r>
    </w:p>
    <w:p w14:paraId="2E925504">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5.2 地点：</w:t>
      </w:r>
      <w:r>
        <w:rPr>
          <w:rFonts w:hint="eastAsia" w:ascii="仿宋" w:hAnsi="仿宋" w:eastAsia="仿宋" w:cs="仿宋"/>
          <w:color w:val="auto"/>
          <w:sz w:val="32"/>
          <w:szCs w:val="32"/>
          <w:highlight w:val="none"/>
          <w:lang w:val="en-US" w:eastAsia="zh-CN"/>
        </w:rPr>
        <w:t>海口市秀英区秀华路32号海南卫生健康职业学院教职工之家-职工书屋（靠近学校西门）</w:t>
      </w:r>
      <w:r>
        <w:rPr>
          <w:rFonts w:hint="eastAsia" w:ascii="仿宋" w:hAnsi="仿宋" w:eastAsia="仿宋" w:cs="仿宋"/>
          <w:color w:val="auto"/>
          <w:sz w:val="32"/>
          <w:szCs w:val="32"/>
          <w:highlight w:val="none"/>
        </w:rPr>
        <w:t>。</w:t>
      </w:r>
    </w:p>
    <w:p w14:paraId="2D0B2EED">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6.报价要求及成交原则：</w:t>
      </w:r>
    </w:p>
    <w:p w14:paraId="456E0D44">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6.1报价的供应商向采购人做出一次性书面报价（单价、总价）（均按人民币进行报价）</w:t>
      </w:r>
      <w:r>
        <w:rPr>
          <w:rFonts w:hint="eastAsia" w:ascii="仿宋" w:hAnsi="仿宋" w:eastAsia="仿宋" w:cs="仿宋"/>
          <w:color w:val="auto"/>
          <w:sz w:val="32"/>
          <w:szCs w:val="32"/>
          <w:highlight w:val="none"/>
          <w:lang w:eastAsia="zh-CN"/>
        </w:rPr>
        <w:t>（本项目需要二次报价）</w:t>
      </w:r>
      <w:r>
        <w:rPr>
          <w:rFonts w:hint="eastAsia" w:ascii="仿宋" w:hAnsi="仿宋" w:eastAsia="仿宋" w:cs="仿宋"/>
          <w:color w:val="auto"/>
          <w:sz w:val="32"/>
          <w:szCs w:val="32"/>
          <w:highlight w:val="none"/>
        </w:rPr>
        <w:t>。</w:t>
      </w:r>
    </w:p>
    <w:p w14:paraId="63EDACE0">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6.2 成交原则：在符合本项目采购需求、质量和服务的前提下，综合得分最高的供应商为第一成交候选供应商,允许现场二次报价，供应商报价和承诺一经认可，即为成交的合同价。中标结果请关注学校官方网站。</w:t>
      </w:r>
    </w:p>
    <w:p w14:paraId="450F0776">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6.3供应商如对本项目报价，即不可撤回。否则，该供应商在今后一年内不得参与本单位的采购活动。</w:t>
      </w:r>
    </w:p>
    <w:p w14:paraId="285DA281">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7.报价文件编制要求：</w:t>
      </w:r>
    </w:p>
    <w:p w14:paraId="44338E3C">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7.1 本项目相关的资质证明材料；</w:t>
      </w:r>
    </w:p>
    <w:p w14:paraId="3A80ADA6">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7.2 近三年内，在经营活动中没有重大违法记录的声明原件；</w:t>
      </w:r>
    </w:p>
    <w:p w14:paraId="2A8F5EA2">
      <w:pPr>
        <w:adjustRightInd w:val="0"/>
        <w:snapToGrid w:val="0"/>
        <w:spacing w:line="560" w:lineRule="exact"/>
        <w:ind w:firstLine="640" w:firstLineChars="200"/>
        <w:rPr>
          <w:rFonts w:ascii="仿宋" w:hAnsi="仿宋" w:cs="仿宋"/>
          <w:color w:val="auto"/>
          <w:sz w:val="32"/>
          <w:szCs w:val="32"/>
          <w:highlight w:val="none"/>
        </w:rPr>
      </w:pPr>
      <w:r>
        <w:rPr>
          <w:rFonts w:hint="eastAsia" w:ascii="仿宋" w:hAnsi="仿宋" w:eastAsia="仿宋" w:cs="仿宋"/>
          <w:color w:val="auto"/>
          <w:sz w:val="32"/>
          <w:szCs w:val="32"/>
          <w:highlight w:val="none"/>
        </w:rPr>
        <w:t>7.3报价文件应用不褪色的材料书写或打印。并由供应商法定代表人或其授权代表在响应文件相应位置签字及加盖公章，正本须逐页/面盖章，副本可以是正本的复印件，正本及副本胶装成册后均加盖骑缝章。响应文件未密封完好，签署、盖章不符合磋商文件的要求，采购人有权按无效响应处理。磋商现场供应商代表需携带本人身份证件原件以核验身份。</w:t>
      </w:r>
    </w:p>
    <w:p w14:paraId="5AC142B8">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7.4报价文件一式三份（包含相应材料，须胶装打印）电子文档1份（U盘或光盘），其中正本壹份、副本贰份（正本、副本和电子文档一起密封），“正本”和“副本”之间如有差异，以正本为准。在封面上注明项目名称、编号、盖章密封后递交采购人。</w:t>
      </w:r>
    </w:p>
    <w:p w14:paraId="098C5219">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 xml:space="preserve">五、联系方式 </w:t>
      </w:r>
      <w:r>
        <w:rPr>
          <w:rFonts w:hint="eastAsia" w:ascii="仿宋" w:hAnsi="仿宋" w:eastAsia="仿宋" w:cs="仿宋"/>
          <w:color w:val="auto"/>
          <w:sz w:val="32"/>
          <w:szCs w:val="32"/>
          <w:highlight w:val="none"/>
        </w:rPr>
        <w:t xml:space="preserve">  </w:t>
      </w:r>
    </w:p>
    <w:p w14:paraId="065AAC6E">
      <w:pPr>
        <w:adjustRightInd w:val="0"/>
        <w:snapToGrid w:val="0"/>
        <w:spacing w:line="5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联系人：凌老师</w:t>
      </w:r>
    </w:p>
    <w:p w14:paraId="12A9905B">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电话：0898-68642247、0898-68662169   </w:t>
      </w:r>
    </w:p>
    <w:p w14:paraId="47DBE17C">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邮箱：hnwjy0898@163.com</w:t>
      </w:r>
    </w:p>
    <w:p w14:paraId="7EBB48D3">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地址：海南卫生健康职业学院校长办公室(海口市秀英区秀华路32号行政办公楼3楼305办公室)</w:t>
      </w:r>
    </w:p>
    <w:p w14:paraId="3F53A3AF">
      <w:pPr>
        <w:rPr>
          <w:rFonts w:ascii="仿宋" w:hAnsi="仿宋" w:eastAsia="仿宋" w:cs="仿宋"/>
          <w:color w:val="auto"/>
          <w:sz w:val="44"/>
          <w:szCs w:val="44"/>
          <w:highlight w:val="none"/>
        </w:rPr>
      </w:pPr>
      <w:bookmarkStart w:id="14" w:name="_Toc356491306"/>
      <w:r>
        <w:rPr>
          <w:rFonts w:hint="eastAsia" w:ascii="仿宋" w:hAnsi="仿宋" w:eastAsia="仿宋" w:cs="仿宋"/>
          <w:color w:val="auto"/>
          <w:highlight w:val="none"/>
        </w:rPr>
        <w:br w:type="page"/>
      </w:r>
      <w:bookmarkStart w:id="15" w:name="_Toc40089789"/>
      <w:bookmarkStart w:id="16" w:name="_Toc29613"/>
    </w:p>
    <w:p w14:paraId="5BED84C6">
      <w:pPr>
        <w:pStyle w:val="2"/>
        <w:adjustRightInd w:val="0"/>
        <w:snapToGrid w:val="0"/>
        <w:spacing w:line="560" w:lineRule="exact"/>
        <w:rPr>
          <w:rFonts w:ascii="仿宋" w:hAnsi="仿宋" w:eastAsia="仿宋" w:cs="仿宋"/>
          <w:color w:val="auto"/>
          <w:sz w:val="44"/>
          <w:highlight w:val="none"/>
        </w:rPr>
      </w:pPr>
      <w:bookmarkStart w:id="17" w:name="_Toc22920"/>
      <w:r>
        <w:rPr>
          <w:rFonts w:hint="eastAsia" w:ascii="仿宋" w:hAnsi="仿宋" w:eastAsia="仿宋" w:cs="仿宋"/>
          <w:color w:val="auto"/>
          <w:sz w:val="44"/>
          <w:highlight w:val="none"/>
        </w:rPr>
        <w:t>第二部分 供应商须知</w:t>
      </w:r>
      <w:bookmarkEnd w:id="17"/>
    </w:p>
    <w:p w14:paraId="57905A59">
      <w:pPr>
        <w:adjustRightInd w:val="0"/>
        <w:snapToGrid w:val="0"/>
        <w:spacing w:line="560" w:lineRule="exact"/>
        <w:ind w:firstLine="640" w:firstLineChars="200"/>
        <w:rPr>
          <w:rFonts w:ascii="仿宋" w:hAnsi="仿宋" w:eastAsia="仿宋" w:cs="仿宋"/>
          <w:color w:val="auto"/>
          <w:sz w:val="32"/>
          <w:szCs w:val="32"/>
          <w:highlight w:val="none"/>
        </w:rPr>
      </w:pPr>
      <w:bookmarkStart w:id="18" w:name="_Toc29040"/>
      <w:bookmarkStart w:id="19" w:name="_Toc332979555"/>
      <w:bookmarkStart w:id="20" w:name="_Toc325620714"/>
      <w:r>
        <w:rPr>
          <w:rFonts w:hint="eastAsia" w:ascii="仿宋" w:hAnsi="仿宋" w:eastAsia="仿宋" w:cs="仿宋"/>
          <w:color w:val="auto"/>
          <w:sz w:val="32"/>
          <w:szCs w:val="32"/>
          <w:highlight w:val="none"/>
        </w:rPr>
        <w:t>一、开标</w:t>
      </w:r>
      <w:bookmarkEnd w:id="18"/>
      <w:bookmarkEnd w:id="19"/>
      <w:bookmarkEnd w:id="20"/>
    </w:p>
    <w:p w14:paraId="35F159BE">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1.按照磋商文件规定的时间、地点开标。开标由采购人主持，供应商和有关方面的代表参加。供应商法定代表人或其授权代理人应参加并签名报到以证明其出席。</w:t>
      </w:r>
    </w:p>
    <w:p w14:paraId="0D8E1BF5">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2.开标时，由供应商或者其推选的代表检查响应文件的密封情况。</w:t>
      </w:r>
    </w:p>
    <w:p w14:paraId="3906C604">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3.工作人员当众拆封，宣读供应商名称、投标价格和响应文件的其他主要内容。采购人在磋商文件要求提交响应文件的截止时间前收到的所有响应文件，开标时当众予以拆封、宣读。</w:t>
      </w:r>
    </w:p>
    <w:p w14:paraId="3D23537B">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4.记录员将唱价内容记录并由供应商法定代表人或授权代理人签字确认。</w:t>
      </w:r>
    </w:p>
    <w:p w14:paraId="6032492E">
      <w:pPr>
        <w:adjustRightInd w:val="0"/>
        <w:snapToGrid w:val="0"/>
        <w:spacing w:line="560" w:lineRule="exact"/>
        <w:ind w:firstLine="640" w:firstLineChars="200"/>
        <w:rPr>
          <w:rFonts w:ascii="仿宋" w:hAnsi="仿宋" w:eastAsia="仿宋" w:cs="仿宋"/>
          <w:color w:val="auto"/>
          <w:sz w:val="32"/>
          <w:szCs w:val="32"/>
          <w:highlight w:val="none"/>
        </w:rPr>
      </w:pPr>
      <w:bookmarkStart w:id="21" w:name="_Toc325620715"/>
      <w:bookmarkStart w:id="22" w:name="_Toc27176"/>
      <w:bookmarkStart w:id="23" w:name="_Toc332979556"/>
      <w:r>
        <w:rPr>
          <w:rFonts w:hint="eastAsia" w:ascii="仿宋" w:hAnsi="仿宋" w:eastAsia="仿宋" w:cs="仿宋"/>
          <w:color w:val="auto"/>
          <w:sz w:val="32"/>
          <w:szCs w:val="32"/>
          <w:highlight w:val="none"/>
        </w:rPr>
        <w:t>二、</w:t>
      </w:r>
      <w:bookmarkEnd w:id="21"/>
      <w:bookmarkEnd w:id="22"/>
      <w:bookmarkEnd w:id="23"/>
      <w:r>
        <w:rPr>
          <w:rFonts w:hint="eastAsia" w:ascii="仿宋" w:hAnsi="仿宋" w:eastAsia="仿宋" w:cs="仿宋"/>
          <w:color w:val="auto"/>
          <w:sz w:val="32"/>
          <w:szCs w:val="32"/>
          <w:highlight w:val="none"/>
        </w:rPr>
        <w:t>磋商小组</w:t>
      </w:r>
    </w:p>
    <w:p w14:paraId="1043205D">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本项目将根据项目特点组成磋商小组，其成员由学校推荐专家、采购人代表、法务等组成，磋商小组负责对响应文件进行审查、质疑、评审，推荐成交候选供应商。</w:t>
      </w:r>
    </w:p>
    <w:p w14:paraId="09743D8F">
      <w:pPr>
        <w:adjustRightInd w:val="0"/>
        <w:snapToGrid w:val="0"/>
        <w:spacing w:line="560" w:lineRule="exact"/>
        <w:ind w:firstLine="640" w:firstLineChars="200"/>
        <w:rPr>
          <w:rFonts w:ascii="仿宋" w:hAnsi="仿宋" w:eastAsia="仿宋" w:cs="仿宋"/>
          <w:color w:val="auto"/>
          <w:sz w:val="32"/>
          <w:szCs w:val="32"/>
          <w:highlight w:val="none"/>
        </w:rPr>
      </w:pPr>
      <w:bookmarkStart w:id="24" w:name="_Toc325620716"/>
      <w:bookmarkStart w:id="25" w:name="_Toc27961"/>
      <w:bookmarkStart w:id="26" w:name="_Toc332979557"/>
      <w:r>
        <w:rPr>
          <w:rFonts w:hint="eastAsia" w:ascii="仿宋" w:hAnsi="仿宋" w:eastAsia="仿宋" w:cs="仿宋"/>
          <w:color w:val="auto"/>
          <w:sz w:val="32"/>
          <w:szCs w:val="32"/>
          <w:highlight w:val="none"/>
        </w:rPr>
        <w:t>三、评审原则</w:t>
      </w:r>
      <w:bookmarkEnd w:id="24"/>
      <w:bookmarkEnd w:id="25"/>
      <w:bookmarkEnd w:id="26"/>
    </w:p>
    <w:p w14:paraId="3BB4DA90">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“公平、公正、择优、效益”为本次招标的基本原则，磋商小组按照这一原则的要求，公正、平等地对待各供应商。同时，在评审过程中恪守以下原则：</w:t>
      </w:r>
    </w:p>
    <w:p w14:paraId="537C11F1">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1.客观性原则：磋商小组将严格按照磋商文件要求的内容，对供应商的响应文件进行认真评审；磋商小组对响应文件的评审仅依据响应文件本身，而不依靠响应文件以外的任何因素；</w:t>
      </w:r>
    </w:p>
    <w:p w14:paraId="2EB2C939">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2.统一性原则：磋商小组将按照统一的原则和方法，对各供应商的响应文件进行评审；</w:t>
      </w:r>
    </w:p>
    <w:p w14:paraId="6BEB820A">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3.独立性原则：评标工作在磋商小组内部独立进行，不受外界任何因素的干扰和影响，磋商小组成员对出具的专家意见承担个人责任；</w:t>
      </w:r>
    </w:p>
    <w:p w14:paraId="1581D48D">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4.保密性原则：磋商小组成员及有关工作人员将保守供应商的商业秘密；</w:t>
      </w:r>
    </w:p>
    <w:p w14:paraId="69C18287">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5.综合性原则：磋商小组将综合分析评审供应商的各项指标，而不以单项指标的优劣评定中标人；</w:t>
      </w:r>
    </w:p>
    <w:p w14:paraId="7E5A74AB">
      <w:pPr>
        <w:adjustRightInd w:val="0"/>
        <w:snapToGrid w:val="0"/>
        <w:spacing w:line="560" w:lineRule="exact"/>
        <w:ind w:firstLine="640" w:firstLineChars="200"/>
        <w:rPr>
          <w:rFonts w:ascii="仿宋" w:hAnsi="仿宋" w:eastAsia="仿宋" w:cs="仿宋"/>
          <w:color w:val="auto"/>
          <w:sz w:val="32"/>
          <w:szCs w:val="32"/>
          <w:highlight w:val="none"/>
        </w:rPr>
      </w:pPr>
      <w:bookmarkStart w:id="27" w:name="_Toc325620717"/>
      <w:bookmarkStart w:id="28" w:name="_Toc9800"/>
      <w:bookmarkStart w:id="29" w:name="_Toc332979558"/>
      <w:r>
        <w:rPr>
          <w:rFonts w:hint="eastAsia" w:ascii="仿宋" w:hAnsi="仿宋" w:eastAsia="仿宋" w:cs="仿宋"/>
          <w:color w:val="auto"/>
          <w:sz w:val="32"/>
          <w:szCs w:val="32"/>
          <w:highlight w:val="none"/>
        </w:rPr>
        <w:t>四、</w:t>
      </w:r>
      <w:bookmarkEnd w:id="27"/>
      <w:bookmarkEnd w:id="28"/>
      <w:bookmarkEnd w:id="29"/>
      <w:r>
        <w:rPr>
          <w:rFonts w:hint="eastAsia" w:ascii="仿宋" w:hAnsi="仿宋" w:eastAsia="仿宋" w:cs="仿宋"/>
          <w:color w:val="auto"/>
          <w:sz w:val="32"/>
          <w:szCs w:val="32"/>
          <w:highlight w:val="none"/>
        </w:rPr>
        <w:t>磋商程序</w:t>
      </w:r>
    </w:p>
    <w:p w14:paraId="22CD6F7B">
      <w:pPr>
        <w:adjustRightInd w:val="0"/>
        <w:snapToGrid w:val="0"/>
        <w:spacing w:line="560" w:lineRule="exact"/>
        <w:ind w:firstLine="640" w:firstLineChars="200"/>
        <w:rPr>
          <w:rFonts w:ascii="仿宋" w:hAnsi="仿宋" w:eastAsia="仿宋" w:cs="仿宋"/>
          <w:color w:val="auto"/>
          <w:sz w:val="32"/>
          <w:szCs w:val="32"/>
          <w:highlight w:val="none"/>
        </w:rPr>
      </w:pPr>
      <w:bookmarkStart w:id="30" w:name="_Toc325620718"/>
      <w:r>
        <w:rPr>
          <w:rFonts w:hint="eastAsia" w:ascii="仿宋" w:hAnsi="仿宋" w:eastAsia="仿宋" w:cs="仿宋"/>
          <w:color w:val="auto"/>
          <w:sz w:val="32"/>
          <w:szCs w:val="32"/>
          <w:highlight w:val="none"/>
        </w:rPr>
        <w:t>1.公开内容：采购人将对所有参与磋商的供应商的资料内容进行公开唱标（不包括报价）。</w:t>
      </w:r>
    </w:p>
    <w:p w14:paraId="44913F0C">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资格审查：磋商小组对供应商进行资格审查、审查供应商是否按磋商文件要求提供资质证件及有无效报价的情形，发现存在无效报价的情形存在将不再进入下一步评审和报价。供应商有下列情形之一，其报价将被视为无效报价，采购人将严格按照《中华人民共和国政府采购法》及相关法律、法规及规章制度的规定行使权利。供应商给采购人造成损失的，采购人有索赔的权利，供应商应予以赔偿。</w:t>
      </w:r>
    </w:p>
    <w:p w14:paraId="2FF7C19E">
      <w:pPr>
        <w:adjustRightInd w:val="0"/>
        <w:snapToGrid w:val="0"/>
        <w:spacing w:line="560" w:lineRule="exact"/>
        <w:ind w:firstLine="320" w:firstLineChars="1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（1）供应商提供的有关资格、资质证明文件不真实或提供虚假材料；</w:t>
      </w:r>
    </w:p>
    <w:p w14:paraId="277BE21C">
      <w:pPr>
        <w:adjustRightInd w:val="0"/>
        <w:snapToGrid w:val="0"/>
        <w:spacing w:line="560" w:lineRule="exact"/>
        <w:ind w:firstLine="320" w:firstLineChars="1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（2）供应商未按磋商文件要求装订的；</w:t>
      </w:r>
    </w:p>
    <w:p w14:paraId="4BEEF811">
      <w:pPr>
        <w:adjustRightInd w:val="0"/>
        <w:snapToGrid w:val="0"/>
        <w:spacing w:line="560" w:lineRule="exact"/>
        <w:ind w:firstLine="320" w:firstLineChars="1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（3）在整个磋商过程中，供应商有企图影响采购结果公正性的任何活动；</w:t>
      </w:r>
    </w:p>
    <w:p w14:paraId="7B9D5944">
      <w:pPr>
        <w:adjustRightInd w:val="0"/>
        <w:snapToGrid w:val="0"/>
        <w:spacing w:line="560" w:lineRule="exact"/>
        <w:ind w:firstLine="320" w:firstLineChars="1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（4）供应商以任何方式诋毁其他供应商；</w:t>
      </w:r>
    </w:p>
    <w:p w14:paraId="2A7FE047">
      <w:pPr>
        <w:adjustRightInd w:val="0"/>
        <w:snapToGrid w:val="0"/>
        <w:spacing w:line="560" w:lineRule="exact"/>
        <w:ind w:firstLine="320" w:firstLineChars="1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（5）供应商串通报价；</w:t>
      </w:r>
    </w:p>
    <w:p w14:paraId="510B46F3">
      <w:pPr>
        <w:adjustRightInd w:val="0"/>
        <w:snapToGrid w:val="0"/>
        <w:spacing w:line="560" w:lineRule="exact"/>
        <w:ind w:firstLine="320" w:firstLineChars="1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（6）以他人名义报价或者以其他方式弄虚作假，骗取成交；</w:t>
      </w:r>
    </w:p>
    <w:p w14:paraId="2C02FC58">
      <w:pPr>
        <w:adjustRightInd w:val="0"/>
        <w:snapToGrid w:val="0"/>
        <w:spacing w:line="560" w:lineRule="exact"/>
        <w:ind w:firstLine="320" w:firstLineChars="1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（7）成交供应商不按要求签订合同；</w:t>
      </w:r>
    </w:p>
    <w:p w14:paraId="5DF1373C">
      <w:pPr>
        <w:adjustRightInd w:val="0"/>
        <w:snapToGrid w:val="0"/>
        <w:spacing w:line="560" w:lineRule="exact"/>
        <w:ind w:firstLine="320" w:firstLineChars="1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（8）提供多个报价方案的；</w:t>
      </w:r>
    </w:p>
    <w:p w14:paraId="5D195579">
      <w:pPr>
        <w:adjustRightInd w:val="0"/>
        <w:snapToGrid w:val="0"/>
        <w:spacing w:line="560" w:lineRule="exact"/>
        <w:ind w:firstLine="320" w:firstLineChars="1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（9）供应商必须明确所报产品的品牌、型号及规格参数，描述不清楚的视为无效报价；</w:t>
      </w:r>
    </w:p>
    <w:p w14:paraId="05B42F5D">
      <w:pPr>
        <w:adjustRightInd w:val="0"/>
        <w:snapToGrid w:val="0"/>
        <w:spacing w:line="560" w:lineRule="exact"/>
        <w:ind w:firstLine="320" w:firstLineChars="1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（10）法律、法规规定的其他情况。</w:t>
      </w:r>
    </w:p>
    <w:p w14:paraId="03531A94">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资格审查合格供应商按照报名顺序或签到顺序确定磋商顺序。</w:t>
      </w:r>
    </w:p>
    <w:p w14:paraId="079438A5">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磋商：磋商小组所有成员集中与单一供应商进行一对一的报价。在磋商中，报价的任何一方不得透露与报价有关的其他供应商的技术资料、价格和其他信息。响应文件有实质性变动时（仅包括采购需求中的技术、服务要求以及合同草案条款），磋商小组以书面形式通知所有参加磋商的供应商。</w:t>
      </w:r>
    </w:p>
    <w:p w14:paraId="6EADC9E6">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在报价范围及技术要求不变的前提下，最终报价不得高于初始报价，否则按照无效报价处理。磋商重点：主要针对供应商所投货物性能特点、质量等是否满足采购人的要求进行报价。</w:t>
      </w:r>
    </w:p>
    <w:p w14:paraId="04DAFE58">
      <w:pPr>
        <w:adjustRightInd w:val="0"/>
        <w:snapToGrid w:val="0"/>
        <w:spacing w:line="560" w:lineRule="exact"/>
        <w:ind w:firstLine="320" w:firstLineChars="1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（1）供应商所报货物的性能特点、质量；</w:t>
      </w:r>
    </w:p>
    <w:p w14:paraId="769BFBD8">
      <w:pPr>
        <w:adjustRightInd w:val="0"/>
        <w:snapToGrid w:val="0"/>
        <w:spacing w:line="560" w:lineRule="exact"/>
        <w:ind w:firstLine="320" w:firstLineChars="1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（2）商务条款的陈述；</w:t>
      </w:r>
    </w:p>
    <w:p w14:paraId="01FA3F90">
      <w:pPr>
        <w:adjustRightInd w:val="0"/>
        <w:snapToGrid w:val="0"/>
        <w:spacing w:line="560" w:lineRule="exact"/>
        <w:ind w:firstLine="320" w:firstLineChars="1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（3）专家针对各供应商响应文件对磋商文件的响应情况提问；</w:t>
      </w:r>
    </w:p>
    <w:p w14:paraId="5D017134">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磋商结束后，磋商小组要求所有参加报价的供应商在规定的时间内进行最后报价及有关承诺。如果报价过程未对文件做实质性变动，供应商的最后报价不得高于其初始报价。</w:t>
      </w:r>
    </w:p>
    <w:p w14:paraId="4F9D71BA">
      <w:pPr>
        <w:numPr>
          <w:ilvl w:val="0"/>
          <w:numId w:val="0"/>
        </w:numPr>
        <w:adjustRightInd w:val="0"/>
        <w:snapToGrid w:val="0"/>
        <w:spacing w:line="560" w:lineRule="exact"/>
        <w:ind w:firstLine="320" w:firstLineChars="100"/>
        <w:rPr>
          <w:rFonts w:hint="eastAsia" w:ascii="仿宋" w:hAnsi="仿宋" w:eastAsia="仿宋" w:cs="仿宋"/>
          <w:color w:val="auto"/>
          <w:sz w:val="32"/>
          <w:szCs w:val="32"/>
          <w:highlight w:val="none"/>
        </w:rPr>
      </w:pPr>
      <w:r>
        <w:rPr>
          <w:rFonts w:hint="eastAsia" w:ascii="仿宋" w:hAnsi="仿宋" w:eastAsia="仿宋" w:cs="仿宋"/>
          <w:bCs/>
          <w:color w:val="auto"/>
          <w:kern w:val="2"/>
          <w:sz w:val="32"/>
          <w:szCs w:val="32"/>
          <w:lang w:val="en-US" w:eastAsia="zh-CN" w:bidi="ar-SA"/>
        </w:rPr>
        <w:t>（4）</w:t>
      </w:r>
      <w:r>
        <w:rPr>
          <w:rFonts w:hint="eastAsia" w:ascii="仿宋" w:hAnsi="仿宋" w:eastAsia="仿宋" w:cs="仿宋"/>
          <w:color w:val="auto"/>
          <w:sz w:val="32"/>
          <w:szCs w:val="32"/>
          <w:highlight w:val="none"/>
        </w:rPr>
        <w:t>如出现</w:t>
      </w:r>
      <w:r>
        <w:rPr>
          <w:rFonts w:hint="eastAsia" w:ascii="仿宋" w:hAnsi="仿宋" w:eastAsia="仿宋" w:cs="仿宋"/>
          <w:color w:val="auto"/>
          <w:sz w:val="32"/>
          <w:szCs w:val="32"/>
          <w:highlight w:val="none"/>
          <w:lang w:val="en-US" w:eastAsia="zh-CN"/>
        </w:rPr>
        <w:t>投标单位不足三家</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项目流标，为了项目能够顺利进行下去，项目有两家单位的投标符合要求，招标项目仍按计划继续进行。</w:t>
      </w:r>
    </w:p>
    <w:p w14:paraId="1C0C9590">
      <w:pPr>
        <w:numPr>
          <w:ilvl w:val="0"/>
          <w:numId w:val="0"/>
        </w:numPr>
        <w:adjustRightInd w:val="0"/>
        <w:snapToGrid w:val="0"/>
        <w:spacing w:line="560" w:lineRule="exact"/>
        <w:ind w:firstLine="320" w:firstLineChars="1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）禁止供应商相互串通报价：</w:t>
      </w:r>
    </w:p>
    <w:p w14:paraId="0450EDD9">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有下列情形之一的，属于供应商相互串通报价：</w:t>
      </w:r>
    </w:p>
    <w:p w14:paraId="6C1EE5D5">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1）供应商之间协商报价等响应文件的实质性内容；</w:t>
      </w:r>
    </w:p>
    <w:p w14:paraId="64581D81">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2）供应商之间约定成交供应商；</w:t>
      </w:r>
    </w:p>
    <w:p w14:paraId="1BAE6DBF">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3）供应商之间约定部分供应商放弃报价或者成交；</w:t>
      </w:r>
    </w:p>
    <w:p w14:paraId="53735C3D">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4）属于同一集团、协会、商会等组织成员的供应商按照该组织要求协同报价；</w:t>
      </w:r>
    </w:p>
    <w:p w14:paraId="3AF5D129">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5）供应商之间为谋取成交或者排斥特定供应商而采取的其他联合行动。</w:t>
      </w:r>
    </w:p>
    <w:p w14:paraId="76AB3114">
      <w:pPr>
        <w:adjustRightInd w:val="0"/>
        <w:snapToGrid w:val="0"/>
        <w:spacing w:line="560" w:lineRule="exact"/>
        <w:ind w:firstLine="320" w:firstLineChars="1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）有下列情形之一的，视为供应商相互串通报价：</w:t>
      </w:r>
    </w:p>
    <w:p w14:paraId="4A9D54A4">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1）不同供应商的响应文件由同一单位或者个人编制；</w:t>
      </w:r>
    </w:p>
    <w:p w14:paraId="048943DD">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2）不同供应商委托同一单位或者个人办理报价事宜；</w:t>
      </w:r>
    </w:p>
    <w:p w14:paraId="26152BEC">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3）不同供应商的响应文件载明的项目管理成员为同一人；</w:t>
      </w:r>
    </w:p>
    <w:p w14:paraId="13F0F41D">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4）不同供应商的响应文件异常一致或者报价呈规律性差异；</w:t>
      </w:r>
    </w:p>
    <w:p w14:paraId="129045BE">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5）不同供应商的响应文件相互混装；</w:t>
      </w:r>
    </w:p>
    <w:p w14:paraId="1F2EB692">
      <w:pPr>
        <w:adjustRightInd w:val="0"/>
        <w:snapToGrid w:val="0"/>
        <w:spacing w:line="560" w:lineRule="exact"/>
        <w:ind w:firstLine="320" w:firstLineChars="1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）弄虚作假的行为：</w:t>
      </w:r>
    </w:p>
    <w:p w14:paraId="74BA4028">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使用通过受让或者租借等方式获取资格、资质证书报价的。</w:t>
      </w:r>
    </w:p>
    <w:p w14:paraId="34ED685E">
      <w:pPr>
        <w:adjustRightInd w:val="0"/>
        <w:snapToGrid w:val="0"/>
        <w:spacing w:line="560" w:lineRule="exac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以其他方式弄虚作假的行为：</w:t>
      </w:r>
    </w:p>
    <w:p w14:paraId="044051F8">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1）使用伪造、变造的许可证件；</w:t>
      </w:r>
    </w:p>
    <w:p w14:paraId="4F2D9E5E">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2）提供虚假的财务状况或者业绩；</w:t>
      </w:r>
    </w:p>
    <w:p w14:paraId="5A3C67A8">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3）提供虚假的项目负责人或者主要技术人员简历、劳动关系证明；</w:t>
      </w:r>
    </w:p>
    <w:p w14:paraId="77C2D73D">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4）提供虚假的信用状况；</w:t>
      </w:r>
    </w:p>
    <w:p w14:paraId="0906C0ED">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5）其他弄虚作假的行为。</w:t>
      </w:r>
    </w:p>
    <w:p w14:paraId="4BAC7E20">
      <w:pPr>
        <w:adjustRightInd w:val="0"/>
        <w:snapToGrid w:val="0"/>
        <w:spacing w:line="560" w:lineRule="exact"/>
        <w:ind w:firstLine="640" w:firstLineChars="200"/>
        <w:rPr>
          <w:rFonts w:ascii="仿宋" w:hAnsi="仿宋" w:eastAsia="仿宋" w:cs="仿宋"/>
          <w:color w:val="auto"/>
          <w:sz w:val="32"/>
          <w:szCs w:val="32"/>
          <w:highlight w:val="none"/>
        </w:rPr>
      </w:pPr>
      <w:bookmarkStart w:id="31" w:name="_Toc332979559"/>
      <w:bookmarkStart w:id="32" w:name="_Toc22147"/>
      <w:r>
        <w:rPr>
          <w:rFonts w:hint="eastAsia" w:ascii="仿宋" w:hAnsi="仿宋" w:eastAsia="仿宋" w:cs="仿宋"/>
          <w:color w:val="auto"/>
          <w:sz w:val="32"/>
          <w:szCs w:val="32"/>
          <w:highlight w:val="none"/>
        </w:rPr>
        <w:t>五、废标</w:t>
      </w:r>
      <w:bookmarkEnd w:id="30"/>
      <w:bookmarkEnd w:id="31"/>
      <w:bookmarkEnd w:id="32"/>
    </w:p>
    <w:p w14:paraId="2282C3D2">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在招标采购中，出现下列情形之一的，应予废标：</w:t>
      </w:r>
    </w:p>
    <w:p w14:paraId="7745AA12">
      <w:pPr>
        <w:adjustRightInd w:val="0"/>
        <w:snapToGrid w:val="0"/>
        <w:spacing w:line="560" w:lineRule="exact"/>
        <w:ind w:firstLine="640" w:firstLineChars="20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1.符合专业条件的供应商或者对磋商文件作实质响应的供应商不足三家的；</w:t>
      </w:r>
    </w:p>
    <w:p w14:paraId="070AD190">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2.出现影响采购公正的违法、违规行为的；</w:t>
      </w:r>
    </w:p>
    <w:p w14:paraId="27F52213">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3.供应商的报价均超过了预算金额（备注：设定最高限价的，本项内容改为最高限价），招标人不能支付的；</w:t>
      </w:r>
    </w:p>
    <w:p w14:paraId="369E4250">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4.因重大变故，采购任务取消的；</w:t>
      </w:r>
    </w:p>
    <w:p w14:paraId="75C22973">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5.在开标后如发现一方直接或者间接持有另一方的股份总和达到25%以上的，双方直接或者间接同为第三方所持有的股份达到25%以上的，一律按否决其投标处理；或双方存在持股关系或者同为第三方持股，虽持股比例未达到25%以上，但一方的购买、销售、接受劳务、提供劳务等经营活动由另一方控制的，一律按否决其投标处理。</w:t>
      </w:r>
    </w:p>
    <w:p w14:paraId="0BE2E850">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6.不同单位的法定代表人、负责人、董事或监事有夫妻、直系血亲关系、其他抚养或赡养关系的，应主动向招标人告知，否则事后一经查实，一律视投标人在投标中弄虚作假，已经中标的则取消中标资格并承担相应法律责任。</w:t>
      </w:r>
    </w:p>
    <w:p w14:paraId="00C6EDC1">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7.供应商（投标人）之间存在关联关系采购人有权根据学校采购有关规定取消其投标（或取消其提交响应文件），由此产生的一切后果均由相关供应商（投标人）承担。</w:t>
      </w:r>
    </w:p>
    <w:p w14:paraId="1B7FE59A">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8.法律、法规规定的其他情况。</w:t>
      </w:r>
    </w:p>
    <w:p w14:paraId="2487D121">
      <w:pPr>
        <w:adjustRightInd w:val="0"/>
        <w:snapToGrid w:val="0"/>
        <w:spacing w:line="560" w:lineRule="exact"/>
        <w:ind w:firstLine="640" w:firstLineChars="200"/>
        <w:rPr>
          <w:rFonts w:ascii="仿宋" w:hAnsi="仿宋" w:eastAsia="仿宋" w:cs="仿宋"/>
          <w:color w:val="auto"/>
          <w:sz w:val="32"/>
          <w:szCs w:val="32"/>
          <w:highlight w:val="none"/>
        </w:rPr>
      </w:pPr>
      <w:bookmarkStart w:id="33" w:name="_Toc3341"/>
      <w:bookmarkStart w:id="34" w:name="_Toc332979560"/>
      <w:bookmarkStart w:id="35" w:name="_Toc325620719"/>
      <w:r>
        <w:rPr>
          <w:rFonts w:hint="eastAsia" w:ascii="仿宋" w:hAnsi="仿宋" w:eastAsia="仿宋" w:cs="仿宋"/>
          <w:color w:val="auto"/>
          <w:sz w:val="32"/>
          <w:szCs w:val="32"/>
          <w:highlight w:val="none"/>
        </w:rPr>
        <w:t>六、中标通知书</w:t>
      </w:r>
      <w:bookmarkEnd w:id="33"/>
      <w:bookmarkEnd w:id="34"/>
      <w:bookmarkEnd w:id="35"/>
    </w:p>
    <w:p w14:paraId="34EFCE20">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1.评标结束后，由采购人即日向中标人签发《中标通知书》。</w:t>
      </w:r>
    </w:p>
    <w:p w14:paraId="7C19F1EA">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2.中标人收到中标通知书后，应于指定的时间、地点与招标人签订采购合同。</w:t>
      </w:r>
    </w:p>
    <w:p w14:paraId="46D0F2CD">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3.磋商文件及其补充、中标人的报价文件及澄清文件等，均为签订合同的依据。</w:t>
      </w:r>
    </w:p>
    <w:p w14:paraId="45C3BEBD">
      <w:pPr>
        <w:adjustRightInd w:val="0"/>
        <w:snapToGrid w:val="0"/>
        <w:spacing w:line="560" w:lineRule="exact"/>
        <w:ind w:firstLine="640" w:firstLineChars="200"/>
        <w:rPr>
          <w:rFonts w:ascii="仿宋" w:hAnsi="仿宋" w:eastAsia="仿宋" w:cs="仿宋"/>
          <w:color w:val="auto"/>
          <w:sz w:val="32"/>
          <w:szCs w:val="32"/>
          <w:highlight w:val="none"/>
        </w:rPr>
      </w:pPr>
      <w:bookmarkStart w:id="36" w:name="_Toc332979561"/>
      <w:bookmarkStart w:id="37" w:name="_Toc18290"/>
      <w:r>
        <w:rPr>
          <w:rFonts w:hint="eastAsia" w:ascii="仿宋" w:hAnsi="仿宋" w:eastAsia="仿宋" w:cs="仿宋"/>
          <w:color w:val="auto"/>
          <w:sz w:val="32"/>
          <w:szCs w:val="32"/>
          <w:highlight w:val="none"/>
        </w:rPr>
        <w:t>七、初步评审</w:t>
      </w:r>
    </w:p>
    <w:p w14:paraId="34C41328">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进入评审程序后，磋商小组先对服务商的响应文件进行初步评审。磋商小组将根据评审办法的规定和“初步审查表”对响应文件的资格性和符合性进行评审，只有对“初步审查表”（详见初步审查表）所列各项作出实质性响应的响应文件才能通过初步评审。对是否实质性响应磋商文件的要求有争议的内容，评选委员会将以记名方式表决，得票超过半数的服务商（参与本次磋商的服务商）有资格进入下一阶段的评审，否则将被淘汰。</w:t>
      </w:r>
    </w:p>
    <w:p w14:paraId="635A1E70">
      <w:pPr>
        <w:adjustRightInd w:val="0"/>
        <w:snapToGrid w:val="0"/>
        <w:spacing w:line="560" w:lineRule="exact"/>
        <w:ind w:firstLine="640" w:firstLineChars="200"/>
        <w:rPr>
          <w:rFonts w:hint="eastAsia" w:ascii="仿宋" w:hAnsi="仿宋" w:eastAsia="仿宋" w:cs="仿宋"/>
          <w:color w:val="auto"/>
          <w:sz w:val="32"/>
          <w:szCs w:val="32"/>
          <w:highlight w:val="none"/>
        </w:rPr>
      </w:pPr>
    </w:p>
    <w:p w14:paraId="3E095059">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八、决标办法</w:t>
      </w:r>
    </w:p>
    <w:p w14:paraId="3BBE5768">
      <w:pPr>
        <w:pStyle w:val="13"/>
        <w:spacing w:line="560" w:lineRule="exact"/>
        <w:ind w:firstLine="559"/>
        <w:rPr>
          <w:color w:val="auto"/>
          <w:sz w:val="32"/>
          <w:szCs w:val="32"/>
          <w:highlight w:val="none"/>
        </w:rPr>
        <w:sectPr>
          <w:footerReference r:id="rId10" w:type="default"/>
          <w:pgSz w:w="11910" w:h="16840"/>
          <w:pgMar w:top="1000" w:right="1160" w:bottom="840" w:left="1300" w:header="566" w:footer="654" w:gutter="0"/>
          <w:pgNumType w:fmt="numberInDash"/>
          <w:cols w:space="720" w:num="1"/>
        </w:sectPr>
      </w:pPr>
      <w:r>
        <w:rPr>
          <w:rFonts w:hint="eastAsia" w:ascii="仿宋" w:hAnsi="仿宋" w:eastAsia="仿宋" w:cs="仿宋"/>
          <w:color w:val="auto"/>
          <w:szCs w:val="32"/>
          <w:highlight w:val="none"/>
          <w:lang w:val="en-US" w:eastAsia="zh-CN"/>
        </w:rPr>
        <w:t>1.</w:t>
      </w:r>
      <w:r>
        <w:rPr>
          <w:rFonts w:hint="eastAsia" w:ascii="仿宋" w:hAnsi="仿宋" w:eastAsia="仿宋" w:cs="仿宋"/>
          <w:color w:val="auto"/>
          <w:szCs w:val="32"/>
          <w:highlight w:val="none"/>
        </w:rPr>
        <w:t>本项目为磋商项目，由磋商小组采用综合评分法对所有服务商的响应文件进行综合评分，综合得分最高的供应商为第一成交候选供应商，综合得分次高的供应商为第二成交候选供应商，以此类推。</w:t>
      </w:r>
    </w:p>
    <w:p w14:paraId="48D34EAE">
      <w:pPr>
        <w:pStyle w:val="2"/>
        <w:adjustRightInd w:val="0"/>
        <w:snapToGrid w:val="0"/>
        <w:spacing w:line="560" w:lineRule="exact"/>
        <w:jc w:val="center"/>
        <w:rPr>
          <w:rFonts w:ascii="仿宋" w:hAnsi="仿宋" w:eastAsia="仿宋" w:cs="仿宋"/>
          <w:color w:val="auto"/>
          <w:sz w:val="44"/>
          <w:highlight w:val="none"/>
        </w:rPr>
      </w:pPr>
      <w:bookmarkStart w:id="38" w:name="_Toc19325"/>
      <w:bookmarkStart w:id="39" w:name="_Toc137754580"/>
      <w:r>
        <w:rPr>
          <w:rFonts w:hint="eastAsia" w:ascii="仿宋" w:hAnsi="仿宋" w:eastAsia="仿宋" w:cs="仿宋"/>
          <w:color w:val="auto"/>
          <w:sz w:val="44"/>
          <w:highlight w:val="none"/>
        </w:rPr>
        <w:t>第三部分 评审办法</w:t>
      </w:r>
      <w:bookmarkEnd w:id="38"/>
      <w:bookmarkEnd w:id="39"/>
    </w:p>
    <w:p w14:paraId="07568A9F">
      <w:pPr>
        <w:rPr>
          <w:color w:val="auto"/>
          <w:sz w:val="24"/>
          <w:szCs w:val="22"/>
          <w:highlight w:val="none"/>
        </w:rPr>
      </w:pPr>
    </w:p>
    <w:p w14:paraId="2F31E70B">
      <w:pPr>
        <w:widowControl/>
        <w:adjustRightInd w:val="0"/>
        <w:snapToGrid w:val="0"/>
        <w:spacing w:line="560" w:lineRule="exact"/>
        <w:ind w:firstLine="640" w:firstLineChars="200"/>
        <w:jc w:val="left"/>
        <w:rPr>
          <w:rFonts w:ascii="黑体" w:hAnsi="黑体" w:eastAsia="黑体" w:cs="黑体"/>
          <w:bCs w:val="0"/>
          <w:color w:val="auto"/>
          <w:sz w:val="32"/>
          <w:szCs w:val="32"/>
          <w:highlight w:val="none"/>
        </w:rPr>
      </w:pPr>
      <w:r>
        <w:rPr>
          <w:rFonts w:hint="eastAsia" w:ascii="黑体" w:hAnsi="黑体" w:eastAsia="黑体" w:cs="黑体"/>
          <w:bCs w:val="0"/>
          <w:color w:val="auto"/>
          <w:sz w:val="32"/>
          <w:szCs w:val="32"/>
          <w:highlight w:val="none"/>
        </w:rPr>
        <w:t>一、初步评审</w:t>
      </w:r>
    </w:p>
    <w:p w14:paraId="7802B1B8">
      <w:pPr>
        <w:adjustRightInd w:val="0"/>
        <w:snapToGrid w:val="0"/>
        <w:spacing w:line="560" w:lineRule="exact"/>
        <w:ind w:firstLine="640" w:firstLineChars="200"/>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进入评审程序后，磋商小组先对服务商的响应文件进行初步评审。磋商小组将根据评审办法的规定和“初步审查表”对响应文件的资格性和符合性进行评审，只有对“初步审查表”（详见初步审查表）所列各项作出实质性响应的响应文件才能通过初步评审。对是否实质性响应磋商文件的要求有争议的内容，评选委员会将以记名方式表决，得票超过半数的服务商（参与本次磋商的服务商）有资格进入下一阶段的评审，否则将被淘汰。</w:t>
      </w:r>
    </w:p>
    <w:p w14:paraId="611D4449">
      <w:pPr>
        <w:widowControl/>
        <w:adjustRightInd w:val="0"/>
        <w:snapToGrid w:val="0"/>
        <w:spacing w:line="560" w:lineRule="exact"/>
        <w:ind w:firstLine="640" w:firstLineChars="200"/>
        <w:jc w:val="left"/>
        <w:rPr>
          <w:rFonts w:ascii="黑体" w:hAnsi="黑体" w:eastAsia="黑体" w:cs="黑体"/>
          <w:bCs w:val="0"/>
          <w:color w:val="auto"/>
          <w:sz w:val="32"/>
          <w:szCs w:val="32"/>
          <w:highlight w:val="none"/>
        </w:rPr>
      </w:pPr>
      <w:r>
        <w:rPr>
          <w:rFonts w:hint="eastAsia" w:ascii="黑体" w:hAnsi="黑体" w:eastAsia="黑体" w:cs="黑体"/>
          <w:bCs w:val="0"/>
          <w:color w:val="auto"/>
          <w:sz w:val="32"/>
          <w:szCs w:val="32"/>
          <w:highlight w:val="none"/>
        </w:rPr>
        <w:t>二、详细评审</w:t>
      </w:r>
    </w:p>
    <w:p w14:paraId="2C2ED42B">
      <w:pPr>
        <w:pStyle w:val="13"/>
        <w:adjustRightInd w:val="0"/>
        <w:snapToGrid w:val="0"/>
        <w:spacing w:line="560" w:lineRule="exact"/>
        <w:ind w:firstLine="559"/>
        <w:rPr>
          <w:rFonts w:ascii="仿宋" w:hAnsi="仿宋" w:eastAsia="仿宋" w:cs="仿宋"/>
          <w:color w:val="auto"/>
          <w:szCs w:val="32"/>
          <w:highlight w:val="none"/>
        </w:rPr>
      </w:pPr>
      <w:r>
        <w:rPr>
          <w:rFonts w:hint="eastAsia" w:ascii="仿宋" w:hAnsi="仿宋" w:eastAsia="仿宋" w:cs="仿宋"/>
          <w:color w:val="auto"/>
          <w:spacing w:val="2"/>
          <w:szCs w:val="32"/>
          <w:highlight w:val="none"/>
        </w:rPr>
        <w:t>（一）评标委员会根据评审办法对通过初步评审的响应文件进行详细评</w:t>
      </w:r>
      <w:r>
        <w:rPr>
          <w:rFonts w:hint="eastAsia" w:ascii="仿宋" w:hAnsi="仿宋" w:eastAsia="仿宋" w:cs="仿宋"/>
          <w:color w:val="auto"/>
          <w:spacing w:val="24"/>
          <w:szCs w:val="32"/>
          <w:highlight w:val="none"/>
        </w:rPr>
        <w:t xml:space="preserve"> </w:t>
      </w:r>
      <w:r>
        <w:rPr>
          <w:rFonts w:hint="eastAsia" w:ascii="仿宋" w:hAnsi="仿宋" w:eastAsia="仿宋" w:cs="仿宋"/>
          <w:color w:val="auto"/>
          <w:spacing w:val="-2"/>
          <w:szCs w:val="32"/>
          <w:highlight w:val="none"/>
        </w:rPr>
        <w:t>审，并进行技术和商务的评审打分。</w:t>
      </w:r>
    </w:p>
    <w:p w14:paraId="6862382B">
      <w:pPr>
        <w:pStyle w:val="13"/>
        <w:adjustRightInd w:val="0"/>
        <w:snapToGrid w:val="0"/>
        <w:spacing w:line="560" w:lineRule="exact"/>
        <w:ind w:firstLine="632" w:firstLineChars="200"/>
        <w:jc w:val="left"/>
        <w:rPr>
          <w:rFonts w:ascii="仿宋" w:hAnsi="仿宋" w:eastAsia="仿宋" w:cs="仿宋"/>
          <w:color w:val="auto"/>
          <w:spacing w:val="-1"/>
          <w:szCs w:val="32"/>
          <w:highlight w:val="none"/>
        </w:rPr>
      </w:pPr>
      <w:r>
        <w:rPr>
          <w:rFonts w:hint="eastAsia" w:ascii="仿宋" w:hAnsi="仿宋" w:eastAsia="仿宋" w:cs="仿宋"/>
          <w:color w:val="auto"/>
          <w:spacing w:val="-2"/>
          <w:szCs w:val="32"/>
          <w:highlight w:val="none"/>
        </w:rPr>
        <w:t>（二）技术、商务评分：具体评审的内容详见（附表</w:t>
      </w:r>
      <w:r>
        <w:rPr>
          <w:rFonts w:hint="eastAsia" w:ascii="仿宋" w:hAnsi="仿宋" w:eastAsia="仿宋" w:cs="仿宋"/>
          <w:color w:val="auto"/>
          <w:spacing w:val="-71"/>
          <w:szCs w:val="32"/>
          <w:highlight w:val="none"/>
        </w:rPr>
        <w:t xml:space="preserve"> </w:t>
      </w:r>
      <w:r>
        <w:rPr>
          <w:rFonts w:hint="eastAsia" w:ascii="仿宋" w:hAnsi="仿宋" w:eastAsia="仿宋" w:cs="仿宋"/>
          <w:color w:val="auto"/>
          <w:spacing w:val="-1"/>
          <w:szCs w:val="32"/>
          <w:highlight w:val="none"/>
        </w:rPr>
        <w:t>2）；</w:t>
      </w:r>
    </w:p>
    <w:p w14:paraId="3D887FC6">
      <w:pPr>
        <w:pStyle w:val="13"/>
        <w:adjustRightInd w:val="0"/>
        <w:snapToGrid w:val="0"/>
        <w:spacing w:line="560" w:lineRule="exact"/>
        <w:ind w:firstLine="380" w:firstLineChars="100"/>
        <w:jc w:val="left"/>
        <w:rPr>
          <w:rFonts w:ascii="仿宋" w:hAnsi="仿宋" w:eastAsia="仿宋" w:cs="仿宋"/>
          <w:color w:val="auto"/>
          <w:szCs w:val="32"/>
          <w:highlight w:val="none"/>
        </w:rPr>
      </w:pPr>
      <w:r>
        <w:rPr>
          <w:rFonts w:hint="eastAsia" w:ascii="仿宋" w:hAnsi="仿宋" w:eastAsia="仿宋" w:cs="仿宋"/>
          <w:color w:val="auto"/>
          <w:spacing w:val="30"/>
          <w:szCs w:val="32"/>
          <w:highlight w:val="none"/>
        </w:rPr>
        <w:t xml:space="preserve"> </w:t>
      </w:r>
      <w:r>
        <w:rPr>
          <w:rFonts w:hint="eastAsia" w:ascii="仿宋" w:hAnsi="仿宋" w:eastAsia="仿宋" w:cs="仿宋"/>
          <w:color w:val="auto"/>
          <w:spacing w:val="2"/>
          <w:szCs w:val="32"/>
          <w:highlight w:val="none"/>
        </w:rPr>
        <w:t>（三）价格分统一采用低价优先法计算，将通过初步评审的所有供应商的投标价格，即满足竞争性磋商文件要求且价格最低的投标价为基准价，</w:t>
      </w:r>
      <w:r>
        <w:rPr>
          <w:rFonts w:hint="eastAsia" w:ascii="仿宋" w:hAnsi="仿宋" w:eastAsia="仿宋" w:cs="仿宋"/>
          <w:color w:val="auto"/>
          <w:spacing w:val="-2"/>
          <w:szCs w:val="32"/>
          <w:highlight w:val="none"/>
        </w:rPr>
        <w:t>其价格分为满分。其他供应商的价格分统一按照下列公式计算：</w:t>
      </w:r>
    </w:p>
    <w:p w14:paraId="13C7B752">
      <w:pPr>
        <w:adjustRightInd w:val="0"/>
        <w:snapToGrid w:val="0"/>
        <w:spacing w:line="560" w:lineRule="exact"/>
        <w:jc w:val="left"/>
        <w:rPr>
          <w:rFonts w:ascii="仿宋" w:hAnsi="仿宋" w:eastAsia="仿宋" w:cs="仿宋"/>
          <w:b/>
          <w:color w:val="auto"/>
          <w:spacing w:val="35"/>
          <w:w w:val="99"/>
          <w:sz w:val="32"/>
          <w:szCs w:val="32"/>
          <w:highlight w:val="none"/>
        </w:rPr>
      </w:pPr>
      <w:r>
        <w:rPr>
          <w:rFonts w:hint="eastAsia" w:ascii="仿宋" w:hAnsi="仿宋" w:eastAsia="仿宋" w:cs="仿宋"/>
          <w:b/>
          <w:color w:val="auto"/>
          <w:spacing w:val="-1"/>
          <w:sz w:val="32"/>
          <w:szCs w:val="32"/>
          <w:highlight w:val="none"/>
        </w:rPr>
        <w:t>磋商报价得分=(基准价／最终报价)×价格权值×100</w:t>
      </w:r>
      <w:r>
        <w:rPr>
          <w:rFonts w:hint="eastAsia" w:ascii="仿宋" w:hAnsi="仿宋" w:eastAsia="仿宋" w:cs="仿宋"/>
          <w:b/>
          <w:color w:val="auto"/>
          <w:spacing w:val="35"/>
          <w:w w:val="99"/>
          <w:sz w:val="32"/>
          <w:szCs w:val="32"/>
          <w:highlight w:val="none"/>
        </w:rPr>
        <w:t xml:space="preserve"> </w:t>
      </w:r>
    </w:p>
    <w:p w14:paraId="05A23BB3">
      <w:pPr>
        <w:adjustRightInd w:val="0"/>
        <w:snapToGrid w:val="0"/>
        <w:spacing w:line="560" w:lineRule="exact"/>
        <w:ind w:firstLine="632" w:firstLineChars="200"/>
        <w:jc w:val="left"/>
        <w:rPr>
          <w:rFonts w:ascii="黑体" w:hAnsi="黑体" w:eastAsia="黑体" w:cs="黑体"/>
          <w:color w:val="auto"/>
          <w:sz w:val="32"/>
          <w:szCs w:val="32"/>
          <w:highlight w:val="none"/>
        </w:rPr>
      </w:pPr>
      <w:r>
        <w:rPr>
          <w:rFonts w:hint="eastAsia" w:ascii="黑体" w:hAnsi="黑体" w:eastAsia="黑体" w:cs="黑体"/>
          <w:color w:val="auto"/>
          <w:spacing w:val="-2"/>
          <w:sz w:val="32"/>
          <w:szCs w:val="32"/>
          <w:highlight w:val="none"/>
        </w:rPr>
        <w:t>三、技术、商务及价格权重分配</w:t>
      </w:r>
    </w:p>
    <w:tbl>
      <w:tblPr>
        <w:tblStyle w:val="25"/>
        <w:tblW w:w="0" w:type="auto"/>
        <w:jc w:val="center"/>
        <w:tblLayout w:type="fixed"/>
        <w:tblCellMar>
          <w:top w:w="0" w:type="dxa"/>
          <w:left w:w="0" w:type="dxa"/>
          <w:bottom w:w="0" w:type="dxa"/>
          <w:right w:w="0" w:type="dxa"/>
        </w:tblCellMar>
      </w:tblPr>
      <w:tblGrid>
        <w:gridCol w:w="2490"/>
        <w:gridCol w:w="3660"/>
        <w:gridCol w:w="2925"/>
      </w:tblGrid>
      <w:tr w14:paraId="72F5A905">
        <w:tblPrEx>
          <w:tblCellMar>
            <w:top w:w="0" w:type="dxa"/>
            <w:left w:w="0" w:type="dxa"/>
            <w:bottom w:w="0" w:type="dxa"/>
            <w:right w:w="0" w:type="dxa"/>
          </w:tblCellMar>
        </w:tblPrEx>
        <w:trPr>
          <w:trHeight w:val="657" w:hRule="exact"/>
          <w:jc w:val="center"/>
        </w:trPr>
        <w:tc>
          <w:tcPr>
            <w:tcW w:w="2490" w:type="dxa"/>
            <w:tcBorders>
              <w:top w:val="single" w:color="000000" w:sz="4" w:space="0"/>
              <w:left w:val="single" w:color="000000" w:sz="4" w:space="0"/>
              <w:bottom w:val="single" w:color="000000" w:sz="4" w:space="0"/>
              <w:right w:val="single" w:color="000000" w:sz="4" w:space="0"/>
            </w:tcBorders>
          </w:tcPr>
          <w:p w14:paraId="1D03B282">
            <w:pPr>
              <w:pStyle w:val="44"/>
              <w:keepNext w:val="0"/>
              <w:keepLines w:val="0"/>
              <w:suppressLineNumbers w:val="0"/>
              <w:adjustRightInd w:val="0"/>
              <w:snapToGrid w:val="0"/>
              <w:spacing w:before="0" w:beforeAutospacing="0" w:after="0" w:afterAutospacing="0" w:line="560" w:lineRule="exact"/>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rPr>
              <w:t>评分项目</w:t>
            </w:r>
          </w:p>
        </w:tc>
        <w:tc>
          <w:tcPr>
            <w:tcW w:w="3660" w:type="dxa"/>
            <w:tcBorders>
              <w:top w:val="single" w:color="000000" w:sz="4" w:space="0"/>
              <w:left w:val="single" w:color="000000" w:sz="4" w:space="0"/>
              <w:bottom w:val="single" w:color="000000" w:sz="4" w:space="0"/>
              <w:right w:val="single" w:color="000000" w:sz="4" w:space="0"/>
            </w:tcBorders>
          </w:tcPr>
          <w:p w14:paraId="25C8AAF7">
            <w:pPr>
              <w:pStyle w:val="44"/>
              <w:keepNext w:val="0"/>
              <w:keepLines w:val="0"/>
              <w:suppressLineNumbers w:val="0"/>
              <w:adjustRightInd w:val="0"/>
              <w:snapToGrid w:val="0"/>
              <w:spacing w:before="0" w:beforeAutospacing="0" w:after="0" w:afterAutospacing="0" w:line="560" w:lineRule="exact"/>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rPr>
              <w:t>技术/商务评审项</w:t>
            </w:r>
          </w:p>
        </w:tc>
        <w:tc>
          <w:tcPr>
            <w:tcW w:w="2925" w:type="dxa"/>
            <w:tcBorders>
              <w:top w:val="single" w:color="000000" w:sz="4" w:space="0"/>
              <w:left w:val="single" w:color="000000" w:sz="4" w:space="0"/>
              <w:bottom w:val="single" w:color="000000" w:sz="4" w:space="0"/>
              <w:right w:val="single" w:color="000000" w:sz="4" w:space="0"/>
            </w:tcBorders>
          </w:tcPr>
          <w:p w14:paraId="4F060480">
            <w:pPr>
              <w:pStyle w:val="44"/>
              <w:keepNext w:val="0"/>
              <w:keepLines w:val="0"/>
              <w:suppressLineNumbers w:val="0"/>
              <w:adjustRightInd w:val="0"/>
              <w:snapToGrid w:val="0"/>
              <w:spacing w:before="0" w:beforeAutospacing="0" w:after="0" w:afterAutospacing="0" w:line="560" w:lineRule="exact"/>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rPr>
              <w:t>价格项</w:t>
            </w:r>
          </w:p>
        </w:tc>
      </w:tr>
      <w:tr w14:paraId="0720DF35">
        <w:tblPrEx>
          <w:tblCellMar>
            <w:top w:w="0" w:type="dxa"/>
            <w:left w:w="0" w:type="dxa"/>
            <w:bottom w:w="0" w:type="dxa"/>
            <w:right w:w="0" w:type="dxa"/>
          </w:tblCellMar>
        </w:tblPrEx>
        <w:trPr>
          <w:trHeight w:val="595" w:hRule="exact"/>
          <w:jc w:val="center"/>
        </w:trPr>
        <w:tc>
          <w:tcPr>
            <w:tcW w:w="2490" w:type="dxa"/>
            <w:tcBorders>
              <w:top w:val="single" w:color="000000" w:sz="4" w:space="0"/>
              <w:left w:val="single" w:color="000000" w:sz="4" w:space="0"/>
              <w:bottom w:val="single" w:color="000000" w:sz="4" w:space="0"/>
              <w:right w:val="single" w:color="000000" w:sz="4" w:space="0"/>
            </w:tcBorders>
          </w:tcPr>
          <w:p w14:paraId="4E108189">
            <w:pPr>
              <w:pStyle w:val="44"/>
              <w:keepNext w:val="0"/>
              <w:keepLines w:val="0"/>
              <w:suppressLineNumbers w:val="0"/>
              <w:adjustRightInd w:val="0"/>
              <w:snapToGrid w:val="0"/>
              <w:spacing w:before="0" w:beforeAutospacing="0" w:after="0" w:afterAutospacing="0" w:line="560" w:lineRule="exact"/>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权值</w:t>
            </w:r>
          </w:p>
        </w:tc>
        <w:tc>
          <w:tcPr>
            <w:tcW w:w="3660" w:type="dxa"/>
            <w:tcBorders>
              <w:top w:val="single" w:color="000000" w:sz="4" w:space="0"/>
              <w:left w:val="single" w:color="000000" w:sz="4" w:space="0"/>
              <w:bottom w:val="single" w:color="000000" w:sz="4" w:space="0"/>
              <w:right w:val="single" w:color="000000" w:sz="4" w:space="0"/>
            </w:tcBorders>
          </w:tcPr>
          <w:p w14:paraId="75D882F8">
            <w:pPr>
              <w:pStyle w:val="44"/>
              <w:keepNext w:val="0"/>
              <w:keepLines w:val="0"/>
              <w:suppressLineNumbers w:val="0"/>
              <w:adjustRightInd w:val="0"/>
              <w:snapToGrid w:val="0"/>
              <w:spacing w:before="0" w:beforeAutospacing="0" w:after="0" w:afterAutospacing="0" w:line="560" w:lineRule="exact"/>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0%</w:t>
            </w:r>
          </w:p>
        </w:tc>
        <w:tc>
          <w:tcPr>
            <w:tcW w:w="2925" w:type="dxa"/>
            <w:tcBorders>
              <w:top w:val="single" w:color="000000" w:sz="4" w:space="0"/>
              <w:left w:val="single" w:color="000000" w:sz="4" w:space="0"/>
              <w:bottom w:val="single" w:color="000000" w:sz="4" w:space="0"/>
              <w:right w:val="single" w:color="000000" w:sz="4" w:space="0"/>
            </w:tcBorders>
          </w:tcPr>
          <w:p w14:paraId="6314512A">
            <w:pPr>
              <w:pStyle w:val="44"/>
              <w:keepNext w:val="0"/>
              <w:keepLines w:val="0"/>
              <w:suppressLineNumbers w:val="0"/>
              <w:adjustRightInd w:val="0"/>
              <w:snapToGrid w:val="0"/>
              <w:spacing w:before="0" w:beforeAutospacing="0" w:after="0" w:afterAutospacing="0" w:line="560" w:lineRule="exact"/>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lang w:val="en-US" w:eastAsia="zh-CN"/>
              </w:rPr>
              <w:t>2</w:t>
            </w:r>
            <w:r>
              <w:rPr>
                <w:rFonts w:hint="eastAsia" w:ascii="仿宋" w:hAnsi="仿宋" w:eastAsia="仿宋" w:cs="仿宋"/>
                <w:color w:val="auto"/>
                <w:spacing w:val="-1"/>
                <w:sz w:val="32"/>
                <w:szCs w:val="32"/>
                <w:highlight w:val="none"/>
              </w:rPr>
              <w:t>0%</w:t>
            </w:r>
          </w:p>
        </w:tc>
      </w:tr>
    </w:tbl>
    <w:p w14:paraId="62D2A216">
      <w:pPr>
        <w:pStyle w:val="13"/>
        <w:adjustRightInd w:val="0"/>
        <w:snapToGrid w:val="0"/>
        <w:spacing w:line="560" w:lineRule="exact"/>
        <w:ind w:firstLine="648" w:firstLineChars="200"/>
        <w:rPr>
          <w:rFonts w:ascii="仿宋" w:hAnsi="仿宋" w:eastAsia="仿宋" w:cs="仿宋"/>
          <w:color w:val="auto"/>
          <w:szCs w:val="32"/>
          <w:highlight w:val="none"/>
        </w:rPr>
      </w:pPr>
      <w:r>
        <w:rPr>
          <w:rFonts w:hint="eastAsia" w:ascii="黑体" w:hAnsi="黑体" w:eastAsia="黑体" w:cs="黑体"/>
          <w:color w:val="auto"/>
          <w:spacing w:val="2"/>
          <w:szCs w:val="32"/>
          <w:highlight w:val="none"/>
        </w:rPr>
        <w:t>四、综合评分及其统计：</w:t>
      </w:r>
      <w:r>
        <w:rPr>
          <w:rFonts w:hint="eastAsia" w:ascii="仿宋" w:hAnsi="仿宋" w:eastAsia="仿宋" w:cs="仿宋"/>
          <w:color w:val="auto"/>
          <w:spacing w:val="2"/>
          <w:szCs w:val="32"/>
          <w:highlight w:val="none"/>
        </w:rPr>
        <w:t>按照评标程序、评分标准以及分值分配的规定，评标委员会成员分别就各个供应商的技术、商务状况，其对竞争性磋商文件要求的响应情况进行评议和比较，评出各供应商的得分，得分与投标报价分相加得出综合得分。综合得分最高的供应商为第一成交候选供应</w:t>
      </w:r>
      <w:r>
        <w:rPr>
          <w:rFonts w:hint="eastAsia" w:ascii="仿宋" w:hAnsi="仿宋" w:eastAsia="仿宋" w:cs="仿宋"/>
          <w:color w:val="auto"/>
          <w:spacing w:val="-2"/>
          <w:szCs w:val="32"/>
          <w:highlight w:val="none"/>
        </w:rPr>
        <w:t>商，综合得分次高的供应商为第二成交候选供应商，以此类推。</w:t>
      </w:r>
    </w:p>
    <w:p w14:paraId="03C112F0">
      <w:pPr>
        <w:spacing w:line="356" w:lineRule="auto"/>
        <w:rPr>
          <w:color w:val="auto"/>
          <w:highlight w:val="none"/>
        </w:rPr>
      </w:pPr>
    </w:p>
    <w:p w14:paraId="5597898E">
      <w:pPr>
        <w:jc w:val="center"/>
        <w:rPr>
          <w:color w:val="auto"/>
          <w:sz w:val="32"/>
          <w:highlight w:val="none"/>
        </w:rPr>
      </w:pPr>
    </w:p>
    <w:p w14:paraId="49768D28">
      <w:pPr>
        <w:jc w:val="center"/>
        <w:rPr>
          <w:color w:val="auto"/>
          <w:sz w:val="32"/>
          <w:highlight w:val="none"/>
        </w:rPr>
      </w:pPr>
    </w:p>
    <w:p w14:paraId="24F8C506">
      <w:pPr>
        <w:jc w:val="center"/>
        <w:rPr>
          <w:color w:val="auto"/>
          <w:sz w:val="32"/>
          <w:highlight w:val="none"/>
        </w:rPr>
      </w:pPr>
    </w:p>
    <w:p w14:paraId="6262D38C">
      <w:pPr>
        <w:jc w:val="center"/>
        <w:rPr>
          <w:color w:val="auto"/>
          <w:sz w:val="32"/>
          <w:highlight w:val="none"/>
        </w:rPr>
      </w:pPr>
    </w:p>
    <w:p w14:paraId="6AA5E571">
      <w:pPr>
        <w:jc w:val="center"/>
        <w:rPr>
          <w:color w:val="auto"/>
          <w:sz w:val="32"/>
          <w:highlight w:val="none"/>
        </w:rPr>
      </w:pPr>
    </w:p>
    <w:p w14:paraId="0ECF819A">
      <w:pPr>
        <w:jc w:val="center"/>
        <w:rPr>
          <w:color w:val="auto"/>
          <w:sz w:val="32"/>
          <w:highlight w:val="none"/>
        </w:rPr>
      </w:pPr>
    </w:p>
    <w:p w14:paraId="0C366E72">
      <w:pPr>
        <w:jc w:val="center"/>
        <w:rPr>
          <w:color w:val="auto"/>
          <w:sz w:val="32"/>
          <w:highlight w:val="none"/>
        </w:rPr>
      </w:pPr>
    </w:p>
    <w:p w14:paraId="48A59E31">
      <w:pPr>
        <w:jc w:val="center"/>
        <w:rPr>
          <w:color w:val="auto"/>
          <w:sz w:val="32"/>
          <w:highlight w:val="none"/>
        </w:rPr>
      </w:pPr>
    </w:p>
    <w:p w14:paraId="5F949D31">
      <w:pPr>
        <w:jc w:val="center"/>
        <w:rPr>
          <w:color w:val="auto"/>
          <w:sz w:val="32"/>
          <w:highlight w:val="none"/>
        </w:rPr>
      </w:pPr>
    </w:p>
    <w:p w14:paraId="12680043">
      <w:pPr>
        <w:jc w:val="center"/>
        <w:rPr>
          <w:color w:val="auto"/>
          <w:sz w:val="32"/>
          <w:highlight w:val="none"/>
        </w:rPr>
      </w:pPr>
    </w:p>
    <w:p w14:paraId="72359C88">
      <w:pPr>
        <w:jc w:val="center"/>
        <w:rPr>
          <w:color w:val="auto"/>
          <w:sz w:val="32"/>
          <w:highlight w:val="none"/>
        </w:rPr>
      </w:pPr>
    </w:p>
    <w:p w14:paraId="0395C96E">
      <w:pPr>
        <w:jc w:val="center"/>
        <w:rPr>
          <w:color w:val="auto"/>
          <w:sz w:val="32"/>
          <w:highlight w:val="none"/>
        </w:rPr>
      </w:pPr>
    </w:p>
    <w:p w14:paraId="08039112">
      <w:pPr>
        <w:jc w:val="center"/>
        <w:rPr>
          <w:color w:val="auto"/>
          <w:sz w:val="32"/>
          <w:highlight w:val="none"/>
        </w:rPr>
      </w:pPr>
    </w:p>
    <w:p w14:paraId="4F31C23C">
      <w:pPr>
        <w:jc w:val="center"/>
        <w:rPr>
          <w:color w:val="auto"/>
          <w:sz w:val="32"/>
          <w:highlight w:val="none"/>
        </w:rPr>
      </w:pPr>
    </w:p>
    <w:p w14:paraId="287D1EC3">
      <w:pPr>
        <w:jc w:val="center"/>
        <w:rPr>
          <w:color w:val="auto"/>
          <w:sz w:val="32"/>
          <w:highlight w:val="none"/>
        </w:rPr>
      </w:pPr>
    </w:p>
    <w:p w14:paraId="3450DEC8">
      <w:pPr>
        <w:jc w:val="center"/>
        <w:rPr>
          <w:color w:val="auto"/>
          <w:sz w:val="32"/>
          <w:highlight w:val="none"/>
        </w:rPr>
      </w:pPr>
    </w:p>
    <w:p w14:paraId="6B7F2ECB">
      <w:pPr>
        <w:jc w:val="center"/>
        <w:rPr>
          <w:color w:val="auto"/>
          <w:sz w:val="32"/>
          <w:highlight w:val="none"/>
        </w:rPr>
      </w:pPr>
    </w:p>
    <w:p w14:paraId="60687CD9">
      <w:pPr>
        <w:jc w:val="center"/>
        <w:rPr>
          <w:color w:val="auto"/>
          <w:sz w:val="32"/>
          <w:highlight w:val="none"/>
        </w:rPr>
      </w:pPr>
    </w:p>
    <w:p w14:paraId="3DC34541">
      <w:pPr>
        <w:jc w:val="center"/>
        <w:rPr>
          <w:color w:val="auto"/>
          <w:sz w:val="32"/>
          <w:highlight w:val="none"/>
        </w:rPr>
      </w:pPr>
    </w:p>
    <w:p w14:paraId="5767D54D">
      <w:pPr>
        <w:jc w:val="center"/>
        <w:rPr>
          <w:color w:val="auto"/>
          <w:sz w:val="32"/>
          <w:highlight w:val="none"/>
        </w:rPr>
      </w:pPr>
    </w:p>
    <w:p w14:paraId="68595B41">
      <w:pPr>
        <w:jc w:val="center"/>
        <w:rPr>
          <w:color w:val="auto"/>
          <w:sz w:val="32"/>
          <w:highlight w:val="none"/>
        </w:rPr>
      </w:pPr>
    </w:p>
    <w:p w14:paraId="057A938C">
      <w:pPr>
        <w:jc w:val="center"/>
        <w:rPr>
          <w:color w:val="auto"/>
          <w:sz w:val="32"/>
          <w:highlight w:val="none"/>
        </w:rPr>
      </w:pPr>
    </w:p>
    <w:p w14:paraId="75DCC611">
      <w:pPr>
        <w:jc w:val="center"/>
        <w:rPr>
          <w:color w:val="auto"/>
          <w:sz w:val="32"/>
          <w:highlight w:val="none"/>
        </w:rPr>
      </w:pPr>
    </w:p>
    <w:p w14:paraId="6528E11F">
      <w:pPr>
        <w:jc w:val="center"/>
        <w:rPr>
          <w:color w:val="auto"/>
          <w:sz w:val="32"/>
          <w:highlight w:val="none"/>
        </w:rPr>
      </w:pPr>
    </w:p>
    <w:p w14:paraId="24BA8E02">
      <w:pPr>
        <w:jc w:val="center"/>
        <w:rPr>
          <w:rFonts w:hint="eastAsia"/>
          <w:color w:val="auto"/>
          <w:sz w:val="32"/>
          <w:highlight w:val="none"/>
          <w:lang w:val="en-US" w:eastAsia="zh-CN"/>
        </w:rPr>
      </w:pPr>
    </w:p>
    <w:p w14:paraId="6BCEBCAA">
      <w:pPr>
        <w:jc w:val="center"/>
        <w:rPr>
          <w:rFonts w:hint="eastAsia"/>
          <w:color w:val="auto"/>
          <w:sz w:val="32"/>
          <w:highlight w:val="none"/>
          <w:lang w:val="en-US" w:eastAsia="zh-CN"/>
        </w:rPr>
      </w:pPr>
    </w:p>
    <w:p w14:paraId="0385CCFC">
      <w:pPr>
        <w:jc w:val="both"/>
        <w:rPr>
          <w:color w:val="auto"/>
          <w:sz w:val="32"/>
          <w:highlight w:val="none"/>
        </w:rPr>
      </w:pPr>
    </w:p>
    <w:p w14:paraId="4A6B938B">
      <w:pPr>
        <w:jc w:val="center"/>
        <w:rPr>
          <w:rFonts w:ascii="仿宋" w:hAnsi="仿宋" w:eastAsia="仿宋" w:cs="仿宋"/>
          <w:color w:val="auto"/>
          <w:sz w:val="32"/>
          <w:szCs w:val="32"/>
          <w:highlight w:val="none"/>
        </w:rPr>
      </w:pPr>
      <w:r>
        <w:rPr>
          <w:rFonts w:hint="eastAsia"/>
          <w:color w:val="auto"/>
          <w:sz w:val="32"/>
          <w:highlight w:val="none"/>
        </w:rPr>
        <w:t>附表1：</w:t>
      </w:r>
      <w:r>
        <w:rPr>
          <w:color w:val="auto"/>
          <w:sz w:val="32"/>
          <w:highlight w:val="none"/>
        </w:rPr>
        <w:t>初步审查表</w:t>
      </w:r>
    </w:p>
    <w:p w14:paraId="09F6E8DD">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Chars="0" w:firstLine="640"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color w:val="auto"/>
          <w:sz w:val="32"/>
          <w:szCs w:val="32"/>
          <w:highlight w:val="none"/>
        </w:rPr>
        <w:t>项目名称：</w:t>
      </w:r>
      <w:r>
        <w:rPr>
          <w:rFonts w:hint="eastAsia" w:ascii="仿宋" w:hAnsi="仿宋" w:eastAsia="仿宋" w:cs="仿宋"/>
          <w:b w:val="0"/>
          <w:bCs/>
          <w:color w:val="auto"/>
          <w:sz w:val="32"/>
          <w:szCs w:val="32"/>
          <w:highlight w:val="none"/>
          <w:lang w:val="en-US" w:eastAsia="zh-CN"/>
        </w:rPr>
        <w:t>2026年学生消防应急疏散与灭火演练项目</w:t>
      </w:r>
    </w:p>
    <w:p w14:paraId="24387D0B">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项目</w:t>
      </w:r>
      <w:r>
        <w:rPr>
          <w:rFonts w:hint="eastAsia" w:ascii="仿宋" w:hAnsi="仿宋" w:eastAsia="仿宋" w:cs="仿宋"/>
          <w:color w:val="auto"/>
          <w:sz w:val="32"/>
          <w:szCs w:val="32"/>
          <w:highlight w:val="none"/>
        </w:rPr>
        <w:t>编号：HNWJY-FW202600</w:t>
      </w:r>
      <w:r>
        <w:rPr>
          <w:rFonts w:hint="eastAsia" w:ascii="仿宋" w:hAnsi="仿宋" w:eastAsia="仿宋" w:cs="仿宋"/>
          <w:color w:val="auto"/>
          <w:sz w:val="32"/>
          <w:szCs w:val="32"/>
          <w:highlight w:val="none"/>
          <w:lang w:val="en-US" w:eastAsia="zh-CN"/>
        </w:rPr>
        <w:t>5</w:t>
      </w:r>
    </w:p>
    <w:tbl>
      <w:tblPr>
        <w:tblStyle w:val="25"/>
        <w:tblW w:w="10065" w:type="dxa"/>
        <w:jc w:val="center"/>
        <w:tblLayout w:type="fixed"/>
        <w:tblCellMar>
          <w:top w:w="88" w:type="dxa"/>
          <w:left w:w="107" w:type="dxa"/>
          <w:bottom w:w="0" w:type="dxa"/>
          <w:right w:w="11" w:type="dxa"/>
        </w:tblCellMar>
      </w:tblPr>
      <w:tblGrid>
        <w:gridCol w:w="709"/>
        <w:gridCol w:w="2127"/>
        <w:gridCol w:w="3827"/>
        <w:gridCol w:w="1134"/>
        <w:gridCol w:w="1134"/>
        <w:gridCol w:w="1134"/>
      </w:tblGrid>
      <w:tr w14:paraId="2310D495">
        <w:tblPrEx>
          <w:tblCellMar>
            <w:top w:w="88" w:type="dxa"/>
            <w:left w:w="107" w:type="dxa"/>
            <w:bottom w:w="0" w:type="dxa"/>
            <w:right w:w="11" w:type="dxa"/>
          </w:tblCellMar>
        </w:tblPrEx>
        <w:trPr>
          <w:trHeight w:val="55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705A19FB">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序号</w:t>
            </w:r>
          </w:p>
        </w:tc>
        <w:tc>
          <w:tcPr>
            <w:tcW w:w="2127" w:type="dxa"/>
            <w:tcBorders>
              <w:top w:val="single" w:color="000000" w:sz="4" w:space="0"/>
              <w:left w:val="single" w:color="000000" w:sz="4" w:space="0"/>
              <w:bottom w:val="single" w:color="000000" w:sz="4" w:space="0"/>
              <w:right w:val="single" w:color="000000" w:sz="4" w:space="0"/>
            </w:tcBorders>
            <w:vAlign w:val="center"/>
          </w:tcPr>
          <w:p w14:paraId="376906FD">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审查项目</w:t>
            </w:r>
          </w:p>
        </w:tc>
        <w:tc>
          <w:tcPr>
            <w:tcW w:w="3827" w:type="dxa"/>
            <w:tcBorders>
              <w:top w:val="single" w:color="000000" w:sz="4" w:space="0"/>
              <w:left w:val="single" w:color="000000" w:sz="4" w:space="0"/>
              <w:bottom w:val="single" w:color="000000" w:sz="4" w:space="0"/>
              <w:right w:val="single" w:color="000000" w:sz="4" w:space="0"/>
            </w:tcBorders>
            <w:vAlign w:val="center"/>
          </w:tcPr>
          <w:p w14:paraId="1265ACCE">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评议内容（无效磋商响应认定条件）</w:t>
            </w:r>
          </w:p>
        </w:tc>
        <w:tc>
          <w:tcPr>
            <w:tcW w:w="1134" w:type="dxa"/>
            <w:tcBorders>
              <w:top w:val="single" w:color="000000" w:sz="4" w:space="0"/>
              <w:left w:val="single" w:color="000000" w:sz="4" w:space="0"/>
              <w:bottom w:val="single" w:color="000000" w:sz="4" w:space="0"/>
              <w:right w:val="single" w:color="000000" w:sz="4" w:space="0"/>
            </w:tcBorders>
            <w:vAlign w:val="center"/>
          </w:tcPr>
          <w:p w14:paraId="500406B3">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服务商1</w:t>
            </w:r>
          </w:p>
        </w:tc>
        <w:tc>
          <w:tcPr>
            <w:tcW w:w="1134" w:type="dxa"/>
            <w:tcBorders>
              <w:top w:val="single" w:color="000000" w:sz="4" w:space="0"/>
              <w:left w:val="single" w:color="000000" w:sz="4" w:space="0"/>
              <w:bottom w:val="single" w:color="000000" w:sz="4" w:space="0"/>
              <w:right w:val="single" w:color="000000" w:sz="4" w:space="0"/>
            </w:tcBorders>
            <w:vAlign w:val="center"/>
          </w:tcPr>
          <w:p w14:paraId="67C6CA33">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服务商2</w:t>
            </w:r>
          </w:p>
        </w:tc>
        <w:tc>
          <w:tcPr>
            <w:tcW w:w="1134" w:type="dxa"/>
            <w:tcBorders>
              <w:top w:val="single" w:color="000000" w:sz="4" w:space="0"/>
              <w:left w:val="single" w:color="000000" w:sz="4" w:space="0"/>
              <w:bottom w:val="single" w:color="000000" w:sz="4" w:space="0"/>
              <w:right w:val="single" w:color="000000" w:sz="4" w:space="0"/>
            </w:tcBorders>
            <w:vAlign w:val="center"/>
          </w:tcPr>
          <w:p w14:paraId="724EAA2B">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服务商3</w:t>
            </w:r>
          </w:p>
        </w:tc>
      </w:tr>
      <w:tr w14:paraId="754BABEA">
        <w:tblPrEx>
          <w:tblCellMar>
            <w:top w:w="88" w:type="dxa"/>
            <w:left w:w="107" w:type="dxa"/>
            <w:bottom w:w="0" w:type="dxa"/>
            <w:right w:w="11" w:type="dxa"/>
          </w:tblCellMar>
        </w:tblPrEx>
        <w:trPr>
          <w:trHeight w:val="472"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0D6D8206">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p>
        </w:tc>
        <w:tc>
          <w:tcPr>
            <w:tcW w:w="2127" w:type="dxa"/>
            <w:tcBorders>
              <w:top w:val="single" w:color="000000" w:sz="4" w:space="0"/>
              <w:left w:val="single" w:color="000000" w:sz="4" w:space="0"/>
              <w:bottom w:val="single" w:color="000000" w:sz="4" w:space="0"/>
              <w:right w:val="single" w:color="000000" w:sz="4" w:space="0"/>
            </w:tcBorders>
            <w:vAlign w:val="center"/>
          </w:tcPr>
          <w:p w14:paraId="47355C35">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服务商申请条件</w:t>
            </w:r>
          </w:p>
        </w:tc>
        <w:tc>
          <w:tcPr>
            <w:tcW w:w="3827" w:type="dxa"/>
            <w:tcBorders>
              <w:top w:val="single" w:color="000000" w:sz="4" w:space="0"/>
              <w:left w:val="single" w:color="000000" w:sz="4" w:space="0"/>
              <w:bottom w:val="single" w:color="000000" w:sz="4" w:space="0"/>
              <w:right w:val="single" w:color="000000" w:sz="4" w:space="0"/>
            </w:tcBorders>
            <w:vAlign w:val="center"/>
          </w:tcPr>
          <w:p w14:paraId="6A98DAE0">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是否符合服务商申请条件</w:t>
            </w:r>
          </w:p>
        </w:tc>
        <w:tc>
          <w:tcPr>
            <w:tcW w:w="1134" w:type="dxa"/>
            <w:tcBorders>
              <w:top w:val="single" w:color="000000" w:sz="4" w:space="0"/>
              <w:left w:val="single" w:color="000000" w:sz="4" w:space="0"/>
              <w:bottom w:val="single" w:color="000000" w:sz="4" w:space="0"/>
              <w:right w:val="single" w:color="000000" w:sz="4" w:space="0"/>
            </w:tcBorders>
          </w:tcPr>
          <w:p w14:paraId="5095CFDE">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7DF9D480">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245B182E">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p>
        </w:tc>
      </w:tr>
      <w:tr w14:paraId="4C062F08">
        <w:tblPrEx>
          <w:tblCellMar>
            <w:top w:w="88" w:type="dxa"/>
            <w:left w:w="107" w:type="dxa"/>
            <w:bottom w:w="0" w:type="dxa"/>
            <w:right w:w="11" w:type="dxa"/>
          </w:tblCellMar>
        </w:tblPrEx>
        <w:trPr>
          <w:trHeight w:val="721"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18FA700E">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2</w:t>
            </w:r>
          </w:p>
        </w:tc>
        <w:tc>
          <w:tcPr>
            <w:tcW w:w="2127" w:type="dxa"/>
            <w:tcBorders>
              <w:top w:val="single" w:color="000000" w:sz="4" w:space="0"/>
              <w:left w:val="single" w:color="000000" w:sz="4" w:space="0"/>
              <w:bottom w:val="single" w:color="000000" w:sz="4" w:space="0"/>
              <w:right w:val="single" w:color="000000" w:sz="4" w:space="0"/>
            </w:tcBorders>
            <w:vAlign w:val="center"/>
          </w:tcPr>
          <w:p w14:paraId="3B3D1F12">
            <w:pPr>
              <w:keepNext w:val="0"/>
              <w:keepLines w:val="0"/>
              <w:suppressLineNumbers w:val="0"/>
              <w:spacing w:before="0" w:beforeAutospacing="0" w:after="0" w:afterAutospacing="0"/>
              <w:ind w:left="0" w:right="0"/>
              <w:jc w:val="left"/>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响应文件的有效性、完整性</w:t>
            </w:r>
          </w:p>
        </w:tc>
        <w:tc>
          <w:tcPr>
            <w:tcW w:w="3827" w:type="dxa"/>
            <w:tcBorders>
              <w:top w:val="single" w:color="000000" w:sz="4" w:space="0"/>
              <w:left w:val="single" w:color="000000" w:sz="4" w:space="0"/>
              <w:bottom w:val="single" w:color="000000" w:sz="4" w:space="0"/>
              <w:right w:val="single" w:color="000000" w:sz="4" w:space="0"/>
            </w:tcBorders>
            <w:vAlign w:val="center"/>
          </w:tcPr>
          <w:p w14:paraId="0DF4955D">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是否符合磋商文件的式样和签署要求且内容完整无缺漏</w:t>
            </w:r>
          </w:p>
        </w:tc>
        <w:tc>
          <w:tcPr>
            <w:tcW w:w="1134" w:type="dxa"/>
            <w:tcBorders>
              <w:top w:val="single" w:color="000000" w:sz="4" w:space="0"/>
              <w:left w:val="single" w:color="000000" w:sz="4" w:space="0"/>
              <w:bottom w:val="single" w:color="000000" w:sz="4" w:space="0"/>
              <w:right w:val="single" w:color="000000" w:sz="4" w:space="0"/>
            </w:tcBorders>
          </w:tcPr>
          <w:p w14:paraId="01FC6628">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00B53E1C">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4B086CEA">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p>
        </w:tc>
      </w:tr>
      <w:tr w14:paraId="06F0A007">
        <w:tblPrEx>
          <w:tblCellMar>
            <w:top w:w="88" w:type="dxa"/>
            <w:left w:w="107" w:type="dxa"/>
            <w:bottom w:w="0" w:type="dxa"/>
            <w:right w:w="11" w:type="dxa"/>
          </w:tblCellMar>
        </w:tblPrEx>
        <w:trPr>
          <w:trHeight w:val="559" w:hRule="atLeast"/>
          <w:jc w:val="center"/>
        </w:trPr>
        <w:tc>
          <w:tcPr>
            <w:tcW w:w="709" w:type="dxa"/>
            <w:tcBorders>
              <w:top w:val="single" w:color="000000" w:sz="4" w:space="0"/>
              <w:left w:val="single" w:color="000000" w:sz="4" w:space="0"/>
              <w:bottom w:val="single" w:color="000000" w:sz="4" w:space="0"/>
              <w:right w:val="single" w:color="000000" w:sz="4" w:space="0"/>
            </w:tcBorders>
          </w:tcPr>
          <w:p w14:paraId="47C17B16">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3</w:t>
            </w:r>
          </w:p>
        </w:tc>
        <w:tc>
          <w:tcPr>
            <w:tcW w:w="2127" w:type="dxa"/>
            <w:tcBorders>
              <w:top w:val="single" w:color="000000" w:sz="4" w:space="0"/>
              <w:left w:val="single" w:color="000000" w:sz="4" w:space="0"/>
              <w:bottom w:val="single" w:color="000000" w:sz="4" w:space="0"/>
              <w:right w:val="single" w:color="000000" w:sz="4" w:space="0"/>
            </w:tcBorders>
          </w:tcPr>
          <w:p w14:paraId="1182B73B">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磋商响应有效期</w:t>
            </w:r>
          </w:p>
        </w:tc>
        <w:tc>
          <w:tcPr>
            <w:tcW w:w="3827" w:type="dxa"/>
            <w:tcBorders>
              <w:top w:val="single" w:color="000000" w:sz="4" w:space="0"/>
              <w:left w:val="single" w:color="000000" w:sz="4" w:space="0"/>
              <w:bottom w:val="single" w:color="000000" w:sz="4" w:space="0"/>
              <w:right w:val="single" w:color="000000" w:sz="4" w:space="0"/>
            </w:tcBorders>
            <w:vAlign w:val="center"/>
          </w:tcPr>
          <w:p w14:paraId="7C7B928C">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是否满足磋商文件要求</w:t>
            </w:r>
          </w:p>
        </w:tc>
        <w:tc>
          <w:tcPr>
            <w:tcW w:w="1134" w:type="dxa"/>
            <w:tcBorders>
              <w:top w:val="single" w:color="000000" w:sz="4" w:space="0"/>
              <w:left w:val="single" w:color="000000" w:sz="4" w:space="0"/>
              <w:bottom w:val="single" w:color="000000" w:sz="4" w:space="0"/>
              <w:right w:val="single" w:color="000000" w:sz="4" w:space="0"/>
            </w:tcBorders>
          </w:tcPr>
          <w:p w14:paraId="2665E749">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57D449CF">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72994FDA">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p>
        </w:tc>
      </w:tr>
      <w:tr w14:paraId="49B6B377">
        <w:tblPrEx>
          <w:tblCellMar>
            <w:top w:w="88" w:type="dxa"/>
            <w:left w:w="107" w:type="dxa"/>
            <w:bottom w:w="0" w:type="dxa"/>
            <w:right w:w="11" w:type="dxa"/>
          </w:tblCellMar>
        </w:tblPrEx>
        <w:trPr>
          <w:trHeight w:val="437" w:hRule="atLeast"/>
          <w:jc w:val="center"/>
        </w:trPr>
        <w:tc>
          <w:tcPr>
            <w:tcW w:w="709" w:type="dxa"/>
            <w:tcBorders>
              <w:top w:val="single" w:color="000000" w:sz="4" w:space="0"/>
              <w:left w:val="single" w:color="000000" w:sz="4" w:space="0"/>
              <w:bottom w:val="single" w:color="000000" w:sz="4" w:space="0"/>
              <w:right w:val="single" w:color="000000" w:sz="4" w:space="0"/>
            </w:tcBorders>
          </w:tcPr>
          <w:p w14:paraId="1760A37A">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4</w:t>
            </w:r>
          </w:p>
        </w:tc>
        <w:tc>
          <w:tcPr>
            <w:tcW w:w="2127" w:type="dxa"/>
            <w:tcBorders>
              <w:top w:val="single" w:color="000000" w:sz="4" w:space="0"/>
              <w:left w:val="single" w:color="000000" w:sz="4" w:space="0"/>
              <w:bottom w:val="single" w:color="000000" w:sz="4" w:space="0"/>
              <w:right w:val="single" w:color="000000" w:sz="4" w:space="0"/>
            </w:tcBorders>
          </w:tcPr>
          <w:p w14:paraId="5534FA5B">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服务期限   </w:t>
            </w:r>
          </w:p>
        </w:tc>
        <w:tc>
          <w:tcPr>
            <w:tcW w:w="3827" w:type="dxa"/>
            <w:tcBorders>
              <w:top w:val="single" w:color="000000" w:sz="4" w:space="0"/>
              <w:left w:val="single" w:color="000000" w:sz="4" w:space="0"/>
              <w:bottom w:val="single" w:color="000000" w:sz="4" w:space="0"/>
              <w:right w:val="single" w:color="000000" w:sz="4" w:space="0"/>
            </w:tcBorders>
            <w:vAlign w:val="center"/>
          </w:tcPr>
          <w:p w14:paraId="083C2100">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是否满足磋商文件要求</w:t>
            </w:r>
          </w:p>
        </w:tc>
        <w:tc>
          <w:tcPr>
            <w:tcW w:w="1134" w:type="dxa"/>
            <w:tcBorders>
              <w:top w:val="single" w:color="000000" w:sz="4" w:space="0"/>
              <w:left w:val="single" w:color="000000" w:sz="4" w:space="0"/>
              <w:bottom w:val="single" w:color="000000" w:sz="4" w:space="0"/>
              <w:right w:val="single" w:color="000000" w:sz="4" w:space="0"/>
            </w:tcBorders>
          </w:tcPr>
          <w:p w14:paraId="1DA966F7">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57A357AA">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71BFAC89">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p>
        </w:tc>
      </w:tr>
      <w:tr w14:paraId="0C7CFA40">
        <w:tblPrEx>
          <w:tblCellMar>
            <w:top w:w="88" w:type="dxa"/>
            <w:left w:w="107" w:type="dxa"/>
            <w:bottom w:w="0" w:type="dxa"/>
            <w:right w:w="11" w:type="dxa"/>
          </w:tblCellMar>
        </w:tblPrEx>
        <w:trPr>
          <w:trHeight w:val="554" w:hRule="atLeast"/>
          <w:jc w:val="center"/>
        </w:trPr>
        <w:tc>
          <w:tcPr>
            <w:tcW w:w="709" w:type="dxa"/>
            <w:tcBorders>
              <w:top w:val="single" w:color="000000" w:sz="4" w:space="0"/>
              <w:left w:val="single" w:color="000000" w:sz="4" w:space="0"/>
              <w:bottom w:val="single" w:color="000000" w:sz="4" w:space="0"/>
              <w:right w:val="single" w:color="000000" w:sz="4" w:space="0"/>
            </w:tcBorders>
          </w:tcPr>
          <w:p w14:paraId="011FF3EB">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5</w:t>
            </w:r>
          </w:p>
        </w:tc>
        <w:tc>
          <w:tcPr>
            <w:tcW w:w="2127" w:type="dxa"/>
            <w:tcBorders>
              <w:top w:val="single" w:color="000000" w:sz="4" w:space="0"/>
              <w:left w:val="single" w:color="000000" w:sz="4" w:space="0"/>
              <w:bottom w:val="single" w:color="000000" w:sz="4" w:space="0"/>
              <w:right w:val="single" w:color="000000" w:sz="4" w:space="0"/>
            </w:tcBorders>
          </w:tcPr>
          <w:p w14:paraId="32B73545">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其它</w:t>
            </w:r>
          </w:p>
        </w:tc>
        <w:tc>
          <w:tcPr>
            <w:tcW w:w="3827" w:type="dxa"/>
            <w:tcBorders>
              <w:top w:val="single" w:color="000000" w:sz="4" w:space="0"/>
              <w:left w:val="single" w:color="000000" w:sz="4" w:space="0"/>
              <w:bottom w:val="single" w:color="000000" w:sz="4" w:space="0"/>
              <w:right w:val="single" w:color="000000" w:sz="4" w:space="0"/>
            </w:tcBorders>
          </w:tcPr>
          <w:p w14:paraId="383E2C82">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无其它无效响应认定条件</w:t>
            </w:r>
          </w:p>
        </w:tc>
        <w:tc>
          <w:tcPr>
            <w:tcW w:w="1134" w:type="dxa"/>
            <w:tcBorders>
              <w:top w:val="single" w:color="000000" w:sz="4" w:space="0"/>
              <w:left w:val="single" w:color="000000" w:sz="4" w:space="0"/>
              <w:bottom w:val="single" w:color="000000" w:sz="4" w:space="0"/>
              <w:right w:val="single" w:color="000000" w:sz="4" w:space="0"/>
            </w:tcBorders>
          </w:tcPr>
          <w:p w14:paraId="22C74778">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170119D3">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739D61DA">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p>
        </w:tc>
      </w:tr>
      <w:tr w14:paraId="2CD38436">
        <w:tblPrEx>
          <w:tblCellMar>
            <w:top w:w="88" w:type="dxa"/>
            <w:left w:w="107" w:type="dxa"/>
            <w:bottom w:w="0" w:type="dxa"/>
            <w:right w:w="11" w:type="dxa"/>
          </w:tblCellMar>
        </w:tblPrEx>
        <w:trPr>
          <w:trHeight w:val="509" w:hRule="atLeast"/>
          <w:jc w:val="center"/>
        </w:trPr>
        <w:tc>
          <w:tcPr>
            <w:tcW w:w="709" w:type="dxa"/>
            <w:tcBorders>
              <w:top w:val="single" w:color="000000" w:sz="4" w:space="0"/>
              <w:left w:val="single" w:color="000000" w:sz="4" w:space="0"/>
              <w:bottom w:val="single" w:color="000000" w:sz="4" w:space="0"/>
              <w:right w:val="nil"/>
            </w:tcBorders>
          </w:tcPr>
          <w:p w14:paraId="046151AB">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p>
        </w:tc>
        <w:tc>
          <w:tcPr>
            <w:tcW w:w="5954" w:type="dxa"/>
            <w:gridSpan w:val="2"/>
            <w:tcBorders>
              <w:top w:val="single" w:color="000000" w:sz="4" w:space="0"/>
              <w:left w:val="nil"/>
              <w:bottom w:val="single" w:color="000000" w:sz="4" w:space="0"/>
              <w:right w:val="single" w:color="000000" w:sz="4" w:space="0"/>
            </w:tcBorders>
            <w:vAlign w:val="center"/>
          </w:tcPr>
          <w:p w14:paraId="250736EF">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结</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t>论</w:t>
            </w:r>
          </w:p>
        </w:tc>
        <w:tc>
          <w:tcPr>
            <w:tcW w:w="1134" w:type="dxa"/>
            <w:tcBorders>
              <w:top w:val="single" w:color="000000" w:sz="4" w:space="0"/>
              <w:left w:val="single" w:color="000000" w:sz="4" w:space="0"/>
              <w:bottom w:val="single" w:color="000000" w:sz="4" w:space="0"/>
              <w:right w:val="single" w:color="000000" w:sz="4" w:space="0"/>
            </w:tcBorders>
          </w:tcPr>
          <w:p w14:paraId="01855511">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7BC487B0">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480FF91A">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p>
        </w:tc>
      </w:tr>
    </w:tbl>
    <w:p w14:paraId="360FF311">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1.表中只需填写“√/通过”或“×/不通过”。</w:t>
      </w:r>
    </w:p>
    <w:p w14:paraId="457FB40F">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2.在结论中按“一项否决”的原则，只有全部是√/通过的，填写“合格”；只要其中有一项是×/不通过的，填写“不合格”。</w:t>
      </w:r>
    </w:p>
    <w:p w14:paraId="59DF003B">
      <w:pPr>
        <w:spacing w:line="360" w:lineRule="auto"/>
        <w:ind w:left="13" w:hanging="12" w:hangingChars="4"/>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3.结论是合格的，才能进入下一轮；不合格的被淘汰。</w:t>
      </w:r>
    </w:p>
    <w:p w14:paraId="49FA250C">
      <w:pP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p>
    <w:p w14:paraId="4404C302">
      <w:pPr>
        <w:spacing w:line="276" w:lineRule="auto"/>
        <w:jc w:val="center"/>
        <w:rPr>
          <w:rFonts w:ascii="仿宋" w:hAnsi="仿宋" w:eastAsia="仿宋" w:cs="仿宋"/>
          <w:color w:val="auto"/>
          <w:kern w:val="2"/>
          <w:sz w:val="32"/>
          <w:szCs w:val="32"/>
          <w:highlight w:val="none"/>
        </w:rPr>
      </w:pPr>
      <w:r>
        <w:rPr>
          <w:rFonts w:hint="eastAsia" w:ascii="仿宋" w:hAnsi="仿宋" w:eastAsia="仿宋" w:cs="仿宋"/>
          <w:b/>
          <w:color w:val="auto"/>
          <w:position w:val="2"/>
          <w:sz w:val="32"/>
          <w:szCs w:val="32"/>
          <w:highlight w:val="none"/>
        </w:rPr>
        <w:t>附表2：评分细则表</w:t>
      </w:r>
    </w:p>
    <w:p w14:paraId="24033008">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color w:val="auto"/>
          <w:kern w:val="2"/>
          <w:sz w:val="32"/>
          <w:szCs w:val="32"/>
          <w:highlight w:val="none"/>
        </w:rPr>
        <w:t>项目名称：</w:t>
      </w:r>
      <w:r>
        <w:rPr>
          <w:rFonts w:hint="eastAsia" w:ascii="仿宋" w:hAnsi="仿宋" w:eastAsia="仿宋" w:cs="仿宋"/>
          <w:b w:val="0"/>
          <w:bCs/>
          <w:color w:val="auto"/>
          <w:sz w:val="32"/>
          <w:szCs w:val="32"/>
          <w:highlight w:val="none"/>
          <w:lang w:val="en-US" w:eastAsia="zh-CN"/>
        </w:rPr>
        <w:t>2026年学生消防应急疏散与灭火演练项目</w:t>
      </w:r>
    </w:p>
    <w:p w14:paraId="0977027B">
      <w:pP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项目编</w:t>
      </w:r>
      <w:r>
        <w:rPr>
          <w:rFonts w:hint="eastAsia" w:ascii="仿宋" w:hAnsi="仿宋" w:eastAsia="仿宋" w:cs="仿宋"/>
          <w:bCs/>
          <w:color w:val="auto"/>
          <w:kern w:val="0"/>
          <w:sz w:val="32"/>
          <w:szCs w:val="32"/>
          <w:highlight w:val="none"/>
          <w:lang w:val="en-US" w:eastAsia="zh-CN" w:bidi="ar-SA"/>
        </w:rPr>
        <w:t>号：</w:t>
      </w:r>
      <w:r>
        <w:rPr>
          <w:rFonts w:hint="eastAsia" w:ascii="仿宋" w:hAnsi="仿宋" w:eastAsia="仿宋" w:cs="仿宋"/>
          <w:color w:val="auto"/>
          <w:sz w:val="32"/>
          <w:szCs w:val="32"/>
          <w:highlight w:val="none"/>
        </w:rPr>
        <w:t>HNWJY-FW202600</w:t>
      </w:r>
      <w:r>
        <w:rPr>
          <w:rFonts w:hint="eastAsia" w:ascii="仿宋" w:hAnsi="仿宋" w:eastAsia="仿宋" w:cs="仿宋"/>
          <w:color w:val="auto"/>
          <w:sz w:val="32"/>
          <w:szCs w:val="32"/>
          <w:highlight w:val="none"/>
          <w:lang w:val="en-US" w:eastAsia="zh-CN"/>
        </w:rPr>
        <w:t>5</w:t>
      </w:r>
    </w:p>
    <w:tbl>
      <w:tblPr>
        <w:tblStyle w:val="25"/>
        <w:tblW w:w="57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8"/>
        <w:gridCol w:w="1381"/>
        <w:gridCol w:w="6956"/>
        <w:gridCol w:w="1080"/>
      </w:tblGrid>
      <w:tr w14:paraId="67F3E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363" w:type="pct"/>
            <w:noWrap w:val="0"/>
            <w:tcMar>
              <w:top w:w="15" w:type="dxa"/>
              <w:left w:w="15" w:type="dxa"/>
              <w:right w:w="15" w:type="dxa"/>
            </w:tcMar>
            <w:vAlign w:val="center"/>
          </w:tcPr>
          <w:p w14:paraId="3C428D9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序号</w:t>
            </w:r>
          </w:p>
        </w:tc>
        <w:tc>
          <w:tcPr>
            <w:tcW w:w="679" w:type="pct"/>
            <w:noWrap w:val="0"/>
            <w:tcMar>
              <w:top w:w="15" w:type="dxa"/>
              <w:left w:w="15" w:type="dxa"/>
              <w:right w:w="15" w:type="dxa"/>
            </w:tcMar>
            <w:vAlign w:val="center"/>
          </w:tcPr>
          <w:p w14:paraId="73A0E7B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评分因素</w:t>
            </w:r>
          </w:p>
        </w:tc>
        <w:tc>
          <w:tcPr>
            <w:tcW w:w="3424" w:type="pct"/>
            <w:noWrap w:val="0"/>
            <w:tcMar>
              <w:top w:w="15" w:type="dxa"/>
              <w:left w:w="15" w:type="dxa"/>
              <w:right w:w="15" w:type="dxa"/>
            </w:tcMar>
            <w:vAlign w:val="center"/>
          </w:tcPr>
          <w:p w14:paraId="113DD0A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评审标准</w:t>
            </w:r>
          </w:p>
        </w:tc>
        <w:tc>
          <w:tcPr>
            <w:tcW w:w="531" w:type="pct"/>
            <w:noWrap w:val="0"/>
            <w:tcMar>
              <w:top w:w="15" w:type="dxa"/>
              <w:left w:w="15" w:type="dxa"/>
              <w:right w:w="15" w:type="dxa"/>
            </w:tcMar>
            <w:vAlign w:val="center"/>
          </w:tcPr>
          <w:p w14:paraId="5EF71D1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分数</w:t>
            </w:r>
          </w:p>
        </w:tc>
      </w:tr>
      <w:tr w14:paraId="31580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8" w:hRule="atLeast"/>
          <w:jc w:val="center"/>
        </w:trPr>
        <w:tc>
          <w:tcPr>
            <w:tcW w:w="363" w:type="pct"/>
            <w:noWrap w:val="0"/>
            <w:tcMar>
              <w:top w:w="15" w:type="dxa"/>
              <w:left w:w="15" w:type="dxa"/>
              <w:right w:w="15" w:type="dxa"/>
            </w:tcMar>
            <w:vAlign w:val="center"/>
          </w:tcPr>
          <w:p w14:paraId="2054AA9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w:t>
            </w:r>
          </w:p>
        </w:tc>
        <w:tc>
          <w:tcPr>
            <w:tcW w:w="679" w:type="pct"/>
            <w:noWrap w:val="0"/>
            <w:tcMar>
              <w:top w:w="15" w:type="dxa"/>
              <w:left w:w="15" w:type="dxa"/>
              <w:right w:w="15" w:type="dxa"/>
            </w:tcMar>
            <w:vAlign w:val="center"/>
          </w:tcPr>
          <w:p w14:paraId="29ED363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投标报价</w:t>
            </w:r>
          </w:p>
          <w:p w14:paraId="723B1A6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（满分</w:t>
            </w:r>
            <w:r>
              <w:rPr>
                <w:rFonts w:hint="eastAsia" w:ascii="仿宋" w:hAnsi="仿宋" w:eastAsia="仿宋" w:cs="仿宋"/>
                <w:color w:val="auto"/>
                <w:kern w:val="0"/>
                <w:sz w:val="32"/>
                <w:szCs w:val="32"/>
                <w:highlight w:val="none"/>
                <w:lang w:val="en-US" w:eastAsia="zh-CN"/>
              </w:rPr>
              <w:t>2</w:t>
            </w:r>
            <w:r>
              <w:rPr>
                <w:rFonts w:hint="eastAsia" w:ascii="仿宋" w:hAnsi="仿宋" w:eastAsia="仿宋" w:cs="仿宋"/>
                <w:color w:val="auto"/>
                <w:kern w:val="0"/>
                <w:sz w:val="32"/>
                <w:szCs w:val="32"/>
                <w:highlight w:val="none"/>
              </w:rPr>
              <w:t>0分）</w:t>
            </w:r>
          </w:p>
        </w:tc>
        <w:tc>
          <w:tcPr>
            <w:tcW w:w="3424" w:type="pct"/>
            <w:noWrap w:val="0"/>
            <w:tcMar>
              <w:top w:w="15" w:type="dxa"/>
              <w:left w:w="15" w:type="dxa"/>
              <w:right w:w="15" w:type="dxa"/>
            </w:tcMar>
            <w:vAlign w:val="center"/>
          </w:tcPr>
          <w:p w14:paraId="313B67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 xml:space="preserve">综合评分法中的价格分统一采用低价优先法计算，即满足磋商文件要求且最后报价最低的供应商的价格为磋商基准价，其价格分为满分10分。其他供应商的价格分统一按照下列公式计算：磋商报价得分=磋商报价得分=(基准价／最终报价)×价格权值×100 </w:t>
            </w:r>
          </w:p>
        </w:tc>
        <w:tc>
          <w:tcPr>
            <w:tcW w:w="531" w:type="pct"/>
            <w:noWrap w:val="0"/>
            <w:tcMar>
              <w:top w:w="15" w:type="dxa"/>
              <w:left w:w="15" w:type="dxa"/>
              <w:right w:w="15" w:type="dxa"/>
            </w:tcMar>
            <w:vAlign w:val="center"/>
          </w:tcPr>
          <w:p w14:paraId="03895D4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仿宋" w:hAnsi="仿宋" w:eastAsia="仿宋" w:cs="仿宋"/>
                <w:color w:val="auto"/>
                <w:kern w:val="0"/>
                <w:sz w:val="32"/>
                <w:szCs w:val="32"/>
                <w:highlight w:val="none"/>
                <w:lang w:val="en-US" w:eastAsia="zh-CN"/>
              </w:rPr>
            </w:pPr>
            <w:r>
              <w:rPr>
                <w:rFonts w:hint="default" w:ascii="仿宋" w:hAnsi="仿宋" w:eastAsia="仿宋" w:cs="仿宋"/>
                <w:color w:val="auto"/>
                <w:kern w:val="0"/>
                <w:sz w:val="32"/>
                <w:szCs w:val="32"/>
                <w:highlight w:val="none"/>
                <w:lang w:val="en-US"/>
              </w:rPr>
              <mc:AlternateContent>
                <mc:Choice Requires="wps">
                  <w:drawing>
                    <wp:anchor distT="0" distB="0" distL="114300" distR="114300" simplePos="0" relativeHeight="251664384" behindDoc="0" locked="0" layoutInCell="1" allowOverlap="1">
                      <wp:simplePos x="0" y="0"/>
                      <wp:positionH relativeFrom="page">
                        <wp:posOffset>869315</wp:posOffset>
                      </wp:positionH>
                      <wp:positionV relativeFrom="paragraph">
                        <wp:posOffset>-226695</wp:posOffset>
                      </wp:positionV>
                      <wp:extent cx="2245995" cy="12839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245995" cy="1283970"/>
                              </a:xfrm>
                              <a:prstGeom prst="rect">
                                <a:avLst/>
                              </a:prstGeom>
                              <a:noFill/>
                              <a:ln>
                                <a:noFill/>
                              </a:ln>
                            </wps:spPr>
                            <wps:txbx>
                              <w:txbxContent>
                                <w:p w14:paraId="5425E390"/>
                              </w:txbxContent>
                            </wps:txbx>
                            <wps:bodyPr lIns="0" tIns="0" rIns="0" bIns="0" upright="1"/>
                          </wps:wsp>
                        </a:graphicData>
                      </a:graphic>
                    </wp:anchor>
                  </w:drawing>
                </mc:Choice>
                <mc:Fallback>
                  <w:pict>
                    <v:shape id="_x0000_s1026" o:spid="_x0000_s1026" o:spt="202" type="#_x0000_t202" style="position:absolute;left:0pt;margin-left:68.45pt;margin-top:-17.85pt;height:101.1pt;width:176.85pt;mso-position-horizontal-relative:page;z-index:251664384;mso-width-relative:page;mso-height-relative:page;" filled="f" stroked="f" coordsize="21600,21600" o:gfxdata="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HWPXm2QAAAAsBAAAPAAAAAAAAAAEAIAAAACIAAABkcnMvZG93bnJldi54bWxQ&#10;SwECFAAUAAAACACHTuJAvOoWvr0BAABzAwAADgAAAAAAAAABACAAAAAoAQAAZHJzL2Uyb0RvYy54&#10;bWxQSwUGAAAAAAYABgBZAQAAVwUAAAAA&#10;">
                      <v:fill on="f" focussize="0,0"/>
                      <v:stroke on="f"/>
                      <v:imagedata o:title=""/>
                      <o:lock v:ext="edit" aspectratio="f"/>
                      <v:textbox inset="0mm,0mm,0mm,0mm">
                        <w:txbxContent>
                          <w:p w14:paraId="5425E390"/>
                        </w:txbxContent>
                      </v:textbox>
                    </v:shape>
                  </w:pict>
                </mc:Fallback>
              </mc:AlternateContent>
            </w:r>
            <w:r>
              <w:rPr>
                <w:rFonts w:hint="eastAsia" w:ascii="仿宋" w:hAnsi="仿宋" w:eastAsia="仿宋" w:cs="仿宋"/>
                <w:color w:val="auto"/>
                <w:kern w:val="0"/>
                <w:sz w:val="32"/>
                <w:szCs w:val="32"/>
                <w:highlight w:val="none"/>
                <w:lang w:val="en-US" w:eastAsia="zh-CN"/>
              </w:rPr>
              <w:t>20</w:t>
            </w:r>
          </w:p>
        </w:tc>
      </w:tr>
      <w:tr w14:paraId="00D59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jc w:val="center"/>
        </w:trPr>
        <w:tc>
          <w:tcPr>
            <w:tcW w:w="363" w:type="pct"/>
            <w:noWrap w:val="0"/>
            <w:tcMar>
              <w:top w:w="15" w:type="dxa"/>
              <w:left w:w="15" w:type="dxa"/>
              <w:right w:w="15" w:type="dxa"/>
            </w:tcMar>
            <w:vAlign w:val="center"/>
          </w:tcPr>
          <w:p w14:paraId="7C83ED0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2</w:t>
            </w:r>
          </w:p>
        </w:tc>
        <w:tc>
          <w:tcPr>
            <w:tcW w:w="679" w:type="pct"/>
            <w:noWrap w:val="0"/>
            <w:tcMar>
              <w:top w:w="15" w:type="dxa"/>
              <w:left w:w="15" w:type="dxa"/>
              <w:right w:w="15" w:type="dxa"/>
            </w:tcMar>
            <w:vAlign w:val="center"/>
          </w:tcPr>
          <w:p w14:paraId="0E850CD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rPr>
              <w:t>业绩</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满分20分）</w:t>
            </w:r>
          </w:p>
        </w:tc>
        <w:tc>
          <w:tcPr>
            <w:tcW w:w="3424" w:type="pct"/>
            <w:noWrap w:val="0"/>
            <w:tcMar>
              <w:top w:w="15" w:type="dxa"/>
              <w:left w:w="15" w:type="dxa"/>
              <w:right w:w="15" w:type="dxa"/>
            </w:tcMar>
            <w:vAlign w:val="center"/>
          </w:tcPr>
          <w:p w14:paraId="556B61E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供应商提供近三年内（2023年1月1日至今）学校类消防演练或消防安全培训项目案例合同，每提供一个得</w:t>
            </w:r>
            <w:r>
              <w:rPr>
                <w:rFonts w:hint="eastAsia" w:ascii="仿宋" w:hAnsi="仿宋" w:eastAsia="仿宋" w:cs="仿宋"/>
                <w:color w:val="auto"/>
                <w:kern w:val="0"/>
                <w:sz w:val="32"/>
                <w:szCs w:val="32"/>
                <w:highlight w:val="none"/>
                <w:lang w:val="en-US" w:eastAsia="zh-CN"/>
              </w:rPr>
              <w:t>5</w:t>
            </w:r>
            <w:r>
              <w:rPr>
                <w:rFonts w:hint="eastAsia" w:ascii="仿宋" w:hAnsi="仿宋" w:eastAsia="仿宋" w:cs="仿宋"/>
                <w:color w:val="auto"/>
                <w:kern w:val="0"/>
                <w:sz w:val="32"/>
                <w:szCs w:val="32"/>
                <w:highlight w:val="none"/>
              </w:rPr>
              <w:t>分，满分</w:t>
            </w:r>
            <w:r>
              <w:rPr>
                <w:rFonts w:hint="eastAsia" w:ascii="仿宋" w:hAnsi="仿宋" w:eastAsia="仿宋" w:cs="仿宋"/>
                <w:color w:val="auto"/>
                <w:kern w:val="0"/>
                <w:sz w:val="32"/>
                <w:szCs w:val="32"/>
                <w:highlight w:val="none"/>
                <w:lang w:val="en-US" w:eastAsia="zh-CN"/>
              </w:rPr>
              <w:t>2</w:t>
            </w:r>
            <w:r>
              <w:rPr>
                <w:rFonts w:hint="eastAsia" w:ascii="仿宋" w:hAnsi="仿宋" w:eastAsia="仿宋" w:cs="仿宋"/>
                <w:color w:val="auto"/>
                <w:kern w:val="0"/>
                <w:sz w:val="32"/>
                <w:szCs w:val="32"/>
                <w:highlight w:val="none"/>
              </w:rPr>
              <w:t>0分。（需提供合同复印件并加盖公章，否则不得分）</w:t>
            </w:r>
          </w:p>
        </w:tc>
        <w:tc>
          <w:tcPr>
            <w:tcW w:w="531" w:type="pct"/>
            <w:noWrap w:val="0"/>
            <w:tcMar>
              <w:top w:w="15" w:type="dxa"/>
              <w:left w:w="15" w:type="dxa"/>
              <w:right w:w="15" w:type="dxa"/>
            </w:tcMar>
            <w:vAlign w:val="center"/>
          </w:tcPr>
          <w:p w14:paraId="71B3FBB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2</w:t>
            </w:r>
            <w:r>
              <w:rPr>
                <w:rFonts w:hint="eastAsia" w:ascii="仿宋" w:hAnsi="仿宋" w:eastAsia="仿宋" w:cs="仿宋"/>
                <w:color w:val="auto"/>
                <w:kern w:val="0"/>
                <w:sz w:val="32"/>
                <w:szCs w:val="32"/>
                <w:highlight w:val="none"/>
              </w:rPr>
              <w:t>0</w:t>
            </w:r>
          </w:p>
        </w:tc>
      </w:tr>
      <w:tr w14:paraId="45B59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2" w:hRule="atLeast"/>
          <w:jc w:val="center"/>
        </w:trPr>
        <w:tc>
          <w:tcPr>
            <w:tcW w:w="363" w:type="pct"/>
            <w:vMerge w:val="restart"/>
            <w:noWrap w:val="0"/>
            <w:tcMar>
              <w:top w:w="15" w:type="dxa"/>
              <w:left w:w="15" w:type="dxa"/>
              <w:right w:w="15" w:type="dxa"/>
            </w:tcMar>
            <w:vAlign w:val="center"/>
          </w:tcPr>
          <w:p w14:paraId="24C4F17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3</w:t>
            </w:r>
          </w:p>
        </w:tc>
        <w:tc>
          <w:tcPr>
            <w:tcW w:w="679" w:type="pct"/>
            <w:vMerge w:val="restart"/>
            <w:noWrap w:val="0"/>
            <w:tcMar>
              <w:top w:w="15" w:type="dxa"/>
              <w:left w:w="15" w:type="dxa"/>
              <w:right w:w="15" w:type="dxa"/>
            </w:tcMar>
            <w:vAlign w:val="center"/>
          </w:tcPr>
          <w:p w14:paraId="051C20D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技术分</w:t>
            </w:r>
          </w:p>
          <w:p w14:paraId="62A3F47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（满分</w:t>
            </w:r>
            <w:r>
              <w:rPr>
                <w:rFonts w:hint="eastAsia" w:ascii="仿宋" w:hAnsi="仿宋" w:eastAsia="仿宋" w:cs="仿宋"/>
                <w:color w:val="auto"/>
                <w:kern w:val="0"/>
                <w:sz w:val="32"/>
                <w:szCs w:val="32"/>
                <w:highlight w:val="none"/>
                <w:lang w:val="en-US" w:eastAsia="zh-CN"/>
              </w:rPr>
              <w:t>6</w:t>
            </w:r>
            <w:r>
              <w:rPr>
                <w:rFonts w:hint="eastAsia" w:ascii="仿宋" w:hAnsi="仿宋" w:eastAsia="仿宋" w:cs="仿宋"/>
                <w:color w:val="auto"/>
                <w:kern w:val="0"/>
                <w:sz w:val="32"/>
                <w:szCs w:val="32"/>
                <w:highlight w:val="none"/>
              </w:rPr>
              <w:t>0分）</w:t>
            </w:r>
          </w:p>
        </w:tc>
        <w:tc>
          <w:tcPr>
            <w:tcW w:w="3424" w:type="pct"/>
            <w:noWrap w:val="0"/>
            <w:tcMar>
              <w:top w:w="15" w:type="dxa"/>
              <w:left w:w="15" w:type="dxa"/>
              <w:right w:w="15" w:type="dxa"/>
            </w:tcMar>
            <w:vAlign w:val="center"/>
          </w:tcPr>
          <w:p w14:paraId="49BF86D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（1）演练活动策划方案（</w:t>
            </w:r>
            <w:r>
              <w:rPr>
                <w:rFonts w:hint="eastAsia" w:ascii="仿宋" w:hAnsi="仿宋" w:eastAsia="仿宋" w:cs="仿宋"/>
                <w:color w:val="auto"/>
                <w:kern w:val="0"/>
                <w:sz w:val="32"/>
                <w:szCs w:val="32"/>
                <w:highlight w:val="none"/>
                <w:lang w:val="en-US" w:eastAsia="zh-CN"/>
              </w:rPr>
              <w:t>20</w:t>
            </w:r>
            <w:r>
              <w:rPr>
                <w:rFonts w:hint="eastAsia" w:ascii="仿宋" w:hAnsi="仿宋" w:eastAsia="仿宋" w:cs="仿宋"/>
                <w:color w:val="auto"/>
                <w:kern w:val="0"/>
                <w:sz w:val="32"/>
                <w:szCs w:val="32"/>
                <w:highlight w:val="none"/>
              </w:rPr>
              <w:t>分）</w:t>
            </w:r>
            <w:r>
              <w:rPr>
                <w:rFonts w:hint="default" w:ascii="仿宋" w:hAnsi="仿宋" w:eastAsia="仿宋" w:cs="仿宋"/>
                <w:color w:val="auto"/>
                <w:kern w:val="0"/>
                <w:sz w:val="32"/>
                <w:szCs w:val="32"/>
                <w:highlight w:val="none"/>
              </w:rPr>
              <w:br w:type="textWrapping"/>
            </w:r>
            <w:r>
              <w:rPr>
                <w:rFonts w:hint="default" w:ascii="仿宋" w:hAnsi="仿宋" w:eastAsia="仿宋" w:cs="仿宋"/>
                <w:color w:val="auto"/>
                <w:kern w:val="0"/>
                <w:sz w:val="32"/>
                <w:szCs w:val="32"/>
                <w:highlight w:val="none"/>
              </w:rPr>
              <w:t>根据供应商提供的学生消防应急疏散与灭火演练策划方案的完整性、科学性、可操作性进行综合评价：</w:t>
            </w:r>
            <w:r>
              <w:rPr>
                <w:rFonts w:hint="default" w:ascii="仿宋" w:hAnsi="仿宋" w:eastAsia="仿宋" w:cs="仿宋"/>
                <w:color w:val="auto"/>
                <w:kern w:val="0"/>
                <w:sz w:val="32"/>
                <w:szCs w:val="32"/>
                <w:highlight w:val="none"/>
              </w:rPr>
              <w:br w:type="textWrapping"/>
            </w:r>
            <w:r>
              <w:rPr>
                <w:rFonts w:hint="default" w:ascii="仿宋" w:hAnsi="仿宋" w:eastAsia="仿宋" w:cs="仿宋"/>
                <w:color w:val="auto"/>
                <w:kern w:val="0"/>
                <w:sz w:val="32"/>
                <w:szCs w:val="32"/>
                <w:highlight w:val="none"/>
              </w:rPr>
              <w:t>方案内容全面（含演练目的、组织架构、情景设置、疏散路线、集合区域、流程设计、安全保障、评估标准等）、流程科学合理、情景设计逼真、针对性强得</w:t>
            </w:r>
            <w:r>
              <w:rPr>
                <w:rFonts w:hint="eastAsia" w:ascii="仿宋" w:hAnsi="仿宋" w:eastAsia="仿宋" w:cs="仿宋"/>
                <w:color w:val="auto"/>
                <w:kern w:val="0"/>
                <w:sz w:val="32"/>
                <w:szCs w:val="32"/>
                <w:highlight w:val="none"/>
                <w:lang w:val="en-US" w:eastAsia="zh-CN"/>
              </w:rPr>
              <w:t>20</w:t>
            </w:r>
            <w:r>
              <w:rPr>
                <w:rFonts w:hint="default" w:ascii="仿宋" w:hAnsi="仿宋" w:eastAsia="仿宋" w:cs="仿宋"/>
                <w:color w:val="auto"/>
                <w:kern w:val="0"/>
                <w:sz w:val="32"/>
                <w:szCs w:val="32"/>
                <w:highlight w:val="none"/>
              </w:rPr>
              <w:t>分；</w:t>
            </w:r>
            <w:r>
              <w:rPr>
                <w:rFonts w:hint="default" w:ascii="仿宋" w:hAnsi="仿宋" w:eastAsia="仿宋" w:cs="仿宋"/>
                <w:color w:val="auto"/>
                <w:kern w:val="0"/>
                <w:sz w:val="32"/>
                <w:szCs w:val="32"/>
                <w:highlight w:val="none"/>
              </w:rPr>
              <w:br w:type="textWrapping"/>
            </w:r>
            <w:r>
              <w:rPr>
                <w:rFonts w:hint="default" w:ascii="仿宋" w:hAnsi="仿宋" w:eastAsia="仿宋" w:cs="仿宋"/>
                <w:color w:val="auto"/>
                <w:kern w:val="0"/>
                <w:sz w:val="32"/>
                <w:szCs w:val="32"/>
                <w:highlight w:val="none"/>
              </w:rPr>
              <w:t>方案较为完整、有一定的针对性和可操作性得1</w:t>
            </w:r>
            <w:r>
              <w:rPr>
                <w:rFonts w:hint="eastAsia" w:ascii="仿宋" w:hAnsi="仿宋" w:eastAsia="仿宋" w:cs="仿宋"/>
                <w:color w:val="auto"/>
                <w:kern w:val="0"/>
                <w:sz w:val="32"/>
                <w:szCs w:val="32"/>
                <w:highlight w:val="none"/>
                <w:lang w:val="en-US" w:eastAsia="zh-CN"/>
              </w:rPr>
              <w:t>5</w:t>
            </w:r>
            <w:r>
              <w:rPr>
                <w:rFonts w:hint="default" w:ascii="仿宋" w:hAnsi="仿宋" w:eastAsia="仿宋" w:cs="仿宋"/>
                <w:color w:val="auto"/>
                <w:kern w:val="0"/>
                <w:sz w:val="32"/>
                <w:szCs w:val="32"/>
                <w:highlight w:val="none"/>
              </w:rPr>
              <w:t>分；</w:t>
            </w:r>
            <w:r>
              <w:rPr>
                <w:rFonts w:hint="default" w:ascii="仿宋" w:hAnsi="仿宋" w:eastAsia="仿宋" w:cs="仿宋"/>
                <w:color w:val="auto"/>
                <w:kern w:val="0"/>
                <w:sz w:val="32"/>
                <w:szCs w:val="32"/>
                <w:highlight w:val="none"/>
              </w:rPr>
              <w:br w:type="textWrapping"/>
            </w:r>
            <w:r>
              <w:rPr>
                <w:rFonts w:hint="default" w:ascii="仿宋" w:hAnsi="仿宋" w:eastAsia="仿宋" w:cs="仿宋"/>
                <w:color w:val="auto"/>
                <w:kern w:val="0"/>
                <w:sz w:val="32"/>
                <w:szCs w:val="32"/>
                <w:highlight w:val="none"/>
              </w:rPr>
              <w:t>方案简单、缺乏针对性、可操作性差得</w:t>
            </w:r>
            <w:r>
              <w:rPr>
                <w:rFonts w:hint="eastAsia" w:ascii="仿宋" w:hAnsi="仿宋" w:eastAsia="仿宋" w:cs="仿宋"/>
                <w:color w:val="auto"/>
                <w:kern w:val="0"/>
                <w:sz w:val="32"/>
                <w:szCs w:val="32"/>
                <w:highlight w:val="none"/>
                <w:lang w:val="en-US" w:eastAsia="zh-CN"/>
              </w:rPr>
              <w:t>7</w:t>
            </w:r>
            <w:r>
              <w:rPr>
                <w:rFonts w:hint="default" w:ascii="仿宋" w:hAnsi="仿宋" w:eastAsia="仿宋" w:cs="仿宋"/>
                <w:color w:val="auto"/>
                <w:kern w:val="0"/>
                <w:sz w:val="32"/>
                <w:szCs w:val="32"/>
                <w:highlight w:val="none"/>
              </w:rPr>
              <w:t>分。</w:t>
            </w:r>
          </w:p>
        </w:tc>
        <w:tc>
          <w:tcPr>
            <w:tcW w:w="531" w:type="pct"/>
            <w:noWrap w:val="0"/>
            <w:tcMar>
              <w:top w:w="15" w:type="dxa"/>
              <w:left w:w="15" w:type="dxa"/>
              <w:right w:w="15" w:type="dxa"/>
            </w:tcMar>
            <w:vAlign w:val="center"/>
          </w:tcPr>
          <w:p w14:paraId="5DF2777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20</w:t>
            </w:r>
          </w:p>
        </w:tc>
      </w:tr>
      <w:tr w14:paraId="349CC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8" w:hRule="atLeast"/>
          <w:jc w:val="center"/>
        </w:trPr>
        <w:tc>
          <w:tcPr>
            <w:tcW w:w="363" w:type="pct"/>
            <w:vMerge w:val="continue"/>
            <w:noWrap w:val="0"/>
            <w:tcMar>
              <w:top w:w="15" w:type="dxa"/>
              <w:left w:w="15" w:type="dxa"/>
              <w:right w:w="15" w:type="dxa"/>
            </w:tcMar>
            <w:vAlign w:val="center"/>
          </w:tcPr>
          <w:p w14:paraId="6C93767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rPr>
            </w:pPr>
          </w:p>
        </w:tc>
        <w:tc>
          <w:tcPr>
            <w:tcW w:w="679" w:type="pct"/>
            <w:vMerge w:val="continue"/>
            <w:noWrap w:val="0"/>
            <w:tcMar>
              <w:top w:w="15" w:type="dxa"/>
              <w:left w:w="15" w:type="dxa"/>
              <w:right w:w="15" w:type="dxa"/>
            </w:tcMar>
            <w:vAlign w:val="center"/>
          </w:tcPr>
          <w:p w14:paraId="37A6CB6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rPr>
            </w:pPr>
          </w:p>
        </w:tc>
        <w:tc>
          <w:tcPr>
            <w:tcW w:w="3424" w:type="pct"/>
            <w:noWrap w:val="0"/>
            <w:tcMar>
              <w:top w:w="15" w:type="dxa"/>
              <w:left w:w="15" w:type="dxa"/>
              <w:right w:w="15" w:type="dxa"/>
            </w:tcMar>
            <w:vAlign w:val="center"/>
          </w:tcPr>
          <w:p w14:paraId="7973387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（2）执行团队配置与专业能力（</w:t>
            </w:r>
            <w:r>
              <w:rPr>
                <w:rFonts w:hint="eastAsia" w:ascii="仿宋" w:hAnsi="仿宋" w:eastAsia="仿宋" w:cs="仿宋"/>
                <w:color w:val="auto"/>
                <w:kern w:val="0"/>
                <w:sz w:val="32"/>
                <w:szCs w:val="32"/>
                <w:highlight w:val="none"/>
                <w:lang w:val="en-US" w:eastAsia="zh-CN"/>
              </w:rPr>
              <w:t>20</w:t>
            </w:r>
            <w:r>
              <w:rPr>
                <w:rFonts w:hint="eastAsia" w:ascii="仿宋" w:hAnsi="仿宋" w:eastAsia="仿宋" w:cs="仿宋"/>
                <w:color w:val="auto"/>
                <w:kern w:val="0"/>
                <w:sz w:val="32"/>
                <w:szCs w:val="32"/>
                <w:highlight w:val="none"/>
              </w:rPr>
              <w:t>分）</w:t>
            </w:r>
          </w:p>
          <w:p w14:paraId="65E7C54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根据项目团队配置、成员资质及经验进行综合评价。</w:t>
            </w:r>
          </w:p>
          <w:p w14:paraId="13B0193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资质要求包括但不限于：注册消防工程师、消防设施操作员</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rPr>
              <w:t>团队中须配备至少1名具备专业影像采集能力的成员（如摄影师/摄像师），并提供相关作品或从业证明，负责演练全过程的多机位拍摄及后期素材制作。团队配置齐全、分工明确（有专人分别负责策划统筹、现场执行、疏散引导、灭火实操指导、医疗急救保障、影像素材采集）、专业人员资质高、演练组织经验丰富得</w:t>
            </w:r>
            <w:r>
              <w:rPr>
                <w:rFonts w:hint="eastAsia" w:ascii="仿宋" w:hAnsi="仿宋" w:eastAsia="仿宋" w:cs="仿宋"/>
                <w:color w:val="auto"/>
                <w:kern w:val="0"/>
                <w:sz w:val="32"/>
                <w:szCs w:val="32"/>
                <w:highlight w:val="none"/>
                <w:lang w:val="en-US" w:eastAsia="zh-CN"/>
              </w:rPr>
              <w:t>20</w:t>
            </w:r>
            <w:r>
              <w:rPr>
                <w:rFonts w:hint="eastAsia" w:ascii="仿宋" w:hAnsi="仿宋" w:eastAsia="仿宋" w:cs="仿宋"/>
                <w:color w:val="auto"/>
                <w:kern w:val="0"/>
                <w:sz w:val="32"/>
                <w:szCs w:val="32"/>
                <w:highlight w:val="none"/>
              </w:rPr>
              <w:t>分；</w:t>
            </w:r>
          </w:p>
          <w:p w14:paraId="2F769C5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团队配置基本合理、具备基本资质和经验得</w:t>
            </w:r>
            <w:r>
              <w:rPr>
                <w:rFonts w:hint="eastAsia" w:ascii="仿宋" w:hAnsi="仿宋" w:eastAsia="仿宋" w:cs="仿宋"/>
                <w:color w:val="auto"/>
                <w:kern w:val="0"/>
                <w:sz w:val="32"/>
                <w:szCs w:val="32"/>
                <w:highlight w:val="none"/>
                <w:lang w:val="en-US" w:eastAsia="zh-CN"/>
              </w:rPr>
              <w:t>14</w:t>
            </w:r>
            <w:r>
              <w:rPr>
                <w:rFonts w:hint="eastAsia" w:ascii="仿宋" w:hAnsi="仿宋" w:eastAsia="仿宋" w:cs="仿宋"/>
                <w:color w:val="auto"/>
                <w:kern w:val="0"/>
                <w:sz w:val="32"/>
                <w:szCs w:val="32"/>
                <w:highlight w:val="none"/>
              </w:rPr>
              <w:t>分；</w:t>
            </w:r>
          </w:p>
          <w:p w14:paraId="26C651E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团队配置薄弱、资质或经验不足得5分。</w:t>
            </w:r>
          </w:p>
          <w:p w14:paraId="2E9F61B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（需提供相关人员证书复印件及近三个月社保证明，未提供不得分）</w:t>
            </w:r>
          </w:p>
        </w:tc>
        <w:tc>
          <w:tcPr>
            <w:tcW w:w="531" w:type="pct"/>
            <w:noWrap w:val="0"/>
            <w:tcMar>
              <w:top w:w="15" w:type="dxa"/>
              <w:left w:w="15" w:type="dxa"/>
              <w:right w:w="15" w:type="dxa"/>
            </w:tcMar>
            <w:vAlign w:val="center"/>
          </w:tcPr>
          <w:p w14:paraId="21CBDAC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20</w:t>
            </w:r>
          </w:p>
        </w:tc>
      </w:tr>
      <w:tr w14:paraId="08323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63" w:type="pct"/>
            <w:vMerge w:val="continue"/>
            <w:noWrap w:val="0"/>
            <w:tcMar>
              <w:top w:w="15" w:type="dxa"/>
              <w:left w:w="15" w:type="dxa"/>
              <w:right w:w="15" w:type="dxa"/>
            </w:tcMar>
            <w:vAlign w:val="center"/>
          </w:tcPr>
          <w:p w14:paraId="026B8D1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rPr>
            </w:pPr>
          </w:p>
        </w:tc>
        <w:tc>
          <w:tcPr>
            <w:tcW w:w="679" w:type="pct"/>
            <w:vMerge w:val="continue"/>
            <w:noWrap w:val="0"/>
            <w:tcMar>
              <w:top w:w="15" w:type="dxa"/>
              <w:left w:w="15" w:type="dxa"/>
              <w:right w:w="15" w:type="dxa"/>
            </w:tcMar>
            <w:vAlign w:val="center"/>
          </w:tcPr>
          <w:p w14:paraId="73E926E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rPr>
            </w:pPr>
          </w:p>
        </w:tc>
        <w:tc>
          <w:tcPr>
            <w:tcW w:w="3424" w:type="pct"/>
            <w:noWrap w:val="0"/>
            <w:tcMar>
              <w:top w:w="15" w:type="dxa"/>
              <w:left w:w="15" w:type="dxa"/>
              <w:right w:w="15" w:type="dxa"/>
            </w:tcMar>
            <w:vAlign w:val="center"/>
          </w:tcPr>
          <w:p w14:paraId="05F0AF8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（3）应急安全保障与物资保障方案（10分）</w:t>
            </w:r>
          </w:p>
          <w:p w14:paraId="3471101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根据供应商提供的演练现场安全保障措施、应急预案（含人员受伤、意外火灾扩大等突发情况处置）、演练所需各类物资（如烟雾发生器、模拟火盆、灭火器材、应急广播/扩音设备、对讲机、医疗急救包、模拟担架等）的配置清单及保障方案进行综合评价：</w:t>
            </w:r>
          </w:p>
          <w:p w14:paraId="5EBE338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安全保障措施完善、应急预案详实可行、物资配置充足且品牌/规格明确得10分；</w:t>
            </w:r>
          </w:p>
          <w:p w14:paraId="1E532DA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保障措施基本可行、物资配置尚可得7分；</w:t>
            </w:r>
          </w:p>
          <w:p w14:paraId="4067F12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保障措施不完善、物资配置不足得3分。</w:t>
            </w:r>
          </w:p>
        </w:tc>
        <w:tc>
          <w:tcPr>
            <w:tcW w:w="531" w:type="pct"/>
            <w:noWrap w:val="0"/>
            <w:tcMar>
              <w:top w:w="15" w:type="dxa"/>
              <w:left w:w="15" w:type="dxa"/>
              <w:right w:w="15" w:type="dxa"/>
            </w:tcMar>
            <w:vAlign w:val="center"/>
          </w:tcPr>
          <w:p w14:paraId="3DC05A3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10</w:t>
            </w:r>
          </w:p>
          <w:p w14:paraId="5A55949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rPr>
            </w:pPr>
          </w:p>
        </w:tc>
      </w:tr>
      <w:tr w14:paraId="23384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63" w:type="pct"/>
            <w:vMerge w:val="continue"/>
            <w:noWrap w:val="0"/>
            <w:tcMar>
              <w:top w:w="15" w:type="dxa"/>
              <w:left w:w="15" w:type="dxa"/>
              <w:right w:w="15" w:type="dxa"/>
            </w:tcMar>
            <w:vAlign w:val="center"/>
          </w:tcPr>
          <w:p w14:paraId="7D51C42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rPr>
            </w:pPr>
          </w:p>
        </w:tc>
        <w:tc>
          <w:tcPr>
            <w:tcW w:w="679" w:type="pct"/>
            <w:vMerge w:val="continue"/>
            <w:noWrap w:val="0"/>
            <w:tcMar>
              <w:top w:w="15" w:type="dxa"/>
              <w:left w:w="15" w:type="dxa"/>
              <w:right w:w="15" w:type="dxa"/>
            </w:tcMar>
            <w:vAlign w:val="center"/>
          </w:tcPr>
          <w:p w14:paraId="707C80F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rPr>
            </w:pPr>
          </w:p>
        </w:tc>
        <w:tc>
          <w:tcPr>
            <w:tcW w:w="3424" w:type="pct"/>
            <w:noWrap w:val="0"/>
            <w:tcMar>
              <w:top w:w="15" w:type="dxa"/>
              <w:left w:w="15" w:type="dxa"/>
              <w:right w:w="15" w:type="dxa"/>
            </w:tcMar>
            <w:vAlign w:val="center"/>
          </w:tcPr>
          <w:p w14:paraId="4F8894C7">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rightChars="0" w:firstLine="320" w:firstLineChars="100"/>
              <w:textAlignment w:val="auto"/>
              <w:rPr>
                <w:rFonts w:hint="default" w:ascii="仿宋" w:hAnsi="仿宋" w:eastAsia="仿宋" w:cs="仿宋"/>
                <w:color w:val="auto"/>
                <w:kern w:val="0"/>
                <w:sz w:val="32"/>
                <w:szCs w:val="32"/>
                <w:highlight w:val="none"/>
              </w:rPr>
            </w:pPr>
            <w:r>
              <w:rPr>
                <w:rFonts w:hint="default" w:ascii="仿宋" w:hAnsi="仿宋" w:eastAsia="仿宋" w:cs="仿宋"/>
                <w:bCs/>
                <w:color w:val="auto"/>
                <w:kern w:val="0"/>
                <w:sz w:val="32"/>
                <w:szCs w:val="32"/>
                <w:lang w:val="en-US" w:eastAsia="zh-CN" w:bidi="ar-SA"/>
              </w:rPr>
              <w:t>（</w:t>
            </w:r>
            <w:r>
              <w:rPr>
                <w:rFonts w:hint="eastAsia" w:ascii="仿宋" w:hAnsi="仿宋" w:eastAsia="仿宋" w:cs="仿宋"/>
                <w:bCs/>
                <w:color w:val="auto"/>
                <w:kern w:val="0"/>
                <w:sz w:val="32"/>
                <w:szCs w:val="32"/>
                <w:lang w:val="en-US" w:eastAsia="zh-CN" w:bidi="ar-SA"/>
              </w:rPr>
              <w:t>4</w:t>
            </w:r>
            <w:r>
              <w:rPr>
                <w:rFonts w:hint="default" w:ascii="仿宋" w:hAnsi="仿宋" w:eastAsia="仿宋" w:cs="仿宋"/>
                <w:bCs/>
                <w:color w:val="auto"/>
                <w:kern w:val="0"/>
                <w:sz w:val="32"/>
                <w:szCs w:val="32"/>
                <w:lang w:val="en-US" w:eastAsia="zh-CN" w:bidi="ar-SA"/>
              </w:rPr>
              <w:t>）</w:t>
            </w:r>
            <w:r>
              <w:rPr>
                <w:rFonts w:hint="eastAsia" w:ascii="仿宋" w:hAnsi="仿宋" w:eastAsia="仿宋" w:cs="仿宋"/>
                <w:color w:val="auto"/>
                <w:kern w:val="0"/>
                <w:sz w:val="32"/>
                <w:szCs w:val="32"/>
                <w:highlight w:val="none"/>
              </w:rPr>
              <w:t>成果交付与素材制作能力（</w:t>
            </w:r>
            <w:r>
              <w:rPr>
                <w:rFonts w:hint="eastAsia" w:ascii="仿宋" w:hAnsi="仿宋" w:eastAsia="仿宋" w:cs="仿宋"/>
                <w:color w:val="auto"/>
                <w:kern w:val="0"/>
                <w:sz w:val="32"/>
                <w:szCs w:val="32"/>
                <w:highlight w:val="none"/>
                <w:lang w:val="en-US" w:eastAsia="zh-CN"/>
              </w:rPr>
              <w:t>1</w:t>
            </w:r>
            <w:r>
              <w:rPr>
                <w:rFonts w:hint="eastAsia" w:ascii="仿宋" w:hAnsi="仿宋" w:eastAsia="仿宋" w:cs="仿宋"/>
                <w:color w:val="auto"/>
                <w:kern w:val="0"/>
                <w:sz w:val="32"/>
                <w:szCs w:val="32"/>
                <w:highlight w:val="none"/>
              </w:rPr>
              <w:t>0分）</w:t>
            </w:r>
            <w:r>
              <w:rPr>
                <w:rFonts w:hint="default" w:ascii="仿宋" w:hAnsi="仿宋" w:eastAsia="仿宋" w:cs="仿宋"/>
                <w:color w:val="auto"/>
                <w:kern w:val="0"/>
                <w:sz w:val="32"/>
                <w:szCs w:val="32"/>
                <w:highlight w:val="none"/>
              </w:rPr>
              <w:br w:type="textWrapping"/>
            </w:r>
            <w:r>
              <w:rPr>
                <w:rFonts w:hint="default" w:ascii="仿宋" w:hAnsi="仿宋" w:eastAsia="仿宋" w:cs="仿宋"/>
                <w:color w:val="auto"/>
                <w:kern w:val="0"/>
                <w:sz w:val="32"/>
                <w:szCs w:val="32"/>
                <w:highlight w:val="none"/>
              </w:rPr>
              <w:t>a.交付物完整性（</w:t>
            </w:r>
            <w:r>
              <w:rPr>
                <w:rFonts w:hint="eastAsia" w:ascii="仿宋" w:hAnsi="仿宋" w:eastAsia="仿宋" w:cs="仿宋"/>
                <w:color w:val="auto"/>
                <w:kern w:val="0"/>
                <w:sz w:val="32"/>
                <w:szCs w:val="32"/>
                <w:highlight w:val="none"/>
                <w:lang w:val="en-US" w:eastAsia="zh-CN"/>
              </w:rPr>
              <w:t>5</w:t>
            </w:r>
            <w:r>
              <w:rPr>
                <w:rFonts w:hint="default" w:ascii="仿宋" w:hAnsi="仿宋" w:eastAsia="仿宋" w:cs="仿宋"/>
                <w:color w:val="auto"/>
                <w:kern w:val="0"/>
                <w:sz w:val="32"/>
                <w:szCs w:val="32"/>
                <w:highlight w:val="none"/>
              </w:rPr>
              <w:t>分）</w:t>
            </w:r>
            <w:r>
              <w:rPr>
                <w:rFonts w:hint="default" w:ascii="仿宋" w:hAnsi="仿宋" w:eastAsia="仿宋" w:cs="仿宋"/>
                <w:color w:val="auto"/>
                <w:kern w:val="0"/>
                <w:sz w:val="32"/>
                <w:szCs w:val="32"/>
                <w:highlight w:val="none"/>
              </w:rPr>
              <w:br w:type="textWrapping"/>
            </w:r>
            <w:r>
              <w:rPr>
                <w:rFonts w:hint="default" w:ascii="仿宋" w:hAnsi="仿宋" w:eastAsia="仿宋" w:cs="仿宋"/>
                <w:color w:val="auto"/>
                <w:kern w:val="0"/>
                <w:sz w:val="32"/>
                <w:szCs w:val="32"/>
                <w:highlight w:val="none"/>
              </w:rPr>
              <w:t>承诺交付符合验收标准的全套演练成果，包括但不限于：</w:t>
            </w:r>
            <w:r>
              <w:rPr>
                <w:rFonts w:hint="default" w:ascii="仿宋" w:hAnsi="仿宋" w:eastAsia="仿宋" w:cs="仿宋"/>
                <w:color w:val="auto"/>
                <w:kern w:val="0"/>
                <w:sz w:val="32"/>
                <w:szCs w:val="32"/>
                <w:highlight w:val="none"/>
              </w:rPr>
              <w:br w:type="textWrapping"/>
            </w:r>
            <w:r>
              <w:rPr>
                <w:rFonts w:hint="default" w:ascii="仿宋" w:hAnsi="仿宋" w:eastAsia="仿宋" w:cs="仿宋"/>
                <w:color w:val="auto"/>
                <w:kern w:val="0"/>
                <w:sz w:val="32"/>
                <w:szCs w:val="32"/>
                <w:highlight w:val="none"/>
              </w:rPr>
              <w:t>不少于3分钟的演练全流程高清纪实剪辑视频（含字幕、配乐、解说）；</w:t>
            </w:r>
            <w:r>
              <w:rPr>
                <w:rFonts w:hint="default" w:ascii="仿宋" w:hAnsi="仿宋" w:eastAsia="仿宋" w:cs="仿宋"/>
                <w:color w:val="auto"/>
                <w:kern w:val="0"/>
                <w:sz w:val="32"/>
                <w:szCs w:val="32"/>
                <w:highlight w:val="none"/>
              </w:rPr>
              <w:br w:type="textWrapping"/>
            </w:r>
            <w:r>
              <w:rPr>
                <w:rFonts w:hint="default" w:ascii="仿宋" w:hAnsi="仿宋" w:eastAsia="仿宋" w:cs="仿宋"/>
                <w:color w:val="auto"/>
                <w:kern w:val="0"/>
                <w:sz w:val="32"/>
                <w:szCs w:val="32"/>
                <w:highlight w:val="none"/>
              </w:rPr>
              <w:t>不少于20张高像素现场精修图片（涵盖组织指挥、疏散、灭火、急救、培训等关键环节）；</w:t>
            </w:r>
            <w:r>
              <w:rPr>
                <w:rFonts w:hint="default" w:ascii="仿宋" w:hAnsi="仿宋" w:eastAsia="仿宋" w:cs="仿宋"/>
                <w:color w:val="auto"/>
                <w:kern w:val="0"/>
                <w:sz w:val="32"/>
                <w:szCs w:val="32"/>
                <w:highlight w:val="none"/>
              </w:rPr>
              <w:br w:type="textWrapping"/>
            </w:r>
            <w:r>
              <w:rPr>
                <w:rFonts w:hint="default" w:ascii="仿宋" w:hAnsi="仿宋" w:eastAsia="仿宋" w:cs="仿宋"/>
                <w:color w:val="auto"/>
                <w:kern w:val="0"/>
                <w:sz w:val="32"/>
                <w:szCs w:val="32"/>
                <w:highlight w:val="none"/>
              </w:rPr>
              <w:t>演练方案、培训课件、签到表、评估报告等纸质及电子档案汇编。</w:t>
            </w:r>
            <w:r>
              <w:rPr>
                <w:rFonts w:hint="default" w:ascii="仿宋" w:hAnsi="仿宋" w:eastAsia="仿宋" w:cs="仿宋"/>
                <w:color w:val="auto"/>
                <w:kern w:val="0"/>
                <w:sz w:val="32"/>
                <w:szCs w:val="32"/>
                <w:highlight w:val="none"/>
              </w:rPr>
              <w:br w:type="textWrapping"/>
            </w:r>
            <w:r>
              <w:rPr>
                <w:rFonts w:hint="eastAsia" w:ascii="仿宋" w:hAnsi="仿宋" w:eastAsia="仿宋" w:cs="仿宋"/>
                <w:color w:val="auto"/>
                <w:kern w:val="0"/>
                <w:sz w:val="32"/>
                <w:szCs w:val="32"/>
                <w:highlight w:val="none"/>
                <w:lang w:val="en-US" w:eastAsia="zh-CN"/>
              </w:rPr>
              <w:t xml:space="preserve">  </w:t>
            </w:r>
            <w:r>
              <w:rPr>
                <w:rFonts w:hint="default" w:ascii="仿宋" w:hAnsi="仿宋" w:eastAsia="仿宋" w:cs="仿宋"/>
                <w:color w:val="auto"/>
                <w:kern w:val="0"/>
                <w:sz w:val="32"/>
                <w:szCs w:val="32"/>
                <w:highlight w:val="none"/>
              </w:rPr>
              <w:t>交付物清单完整、规格标准清晰得</w:t>
            </w:r>
            <w:r>
              <w:rPr>
                <w:rFonts w:hint="eastAsia" w:ascii="仿宋" w:hAnsi="仿宋" w:eastAsia="仿宋" w:cs="仿宋"/>
                <w:color w:val="auto"/>
                <w:kern w:val="0"/>
                <w:sz w:val="32"/>
                <w:szCs w:val="32"/>
                <w:highlight w:val="none"/>
                <w:lang w:val="en-US" w:eastAsia="zh-CN"/>
              </w:rPr>
              <w:t>5</w:t>
            </w:r>
            <w:r>
              <w:rPr>
                <w:rFonts w:hint="default" w:ascii="仿宋" w:hAnsi="仿宋" w:eastAsia="仿宋" w:cs="仿宋"/>
                <w:color w:val="auto"/>
                <w:kern w:val="0"/>
                <w:sz w:val="32"/>
                <w:szCs w:val="32"/>
                <w:highlight w:val="none"/>
              </w:rPr>
              <w:t>分；</w:t>
            </w:r>
          </w:p>
          <w:p w14:paraId="728A0F47">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rightChars="0" w:firstLine="320" w:firstLineChars="100"/>
              <w:textAlignment w:val="auto"/>
              <w:rPr>
                <w:rFonts w:hint="eastAsia" w:ascii="仿宋" w:hAnsi="仿宋" w:eastAsia="仿宋" w:cs="仿宋"/>
                <w:color w:val="auto"/>
                <w:kern w:val="0"/>
                <w:sz w:val="32"/>
                <w:szCs w:val="32"/>
                <w:highlight w:val="none"/>
              </w:rPr>
            </w:pPr>
            <w:r>
              <w:rPr>
                <w:rFonts w:hint="default" w:ascii="仿宋" w:hAnsi="仿宋" w:eastAsia="仿宋" w:cs="仿宋"/>
                <w:color w:val="auto"/>
                <w:kern w:val="0"/>
                <w:sz w:val="32"/>
                <w:szCs w:val="32"/>
                <w:highlight w:val="none"/>
              </w:rPr>
              <w:t>清单基本完整得</w:t>
            </w:r>
            <w:r>
              <w:rPr>
                <w:rFonts w:hint="eastAsia" w:ascii="仿宋" w:hAnsi="仿宋" w:eastAsia="仿宋" w:cs="仿宋"/>
                <w:color w:val="auto"/>
                <w:kern w:val="0"/>
                <w:sz w:val="32"/>
                <w:szCs w:val="32"/>
                <w:highlight w:val="none"/>
                <w:lang w:val="en-US" w:eastAsia="zh-CN"/>
              </w:rPr>
              <w:t>3</w:t>
            </w:r>
            <w:r>
              <w:rPr>
                <w:rFonts w:hint="default" w:ascii="仿宋" w:hAnsi="仿宋" w:eastAsia="仿宋" w:cs="仿宋"/>
                <w:color w:val="auto"/>
                <w:kern w:val="0"/>
                <w:sz w:val="32"/>
                <w:szCs w:val="32"/>
                <w:highlight w:val="none"/>
              </w:rPr>
              <w:t>分；</w:t>
            </w:r>
          </w:p>
          <w:p w14:paraId="61546425">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rightChars="0" w:firstLine="320" w:firstLineChars="100"/>
              <w:textAlignment w:val="auto"/>
              <w:rPr>
                <w:rFonts w:hint="eastAsia" w:ascii="仿宋" w:hAnsi="仿宋" w:eastAsia="仿宋" w:cs="仿宋"/>
                <w:color w:val="auto"/>
                <w:kern w:val="0"/>
                <w:sz w:val="32"/>
                <w:szCs w:val="32"/>
                <w:highlight w:val="none"/>
              </w:rPr>
            </w:pPr>
            <w:r>
              <w:rPr>
                <w:rFonts w:hint="default" w:ascii="仿宋" w:hAnsi="仿宋" w:eastAsia="仿宋" w:cs="仿宋"/>
                <w:color w:val="auto"/>
                <w:kern w:val="0"/>
                <w:sz w:val="32"/>
                <w:szCs w:val="32"/>
                <w:highlight w:val="none"/>
              </w:rPr>
              <w:t>未提供不得分。</w:t>
            </w:r>
            <w:r>
              <w:rPr>
                <w:rFonts w:hint="default" w:ascii="仿宋" w:hAnsi="仿宋" w:eastAsia="仿宋" w:cs="仿宋"/>
                <w:color w:val="auto"/>
                <w:kern w:val="0"/>
                <w:sz w:val="32"/>
                <w:szCs w:val="32"/>
                <w:highlight w:val="none"/>
              </w:rPr>
              <w:br w:type="textWrapping"/>
            </w:r>
            <w:r>
              <w:rPr>
                <w:rFonts w:hint="default" w:ascii="仿宋" w:hAnsi="仿宋" w:eastAsia="仿宋" w:cs="仿宋"/>
                <w:color w:val="auto"/>
                <w:kern w:val="0"/>
                <w:sz w:val="32"/>
                <w:szCs w:val="32"/>
                <w:highlight w:val="none"/>
              </w:rPr>
              <w:t>b.视频与宣传素材制作方案（</w:t>
            </w:r>
            <w:r>
              <w:rPr>
                <w:rFonts w:hint="eastAsia" w:ascii="仿宋" w:hAnsi="仿宋" w:eastAsia="仿宋" w:cs="仿宋"/>
                <w:color w:val="auto"/>
                <w:kern w:val="0"/>
                <w:sz w:val="32"/>
                <w:szCs w:val="32"/>
                <w:highlight w:val="none"/>
                <w:lang w:val="en-US" w:eastAsia="zh-CN"/>
              </w:rPr>
              <w:t>5</w:t>
            </w:r>
            <w:r>
              <w:rPr>
                <w:rFonts w:hint="default" w:ascii="仿宋" w:hAnsi="仿宋" w:eastAsia="仿宋" w:cs="仿宋"/>
                <w:color w:val="auto"/>
                <w:kern w:val="0"/>
                <w:sz w:val="32"/>
                <w:szCs w:val="32"/>
                <w:highlight w:val="none"/>
              </w:rPr>
              <w:t>分）</w:t>
            </w:r>
            <w:r>
              <w:rPr>
                <w:rFonts w:hint="default" w:ascii="仿宋" w:hAnsi="仿宋" w:eastAsia="仿宋" w:cs="仿宋"/>
                <w:color w:val="auto"/>
                <w:kern w:val="0"/>
                <w:sz w:val="32"/>
                <w:szCs w:val="32"/>
                <w:highlight w:val="none"/>
              </w:rPr>
              <w:br w:type="textWrapping"/>
            </w:r>
            <w:r>
              <w:rPr>
                <w:rFonts w:hint="default" w:ascii="仿宋" w:hAnsi="仿宋" w:eastAsia="仿宋" w:cs="仿宋"/>
                <w:color w:val="auto"/>
                <w:kern w:val="0"/>
                <w:sz w:val="32"/>
                <w:szCs w:val="32"/>
                <w:highlight w:val="none"/>
              </w:rPr>
              <w:t>根据供应商提出的视频及图文素材制作方案综合评审：</w:t>
            </w:r>
            <w:r>
              <w:rPr>
                <w:rFonts w:hint="default" w:ascii="仿宋" w:hAnsi="仿宋" w:eastAsia="仿宋" w:cs="仿宋"/>
                <w:color w:val="auto"/>
                <w:kern w:val="0"/>
                <w:sz w:val="32"/>
                <w:szCs w:val="32"/>
                <w:highlight w:val="none"/>
              </w:rPr>
              <w:br w:type="textWrapping"/>
            </w:r>
            <w:r>
              <w:rPr>
                <w:rFonts w:hint="default" w:ascii="仿宋" w:hAnsi="仿宋" w:eastAsia="仿宋" w:cs="仿宋"/>
                <w:color w:val="auto"/>
                <w:kern w:val="0"/>
                <w:sz w:val="32"/>
                <w:szCs w:val="32"/>
                <w:highlight w:val="none"/>
              </w:rPr>
              <w:t>明确提出多机位（如无人机航拍、游机跟拍、固定机位全景）拍摄计划的，视频输出分辨率不低于1080P，成片具备校园消防安全教育宣传片水准，且充分考虑了前期宣传预热（如制作活动预告短视频/海报）及后期剪辑包装的，得</w:t>
            </w:r>
            <w:r>
              <w:rPr>
                <w:rFonts w:hint="eastAsia" w:ascii="仿宋" w:hAnsi="仿宋" w:eastAsia="仿宋" w:cs="仿宋"/>
                <w:color w:val="auto"/>
                <w:kern w:val="0"/>
                <w:sz w:val="32"/>
                <w:szCs w:val="32"/>
                <w:highlight w:val="none"/>
                <w:lang w:val="en-US" w:eastAsia="zh-CN"/>
              </w:rPr>
              <w:t>5</w:t>
            </w:r>
            <w:r>
              <w:rPr>
                <w:rFonts w:hint="default" w:ascii="仿宋" w:hAnsi="仿宋" w:eastAsia="仿宋" w:cs="仿宋"/>
                <w:color w:val="auto"/>
                <w:kern w:val="0"/>
                <w:sz w:val="32"/>
                <w:szCs w:val="32"/>
                <w:highlight w:val="none"/>
              </w:rPr>
              <w:t>分；</w:t>
            </w:r>
            <w:r>
              <w:rPr>
                <w:rFonts w:hint="default" w:ascii="仿宋" w:hAnsi="仿宋" w:eastAsia="仿宋" w:cs="仿宋"/>
                <w:color w:val="auto"/>
                <w:kern w:val="0"/>
                <w:sz w:val="32"/>
                <w:szCs w:val="32"/>
                <w:highlight w:val="none"/>
              </w:rPr>
              <w:br w:type="textWrapping"/>
            </w:r>
            <w:r>
              <w:rPr>
                <w:rFonts w:hint="default" w:ascii="仿宋" w:hAnsi="仿宋" w:eastAsia="仿宋" w:cs="仿宋"/>
                <w:color w:val="auto"/>
                <w:kern w:val="0"/>
                <w:sz w:val="32"/>
                <w:szCs w:val="32"/>
                <w:highlight w:val="none"/>
              </w:rPr>
              <w:t>仅承诺简易设备拍摄，成品为简单活动记录，仅满足基本存档需求得</w:t>
            </w:r>
            <w:r>
              <w:rPr>
                <w:rFonts w:hint="eastAsia" w:ascii="仿宋" w:hAnsi="仿宋" w:eastAsia="仿宋" w:cs="仿宋"/>
                <w:color w:val="auto"/>
                <w:kern w:val="0"/>
                <w:sz w:val="32"/>
                <w:szCs w:val="32"/>
                <w:highlight w:val="none"/>
                <w:lang w:val="en-US" w:eastAsia="zh-CN"/>
              </w:rPr>
              <w:t>3</w:t>
            </w:r>
            <w:r>
              <w:rPr>
                <w:rFonts w:hint="default" w:ascii="仿宋" w:hAnsi="仿宋" w:eastAsia="仿宋" w:cs="仿宋"/>
                <w:color w:val="auto"/>
                <w:kern w:val="0"/>
                <w:sz w:val="32"/>
                <w:szCs w:val="32"/>
                <w:highlight w:val="none"/>
              </w:rPr>
              <w:t>分；</w:t>
            </w:r>
            <w:r>
              <w:rPr>
                <w:rFonts w:hint="default" w:ascii="仿宋" w:hAnsi="仿宋" w:eastAsia="仿宋" w:cs="仿宋"/>
                <w:color w:val="auto"/>
                <w:kern w:val="0"/>
                <w:sz w:val="32"/>
                <w:szCs w:val="32"/>
                <w:highlight w:val="none"/>
              </w:rPr>
              <w:br w:type="textWrapping"/>
            </w:r>
            <w:r>
              <w:rPr>
                <w:rFonts w:hint="default" w:ascii="仿宋" w:hAnsi="仿宋" w:eastAsia="仿宋" w:cs="仿宋"/>
                <w:color w:val="auto"/>
                <w:kern w:val="0"/>
                <w:sz w:val="32"/>
                <w:szCs w:val="32"/>
                <w:highlight w:val="none"/>
              </w:rPr>
              <w:t>无具体方案的不得分。</w:t>
            </w:r>
          </w:p>
        </w:tc>
        <w:tc>
          <w:tcPr>
            <w:tcW w:w="531" w:type="pct"/>
            <w:noWrap w:val="0"/>
            <w:tcMar>
              <w:top w:w="15" w:type="dxa"/>
              <w:left w:w="15" w:type="dxa"/>
              <w:right w:w="15" w:type="dxa"/>
            </w:tcMar>
            <w:vAlign w:val="center"/>
          </w:tcPr>
          <w:p w14:paraId="21EC1FE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10</w:t>
            </w:r>
          </w:p>
        </w:tc>
      </w:tr>
      <w:tr w14:paraId="6D267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7" w:hRule="atLeast"/>
          <w:jc w:val="center"/>
        </w:trPr>
        <w:tc>
          <w:tcPr>
            <w:tcW w:w="4468" w:type="pct"/>
            <w:gridSpan w:val="3"/>
            <w:noWrap w:val="0"/>
            <w:tcMar>
              <w:top w:w="15" w:type="dxa"/>
              <w:left w:w="15" w:type="dxa"/>
              <w:right w:w="15" w:type="dxa"/>
            </w:tcMar>
            <w:vAlign w:val="center"/>
          </w:tcPr>
          <w:p w14:paraId="356586B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合计</w:t>
            </w:r>
          </w:p>
        </w:tc>
        <w:tc>
          <w:tcPr>
            <w:tcW w:w="531" w:type="pct"/>
            <w:noWrap w:val="0"/>
            <w:tcMar>
              <w:top w:w="15" w:type="dxa"/>
              <w:left w:w="15" w:type="dxa"/>
              <w:right w:w="15" w:type="dxa"/>
            </w:tcMar>
            <w:vAlign w:val="center"/>
          </w:tcPr>
          <w:p w14:paraId="712D0B5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100</w:t>
            </w:r>
          </w:p>
        </w:tc>
      </w:tr>
    </w:tbl>
    <w:p w14:paraId="039FBF71">
      <w:pPr>
        <w:rPr>
          <w:b/>
          <w:color w:val="auto"/>
          <w:position w:val="2"/>
          <w:sz w:val="32"/>
          <w:szCs w:val="32"/>
          <w:highlight w:val="none"/>
        </w:rPr>
      </w:pPr>
      <w:r>
        <w:rPr>
          <w:rFonts w:hint="eastAsia" w:ascii="仿宋" w:hAnsi="仿宋" w:eastAsia="仿宋" w:cs="仿宋"/>
          <w:color w:val="auto"/>
          <w:szCs w:val="28"/>
          <w:highlight w:val="none"/>
        </w:rPr>
        <w:br w:type="page"/>
      </w:r>
    </w:p>
    <w:p w14:paraId="5F32596D">
      <w:pPr>
        <w:pStyle w:val="2"/>
        <w:adjustRightInd w:val="0"/>
        <w:snapToGrid w:val="0"/>
        <w:spacing w:line="560" w:lineRule="exact"/>
        <w:rPr>
          <w:rFonts w:hint="eastAsia" w:ascii="仿宋" w:hAnsi="仿宋" w:eastAsia="仿宋" w:cs="仿宋"/>
          <w:color w:val="auto"/>
          <w:sz w:val="44"/>
          <w:highlight w:val="none"/>
          <w:lang w:eastAsia="zh-CN"/>
        </w:rPr>
      </w:pPr>
      <w:bookmarkStart w:id="40" w:name="_Toc22407"/>
      <w:r>
        <w:rPr>
          <w:rFonts w:hint="eastAsia" w:ascii="仿宋" w:hAnsi="仿宋" w:eastAsia="仿宋" w:cs="仿宋"/>
          <w:color w:val="auto"/>
          <w:sz w:val="44"/>
          <w:highlight w:val="none"/>
        </w:rPr>
        <w:t>第四部分 授予合同</w:t>
      </w:r>
      <w:bookmarkEnd w:id="36"/>
      <w:bookmarkEnd w:id="37"/>
      <w:bookmarkEnd w:id="40"/>
      <w:r>
        <w:rPr>
          <w:rFonts w:hint="eastAsia" w:ascii="仿宋" w:hAnsi="仿宋" w:eastAsia="仿宋" w:cs="仿宋"/>
          <w:color w:val="auto"/>
          <w:sz w:val="44"/>
          <w:highlight w:val="none"/>
          <w:lang w:eastAsia="zh-CN"/>
        </w:rPr>
        <w:t>（</w:t>
      </w:r>
      <w:r>
        <w:rPr>
          <w:rFonts w:hint="eastAsia" w:ascii="仿宋" w:hAnsi="仿宋" w:eastAsia="仿宋" w:cs="仿宋"/>
          <w:color w:val="auto"/>
          <w:sz w:val="44"/>
          <w:highlight w:val="none"/>
          <w:lang w:val="en-US" w:eastAsia="zh-CN"/>
        </w:rPr>
        <w:t>参考模版</w:t>
      </w:r>
      <w:r>
        <w:rPr>
          <w:rFonts w:hint="eastAsia" w:ascii="仿宋" w:hAnsi="仿宋" w:eastAsia="仿宋" w:cs="仿宋"/>
          <w:color w:val="auto"/>
          <w:sz w:val="44"/>
          <w:highlight w:val="none"/>
          <w:lang w:eastAsia="zh-CN"/>
        </w:rPr>
        <w:t>）</w:t>
      </w:r>
    </w:p>
    <w:p w14:paraId="6C2B9388">
      <w:pPr>
        <w:adjustRightInd w:val="0"/>
        <w:snapToGrid w:val="0"/>
        <w:spacing w:line="560" w:lineRule="exact"/>
        <w:ind w:firstLine="640" w:firstLineChars="200"/>
        <w:rPr>
          <w:rFonts w:ascii="仿宋" w:hAnsi="仿宋" w:eastAsia="仿宋" w:cs="仿宋"/>
          <w:color w:val="auto"/>
          <w:sz w:val="32"/>
          <w:szCs w:val="32"/>
          <w:highlight w:val="none"/>
        </w:rPr>
      </w:pPr>
      <w:bookmarkStart w:id="41" w:name="_Toc8997"/>
      <w:bookmarkStart w:id="42" w:name="_Toc325620721"/>
      <w:bookmarkStart w:id="43" w:name="_Toc332979562"/>
    </w:p>
    <w:p w14:paraId="1C099EE9">
      <w:pPr>
        <w:adjustRightInd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一、签订合同</w:t>
      </w:r>
      <w:bookmarkEnd w:id="41"/>
      <w:bookmarkEnd w:id="42"/>
      <w:bookmarkEnd w:id="43"/>
    </w:p>
    <w:p w14:paraId="77E27F7E">
      <w:pPr>
        <w:adjustRightInd w:val="0"/>
        <w:snapToGrid w:val="0"/>
        <w:spacing w:line="5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1.评审工作结束后，采购人向成交供应商签发《中标通知书》，在7个工作日内，由采购人和成交供应商签订合同。合同签订的内容不能超出磋商文件和响应文件的实质性内容。</w:t>
      </w:r>
    </w:p>
    <w:p w14:paraId="6154A8B5">
      <w:pPr>
        <w:adjustRightInd w:val="0"/>
        <w:snapToGrid w:val="0"/>
        <w:spacing w:line="5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2.磋商文件、采购人的报价文件及评审过程中有关澄清文件等均可为合同附件。</w:t>
      </w:r>
    </w:p>
    <w:p w14:paraId="7DDAEB02">
      <w:pPr>
        <w:adjustRightInd w:val="0"/>
        <w:snapToGrid w:val="0"/>
        <w:spacing w:line="560" w:lineRule="exact"/>
        <w:ind w:firstLine="640" w:firstLineChars="200"/>
        <w:rPr>
          <w:rFonts w:hint="eastAsia" w:ascii="仿宋" w:hAnsi="仿宋" w:eastAsia="仿宋" w:cs="仿宋"/>
          <w:color w:val="auto"/>
          <w:sz w:val="32"/>
          <w:szCs w:val="32"/>
          <w:highlight w:val="none"/>
        </w:rPr>
      </w:pPr>
      <w:bookmarkStart w:id="44" w:name="_Toc325620722"/>
      <w:bookmarkStart w:id="45" w:name="_Toc16534"/>
      <w:bookmarkStart w:id="46" w:name="_Toc332979563"/>
      <w:r>
        <w:rPr>
          <w:rFonts w:hint="eastAsia" w:ascii="仿宋" w:hAnsi="仿宋" w:eastAsia="仿宋" w:cs="仿宋"/>
          <w:color w:val="auto"/>
          <w:sz w:val="32"/>
          <w:szCs w:val="32"/>
          <w:highlight w:val="none"/>
        </w:rPr>
        <w:t>二、合同格式</w:t>
      </w:r>
      <w:bookmarkEnd w:id="11"/>
      <w:bookmarkEnd w:id="12"/>
      <w:bookmarkEnd w:id="13"/>
      <w:bookmarkEnd w:id="14"/>
      <w:bookmarkEnd w:id="15"/>
      <w:bookmarkEnd w:id="16"/>
      <w:bookmarkEnd w:id="44"/>
      <w:bookmarkEnd w:id="45"/>
      <w:bookmarkEnd w:id="46"/>
      <w:bookmarkStart w:id="47" w:name="_Toc325620723"/>
      <w:bookmarkStart w:id="48" w:name="_Toc356490388"/>
      <w:bookmarkStart w:id="49" w:name="_Toc356491327"/>
      <w:bookmarkStart w:id="50" w:name="_Toc40089798"/>
      <w:bookmarkStart w:id="51" w:name="_Toc905"/>
    </w:p>
    <w:p w14:paraId="16A302BD">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甲方：</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(以下简称甲方)</w:t>
      </w:r>
    </w:p>
    <w:p w14:paraId="62FB7A26">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乙方：</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(以下简称乙方)</w:t>
      </w:r>
    </w:p>
    <w:p w14:paraId="79075626">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甲、乙双方根据《海南卫生健康职业学院2026年学生消防应急疏散与灭火演练项目》竞争性磋商采购结果，依据《中华人民共和国民法典》及相关法律法规，在平等、自愿、公平和诚实信用的基础上，就乙方为甲方提供学生消防应急疏散与灭火演练服务事宜达成一致，订立本合同。</w:t>
      </w:r>
    </w:p>
    <w:p w14:paraId="511842B5">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1</w:t>
      </w:r>
      <w:r>
        <w:rPr>
          <w:rFonts w:hint="eastAsia" w:ascii="仿宋" w:hAnsi="仿宋" w:eastAsia="仿宋" w:cs="仿宋"/>
          <w:b/>
          <w:bCs/>
          <w:color w:val="auto"/>
          <w:sz w:val="32"/>
          <w:szCs w:val="32"/>
          <w:highlight w:val="none"/>
          <w:lang w:eastAsia="zh-CN"/>
        </w:rPr>
        <w:t>）合同内容</w:t>
      </w:r>
    </w:p>
    <w:p w14:paraId="2A39BA6A">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第一条服务地点及期限</w:t>
      </w:r>
    </w:p>
    <w:p w14:paraId="08BA8B62">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1.服务地点：海南卫生健康职业学院校内，包括：</w:t>
      </w:r>
    </w:p>
    <w:p w14:paraId="18998C9E">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（1）海口市秀英区秀华路32号；</w:t>
      </w:r>
    </w:p>
    <w:p w14:paraId="5E269E70">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（2）海口市龙华区白水塘路48号。</w:t>
      </w:r>
    </w:p>
    <w:p w14:paraId="6951AE11">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2.服务期限：合同签订之日起至2026年12月31日止（全部演练及成果交付工作须在此期限内完成）</w:t>
      </w:r>
    </w:p>
    <w:p w14:paraId="52D316D2">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第二条服务内容及要求</w:t>
      </w:r>
    </w:p>
    <w:p w14:paraId="2698D158">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1.演练方案策划与编制：</w:t>
      </w:r>
    </w:p>
    <w:p w14:paraId="4297ED93">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乙方须在合同签订后10个工作日内，根据两校区建筑布局、学生分布及专业特点，编制详细的《消防应急疏散与灭火演练实施方案》提交甲方审核。方案应包括但不限于：演练目的、时间、地点、参演人员范围及人数、组织架构与职责分工、情景设置（如某宿舍楼/教学楼突发火情）、疏散路线与集合区域平面图、演练具体流程与时间节点、各环节实操内容（含报警、疏散、搜救、灭火器及消火栓实操、模拟伤情急救等）、安全保障措施、意外情况应急预案、演练物资与设备清单、活动宣传预热方案、演练评估标准等。方案经甲方书面确认后方可实施。</w:t>
      </w:r>
    </w:p>
    <w:p w14:paraId="4104B77B">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2.演练前培训：</w:t>
      </w:r>
    </w:p>
    <w:p w14:paraId="31C1AF33">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演练实施前，乙方应安排具备相应资质的专业讲师，对参演师生代表、辅导员、宿管人员、安保人员及相关部门工作人员进行消防知识及演练流程培训，培训总时长不少于2学时。培训内容应至少涵盖：校园火灾风险与预防、初期火灾扑救方法、应急疏散逃生要领（含高层建筑及夜间疏散注意事项）、灭火器及室内消火栓实操训练、演练流程推演及人员职责明确等。</w:t>
      </w:r>
    </w:p>
    <w:p w14:paraId="06CE93EC">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3.演练组织实施：</w:t>
      </w:r>
    </w:p>
    <w:p w14:paraId="6224EE08">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（1）乙方负责演练现场的全程组织、指挥与调度（在甲方总指挥领导下），确保各环节按方案安全、有序进行。</w:t>
      </w:r>
    </w:p>
    <w:p w14:paraId="0D9BC44E">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（2）现场须设置明显的演练标识、安全警戒线，并配备足量的安全保障人员及医疗急救物资。</w:t>
      </w:r>
    </w:p>
    <w:p w14:paraId="036CF9AC">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（3）演练中应设置烟雾环境模拟、模拟火源、模拟被困/受伤人员等逼真场景，提升实战感。</w:t>
      </w:r>
    </w:p>
    <w:p w14:paraId="79B5B498">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（4）乙方需指派专业人员现场讲解及示范灭火器使用、消火栓操作、心肺复苏及创伤包扎等急救技能，并组织学生代表实操体验。</w:t>
      </w:r>
    </w:p>
    <w:p w14:paraId="6AF09503">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4.演练评估与总结：</w:t>
      </w:r>
    </w:p>
    <w:p w14:paraId="754ED180">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演练结束后，乙方现场进行简要讲评；并于5个工作日内向甲方提交详细的书面《演练评估报告》，内容包括演练过程记录、参与人数统计、各环节用时分析、暴露问题与改进建议等。</w:t>
      </w:r>
    </w:p>
    <w:p w14:paraId="3C9B1192">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5.成果交付：</w:t>
      </w:r>
    </w:p>
    <w:p w14:paraId="58F31C63">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本项目演练活动拟于2026年6月及9月两个校区共组织四次，乙方须在每次演练活动结束后7个工作日内，分别向甲方交付以下成果资料，每次交付均包含纸质成册文件壹套及电子文件壹份（存储于U盘或移动硬盘）。</w:t>
      </w:r>
    </w:p>
    <w:p w14:paraId="7042CE16">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（1）纸质成册文件壹套，内容包括：</w:t>
      </w:r>
    </w:p>
    <w:p w14:paraId="460D4C77">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① 经甲方审核确认的当次演练方案（定稿版）、培训课件、参演人员签到表、演练评估报告等档案资料，按类别整理并胶装成册，封面、目录及页码清晰完整；</w:t>
      </w:r>
    </w:p>
    <w:p w14:paraId="6DE6EB11">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② 高像素现场精修图片不少于20张（彩色打印），内容涵盖当次演练的组织指挥、疏散逃生、灭火实操、急救演练、培训教育等关键环节，图片下方附简明图注，单张图片对应电子原图分辨率不低于300dpi。</w:t>
      </w:r>
    </w:p>
    <w:p w14:paraId="47BF214B">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所有纸质文件须统一装帧，封面注明项目名称、演练场次（6月场/9月场）。</w:t>
      </w:r>
    </w:p>
    <w:p w14:paraId="0D4A9002">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（2）电子文件壹份（存入U盘或移动硬盘），内容包括：</w:t>
      </w:r>
    </w:p>
    <w:p w14:paraId="52F264D8">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① 当次演练全流程高清纪实剪辑视频4部：其中时长不少于3分钟的完整版2部，时长1分钟以内的精简版2部，分辨率均不低于1080P，包含字幕、配乐及解说，适合作为校园安全教育宣传片使用；</w:t>
      </w:r>
    </w:p>
    <w:p w14:paraId="10AAB37B">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② 上述纸质成册文件中全部内容的电子扫描件（PDF格式）；</w:t>
      </w:r>
    </w:p>
    <w:p w14:paraId="64829BA6">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③ 高像素现场精修图片电子原图不少于20张，内容同上；</w:t>
      </w:r>
    </w:p>
    <w:p w14:paraId="06927185">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④ 当次演练全程拍摄的原始视频素材及原始照片文件，按机位/环节分类整理后一并存入。</w:t>
      </w:r>
    </w:p>
    <w:p w14:paraId="0B454520">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6.知识产权归属：</w:t>
      </w:r>
    </w:p>
    <w:p w14:paraId="737F64B7">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乙方在履行本合同过程中形成的所有演练方案、培训课件、照片、视频资料及其他任何形式的成果，其知识产权（包括但不限于著作权）均归甲方所有。乙方须将上述成果完整交付甲方，未经甲方书面许可，不得以任何形式留存、使用、公开或向第三方提供。</w:t>
      </w:r>
    </w:p>
    <w:p w14:paraId="795C3A94">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7.人员资质要求：</w:t>
      </w:r>
    </w:p>
    <w:p w14:paraId="0C238FB1">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乙方为本项目配置的执行团队须满足以下要求：</w:t>
      </w:r>
    </w:p>
    <w:p w14:paraId="59E51581">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（1）项目总负责人1人，须持有有效的一级注册消防工程师资格证书；</w:t>
      </w:r>
    </w:p>
    <w:p w14:paraId="7AF0E8AC">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（2）现场执行及技术人员不少于4人，其中至少1人为专业影像采集人员（需提供相关摄影/摄像作品或从业经历证明），其余人员持有消防设施操作员（中级及以上）或相关消防安全专业资质证书。</w:t>
      </w:r>
    </w:p>
    <w:p w14:paraId="52916FFC">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（上述人员名单及有效证书复印件须作为合同附件。）</w:t>
      </w:r>
    </w:p>
    <w:p w14:paraId="108E6235">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第三条 双方权利与义务</w:t>
      </w:r>
    </w:p>
    <w:p w14:paraId="307584B8">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1.甲方有权对乙方的演练方案、培训内容及现场组织实施进行监督、检查，并提出修改意见，乙方应在合理期限内予以响应和调整。</w:t>
      </w:r>
    </w:p>
    <w:p w14:paraId="39114F35">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2.甲方负责协调落实演练场地，组织参演师生及相关人员按时到场，为演练实施提供必要的后勤支持（如电源、场地清场等）。</w:t>
      </w:r>
    </w:p>
    <w:p w14:paraId="06AD12F7">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3.乙方应严格按照经甲方确认的方案组织实施，确保活动安全。因乙方组织不当、安全措施不到位或设备操作失误造成的人员伤亡或财产损失，由乙方承担全部法律责任及经济赔偿。</w:t>
      </w:r>
    </w:p>
    <w:p w14:paraId="6F2261AF">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4.乙方自行配备演练所需的全部专业设备、器材、道具及个人防护用品，并保证其性能完好、安全可靠。</w:t>
      </w:r>
    </w:p>
    <w:p w14:paraId="2E4E1564">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5.未经甲方书面同意，乙方不得将本合同项下任何义务转包或分包给第三方。</w:t>
      </w:r>
    </w:p>
    <w:p w14:paraId="2EAE51E1">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b w:val="0"/>
          <w:bCs w:val="0"/>
          <w:color w:val="auto"/>
          <w:kern w:val="2"/>
          <w:sz w:val="32"/>
          <w:szCs w:val="32"/>
          <w:highlight w:val="none"/>
          <w:lang w:val="zh-CN" w:eastAsia="zh-CN" w:bidi="zh-CN"/>
        </w:rPr>
      </w:pPr>
      <w:r>
        <w:rPr>
          <w:rFonts w:hint="eastAsia" w:ascii="仿宋" w:hAnsi="仿宋" w:eastAsia="仿宋" w:cs="仿宋"/>
          <w:b w:val="0"/>
          <w:bCs w:val="0"/>
          <w:color w:val="auto"/>
          <w:kern w:val="2"/>
          <w:sz w:val="32"/>
          <w:szCs w:val="32"/>
          <w:highlight w:val="none"/>
          <w:lang w:val="en-US" w:eastAsia="zh-CN" w:bidi="zh-CN"/>
        </w:rPr>
        <w:t>二、</w:t>
      </w:r>
      <w:r>
        <w:rPr>
          <w:rFonts w:hint="eastAsia" w:ascii="仿宋" w:hAnsi="仿宋" w:eastAsia="仿宋" w:cs="仿宋"/>
          <w:b w:val="0"/>
          <w:bCs w:val="0"/>
          <w:color w:val="auto"/>
          <w:kern w:val="2"/>
          <w:sz w:val="32"/>
          <w:szCs w:val="32"/>
          <w:highlight w:val="none"/>
          <w:lang w:val="zh-CN" w:eastAsia="zh-CN" w:bidi="zh-CN"/>
        </w:rPr>
        <w:t>合同费用</w:t>
      </w:r>
    </w:p>
    <w:p w14:paraId="63D1AD3E">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1.本项目服务总费用为</w:t>
      </w:r>
      <w:r>
        <w:rPr>
          <w:rFonts w:hint="default" w:ascii="仿宋" w:hAnsi="仿宋" w:eastAsia="仿宋" w:cs="仿宋"/>
          <w:color w:val="auto"/>
          <w:sz w:val="32"/>
          <w:szCs w:val="32"/>
          <w:highlight w:val="none"/>
          <w:lang w:val="en-US" w:eastAsia="zh-CN"/>
        </w:rPr>
        <w:t> ￥ （大写： 整）（含税）</w:t>
      </w:r>
      <w:r>
        <w:rPr>
          <w:rFonts w:hint="eastAsia" w:ascii="仿宋" w:hAnsi="仿宋" w:eastAsia="仿宋" w:cs="仿宋"/>
          <w:color w:val="auto"/>
          <w:sz w:val="32"/>
          <w:szCs w:val="32"/>
          <w:highlight w:val="none"/>
          <w:lang w:val="en-US" w:eastAsia="zh-CN"/>
        </w:rPr>
        <w:t>。</w:t>
      </w:r>
    </w:p>
    <w:p w14:paraId="2B55E9F3">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2.支付方式：</w:t>
      </w:r>
    </w:p>
    <w:p w14:paraId="4F0082A5">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全部演练活动实施完毕，乙方交付全部成果资料经甲方验收合格后开具合法发票，甲方收到发票3个工作日内向乙方支付合同总费用的100%。</w:t>
      </w:r>
    </w:p>
    <w:p w14:paraId="6845FB79">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3.乙方账户</w:t>
      </w:r>
    </w:p>
    <w:p w14:paraId="3733B944">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单位名称：</w:t>
      </w:r>
    </w:p>
    <w:p w14:paraId="2638BD2F">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开户银行：</w:t>
      </w:r>
    </w:p>
    <w:p w14:paraId="2C8A41E6">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color w:val="auto"/>
          <w:kern w:val="2"/>
          <w:sz w:val="32"/>
          <w:szCs w:val="32"/>
          <w:highlight w:val="none"/>
          <w:lang w:val="en-US" w:eastAsia="zh-CN" w:bidi="zh-CN"/>
        </w:rPr>
      </w:pPr>
      <w:r>
        <w:rPr>
          <w:rFonts w:hint="eastAsia" w:ascii="仿宋" w:hAnsi="仿宋" w:eastAsia="仿宋" w:cs="仿宋"/>
          <w:color w:val="auto"/>
          <w:kern w:val="2"/>
          <w:sz w:val="32"/>
          <w:szCs w:val="32"/>
          <w:highlight w:val="none"/>
          <w:lang w:val="en-US" w:eastAsia="zh-CN" w:bidi="zh-CN"/>
        </w:rPr>
        <w:t>账号：</w:t>
      </w:r>
    </w:p>
    <w:p w14:paraId="0569DB5A">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b w:val="0"/>
          <w:bCs w:val="0"/>
          <w:color w:val="auto"/>
          <w:kern w:val="2"/>
          <w:sz w:val="32"/>
          <w:szCs w:val="32"/>
          <w:highlight w:val="none"/>
          <w:lang w:val="zh-CN" w:eastAsia="zh-CN" w:bidi="zh-CN"/>
        </w:rPr>
      </w:pPr>
      <w:r>
        <w:rPr>
          <w:rFonts w:hint="eastAsia" w:ascii="仿宋" w:hAnsi="仿宋" w:eastAsia="仿宋" w:cs="仿宋"/>
          <w:b w:val="0"/>
          <w:bCs w:val="0"/>
          <w:color w:val="auto"/>
          <w:kern w:val="2"/>
          <w:sz w:val="32"/>
          <w:szCs w:val="32"/>
          <w:highlight w:val="none"/>
          <w:lang w:val="zh-CN" w:eastAsia="zh-CN" w:bidi="zh-CN"/>
        </w:rPr>
        <w:t>三、违约责任</w:t>
      </w:r>
    </w:p>
    <w:p w14:paraId="7A8CF82E">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560" w:lineRule="exact"/>
        <w:ind w:left="0" w:leftChars="0" w:right="0" w:rightChars="0" w:firstLine="640" w:firstLineChars="200"/>
        <w:jc w:val="both"/>
        <w:textAlignment w:val="baseline"/>
        <w:rPr>
          <w:rFonts w:hint="eastAsia" w:ascii="仿宋" w:hAnsi="仿宋" w:eastAsia="仿宋" w:cs="仿宋"/>
          <w:color w:val="auto"/>
          <w:kern w:val="2"/>
          <w:sz w:val="32"/>
          <w:szCs w:val="32"/>
          <w:highlight w:val="none"/>
          <w:lang w:val="en-US" w:eastAsia="zh-CN" w:bidi="zh-CN"/>
        </w:rPr>
      </w:pPr>
      <w:r>
        <w:rPr>
          <w:rFonts w:hint="eastAsia" w:ascii="仿宋" w:hAnsi="仿宋" w:eastAsia="仿宋" w:cs="仿宋"/>
          <w:color w:val="auto"/>
          <w:kern w:val="2"/>
          <w:sz w:val="32"/>
          <w:szCs w:val="32"/>
          <w:highlight w:val="none"/>
          <w:lang w:val="en-US" w:eastAsia="zh-CN" w:bidi="zh-CN"/>
        </w:rPr>
        <w:t>自本合同签定之日起，双方应严格遵守并认真执行，任何一方出现违约情况，应承担违约责任，守约方有权要求违约方在做出损失赔偿后继续履行其责任；也可在违约方根据法律规定或协商议定做出赔偿后，要求终止本合同。</w:t>
      </w:r>
    </w:p>
    <w:p w14:paraId="591EE785">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四、争讼条款</w:t>
      </w:r>
    </w:p>
    <w:p w14:paraId="53366219">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560" w:lineRule="exact"/>
        <w:ind w:left="0" w:leftChars="0" w:right="0" w:rightChars="0" w:firstLine="640" w:firstLineChars="200"/>
        <w:jc w:val="both"/>
        <w:textAlignment w:val="baseline"/>
        <w:rPr>
          <w:rFonts w:hint="eastAsia" w:ascii="仿宋" w:hAnsi="仿宋" w:eastAsia="仿宋" w:cs="仿宋"/>
          <w:color w:val="auto"/>
          <w:kern w:val="2"/>
          <w:sz w:val="32"/>
          <w:szCs w:val="32"/>
          <w:highlight w:val="none"/>
          <w:lang w:val="en-US" w:eastAsia="zh-CN" w:bidi="zh-CN"/>
        </w:rPr>
      </w:pPr>
      <w:r>
        <w:rPr>
          <w:rFonts w:hint="eastAsia" w:ascii="仿宋" w:hAnsi="仿宋" w:eastAsia="仿宋" w:cs="仿宋"/>
          <w:color w:val="auto"/>
          <w:kern w:val="2"/>
          <w:sz w:val="32"/>
          <w:szCs w:val="32"/>
          <w:highlight w:val="none"/>
          <w:lang w:val="en-US" w:eastAsia="zh-CN" w:bidi="zh-CN"/>
        </w:rPr>
        <w:t>因执行本合同所发生的一切争议，双方应本着宽容、热诚、互助和体谅的精神协同解决。如经协商不能达成一致，由甲方所在地人民法院处理。</w:t>
      </w:r>
    </w:p>
    <w:p w14:paraId="58B078D5">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五、其他事项</w:t>
      </w:r>
    </w:p>
    <w:p w14:paraId="78085B87">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color w:val="auto"/>
          <w:kern w:val="2"/>
          <w:sz w:val="32"/>
          <w:szCs w:val="32"/>
          <w:highlight w:val="none"/>
          <w:lang w:val="en-US" w:eastAsia="zh-CN" w:bidi="zh-CN"/>
        </w:rPr>
      </w:pPr>
      <w:r>
        <w:rPr>
          <w:rFonts w:hint="eastAsia" w:ascii="仿宋" w:hAnsi="仿宋" w:eastAsia="仿宋" w:cs="仿宋"/>
          <w:color w:val="auto"/>
          <w:kern w:val="2"/>
          <w:sz w:val="32"/>
          <w:szCs w:val="32"/>
          <w:highlight w:val="none"/>
          <w:lang w:val="en-US" w:eastAsia="zh-CN" w:bidi="zh-CN"/>
        </w:rPr>
        <w:t>1.本合同自双方签字、盖章之日起生效。合同履行完毕即自行失效。</w:t>
      </w:r>
    </w:p>
    <w:p w14:paraId="237452A8">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color w:val="auto"/>
          <w:kern w:val="2"/>
          <w:sz w:val="32"/>
          <w:szCs w:val="32"/>
          <w:highlight w:val="none"/>
          <w:lang w:val="en-US" w:eastAsia="zh-CN" w:bidi="zh-CN"/>
        </w:rPr>
      </w:pPr>
      <w:r>
        <w:rPr>
          <w:rFonts w:hint="eastAsia" w:ascii="仿宋" w:hAnsi="仿宋" w:eastAsia="仿宋" w:cs="仿宋"/>
          <w:color w:val="auto"/>
          <w:kern w:val="2"/>
          <w:sz w:val="32"/>
          <w:szCs w:val="32"/>
          <w:highlight w:val="none"/>
          <w:lang w:val="en-US" w:eastAsia="zh-CN" w:bidi="zh-CN"/>
        </w:rPr>
        <w:t>2.本合同履行期间，双方不得随意变更和解除合同，合同如有未尽事宜，由双方共同协商，作出补充规定。补充规定双方签章确认后，与本合同的其他条款具有同等的法律效力。</w:t>
      </w:r>
    </w:p>
    <w:p w14:paraId="43AE4D65">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color w:val="auto"/>
          <w:kern w:val="2"/>
          <w:sz w:val="32"/>
          <w:szCs w:val="32"/>
          <w:highlight w:val="none"/>
          <w:lang w:val="en-US" w:eastAsia="zh-CN" w:bidi="zh-CN"/>
        </w:rPr>
      </w:pPr>
      <w:r>
        <w:rPr>
          <w:rFonts w:hint="eastAsia" w:ascii="仿宋" w:hAnsi="仿宋" w:eastAsia="仿宋" w:cs="仿宋"/>
          <w:color w:val="auto"/>
          <w:kern w:val="2"/>
          <w:sz w:val="32"/>
          <w:szCs w:val="32"/>
          <w:highlight w:val="none"/>
          <w:lang w:val="en-US" w:eastAsia="zh-CN" w:bidi="zh-CN"/>
        </w:rPr>
        <w:t>3.本合同的解释和执行，适用中华人民共和国法律。</w:t>
      </w:r>
    </w:p>
    <w:p w14:paraId="6A6098AD">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color w:val="auto"/>
          <w:kern w:val="2"/>
          <w:sz w:val="32"/>
          <w:szCs w:val="32"/>
          <w:highlight w:val="none"/>
          <w:lang w:val="en-US" w:eastAsia="zh-CN" w:bidi="zh-CN"/>
        </w:rPr>
      </w:pPr>
      <w:r>
        <w:rPr>
          <w:rFonts w:hint="eastAsia" w:ascii="仿宋" w:hAnsi="仿宋" w:eastAsia="仿宋" w:cs="仿宋"/>
          <w:color w:val="auto"/>
          <w:kern w:val="2"/>
          <w:sz w:val="32"/>
          <w:szCs w:val="32"/>
          <w:highlight w:val="none"/>
          <w:lang w:val="en-US" w:eastAsia="zh-CN" w:bidi="zh-CN"/>
        </w:rPr>
        <w:t>4.本合同正本一式</w:t>
      </w:r>
      <w:r>
        <w:rPr>
          <w:rFonts w:hint="eastAsia" w:ascii="仿宋" w:hAnsi="仿宋" w:eastAsia="仿宋" w:cs="仿宋"/>
          <w:color w:val="auto"/>
          <w:kern w:val="2"/>
          <w:sz w:val="32"/>
          <w:szCs w:val="32"/>
          <w:highlight w:val="none"/>
          <w:u w:val="single"/>
          <w:lang w:val="en-US" w:eastAsia="zh-CN" w:bidi="zh-CN"/>
        </w:rPr>
        <w:t xml:space="preserve">   </w:t>
      </w:r>
      <w:r>
        <w:rPr>
          <w:rFonts w:hint="eastAsia" w:ascii="仿宋" w:hAnsi="仿宋" w:eastAsia="仿宋" w:cs="仿宋"/>
          <w:color w:val="auto"/>
          <w:kern w:val="2"/>
          <w:sz w:val="32"/>
          <w:szCs w:val="32"/>
          <w:highlight w:val="none"/>
          <w:lang w:val="en-US" w:eastAsia="zh-CN" w:bidi="zh-CN"/>
        </w:rPr>
        <w:t>份，甲方执</w:t>
      </w:r>
      <w:r>
        <w:rPr>
          <w:rFonts w:hint="eastAsia" w:ascii="仿宋" w:hAnsi="仿宋" w:eastAsia="仿宋" w:cs="仿宋"/>
          <w:color w:val="auto"/>
          <w:kern w:val="2"/>
          <w:sz w:val="32"/>
          <w:szCs w:val="32"/>
          <w:highlight w:val="none"/>
          <w:u w:val="single"/>
          <w:lang w:val="en-US" w:eastAsia="zh-CN" w:bidi="zh-CN"/>
        </w:rPr>
        <w:t xml:space="preserve">   </w:t>
      </w:r>
      <w:r>
        <w:rPr>
          <w:rFonts w:hint="eastAsia" w:ascii="仿宋" w:hAnsi="仿宋" w:eastAsia="仿宋" w:cs="仿宋"/>
          <w:color w:val="auto"/>
          <w:kern w:val="2"/>
          <w:sz w:val="32"/>
          <w:szCs w:val="32"/>
          <w:highlight w:val="none"/>
          <w:lang w:val="en-US" w:eastAsia="zh-CN" w:bidi="zh-CN"/>
        </w:rPr>
        <w:t>份，乙方执</w:t>
      </w:r>
      <w:r>
        <w:rPr>
          <w:rFonts w:hint="eastAsia" w:ascii="仿宋" w:hAnsi="仿宋" w:eastAsia="仿宋" w:cs="仿宋"/>
          <w:color w:val="auto"/>
          <w:kern w:val="2"/>
          <w:sz w:val="32"/>
          <w:szCs w:val="32"/>
          <w:highlight w:val="none"/>
          <w:u w:val="single"/>
          <w:lang w:val="en-US" w:eastAsia="zh-CN" w:bidi="zh-CN"/>
        </w:rPr>
        <w:t xml:space="preserve">   </w:t>
      </w:r>
      <w:r>
        <w:rPr>
          <w:rFonts w:hint="eastAsia" w:ascii="仿宋" w:hAnsi="仿宋" w:eastAsia="仿宋" w:cs="仿宋"/>
          <w:color w:val="auto"/>
          <w:kern w:val="2"/>
          <w:sz w:val="32"/>
          <w:szCs w:val="32"/>
          <w:highlight w:val="none"/>
          <w:lang w:val="en-US" w:eastAsia="zh-CN" w:bidi="zh-CN"/>
        </w:rPr>
        <w:t>份。</w:t>
      </w:r>
    </w:p>
    <w:p w14:paraId="6D8028E1">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color w:val="auto"/>
          <w:kern w:val="2"/>
          <w:sz w:val="32"/>
          <w:szCs w:val="32"/>
          <w:highlight w:val="none"/>
          <w:lang w:val="en-US" w:eastAsia="zh-CN" w:bidi="zh-CN"/>
        </w:rPr>
      </w:pPr>
    </w:p>
    <w:p w14:paraId="3B34C847">
      <w:pPr>
        <w:pStyle w:val="13"/>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color w:val="auto"/>
          <w:kern w:val="2"/>
          <w:sz w:val="32"/>
          <w:szCs w:val="32"/>
          <w:highlight w:val="none"/>
          <w:lang w:val="en-US" w:eastAsia="zh-CN" w:bidi="zh-CN"/>
        </w:rPr>
      </w:pPr>
    </w:p>
    <w:p w14:paraId="434FB5D6">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rPr>
          <w:rFonts w:hint="eastAsia" w:ascii="仿宋" w:hAnsi="仿宋" w:eastAsia="仿宋" w:cs="仿宋"/>
          <w:color w:val="auto"/>
          <w:kern w:val="2"/>
          <w:sz w:val="32"/>
          <w:szCs w:val="32"/>
          <w:highlight w:val="none"/>
          <w:lang w:val="en-US" w:eastAsia="zh-CN" w:bidi="zh-CN"/>
        </w:rPr>
      </w:pPr>
      <w:r>
        <w:rPr>
          <w:rFonts w:hint="eastAsia" w:ascii="仿宋" w:hAnsi="仿宋" w:eastAsia="仿宋" w:cs="仿宋"/>
          <w:color w:val="auto"/>
          <w:kern w:val="2"/>
          <w:sz w:val="32"/>
          <w:szCs w:val="32"/>
          <w:highlight w:val="none"/>
          <w:lang w:val="en-US" w:eastAsia="zh-CN" w:bidi="zh-CN"/>
        </w:rPr>
        <w:t>甲方(盖章):                   乙方(盖章):</w:t>
      </w:r>
    </w:p>
    <w:p w14:paraId="3E12AF27">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 w:hAnsi="仿宋" w:eastAsia="仿宋" w:cs="仿宋"/>
          <w:color w:val="auto"/>
          <w:kern w:val="2"/>
          <w:sz w:val="32"/>
          <w:szCs w:val="32"/>
          <w:highlight w:val="none"/>
          <w:lang w:val="en-US" w:eastAsia="zh-CN" w:bidi="zh-CN"/>
        </w:rPr>
      </w:pPr>
    </w:p>
    <w:p w14:paraId="5A7EF644">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 w:hAnsi="仿宋" w:eastAsia="仿宋" w:cs="仿宋"/>
          <w:color w:val="auto"/>
          <w:kern w:val="2"/>
          <w:sz w:val="32"/>
          <w:szCs w:val="32"/>
          <w:highlight w:val="none"/>
          <w:lang w:val="en-US" w:eastAsia="zh-CN" w:bidi="zh-CN"/>
        </w:rPr>
      </w:pPr>
      <w:r>
        <w:rPr>
          <w:rFonts w:hint="eastAsia" w:ascii="仿宋" w:hAnsi="仿宋" w:eastAsia="仿宋" w:cs="仿宋"/>
          <w:color w:val="auto"/>
          <w:kern w:val="2"/>
          <w:sz w:val="32"/>
          <w:szCs w:val="32"/>
          <w:highlight w:val="none"/>
          <w:lang w:val="en-US" w:eastAsia="zh-CN" w:bidi="zh-CN"/>
        </w:rPr>
        <w:t>代表签名:                     代表签名:</w:t>
      </w:r>
    </w:p>
    <w:p w14:paraId="48E797E0">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 w:hAnsi="仿宋" w:eastAsia="仿宋" w:cs="仿宋"/>
          <w:color w:val="auto"/>
          <w:kern w:val="2"/>
          <w:sz w:val="32"/>
          <w:szCs w:val="32"/>
          <w:highlight w:val="none"/>
          <w:lang w:val="en-US" w:eastAsia="zh-CN" w:bidi="zh-CN"/>
        </w:rPr>
      </w:pPr>
    </w:p>
    <w:p w14:paraId="4264458B">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 w:hAnsi="仿宋" w:eastAsia="仿宋" w:cs="仿宋"/>
          <w:color w:val="auto"/>
          <w:kern w:val="2"/>
          <w:sz w:val="32"/>
          <w:szCs w:val="32"/>
          <w:highlight w:val="none"/>
          <w:lang w:val="en-US" w:eastAsia="zh-CN" w:bidi="zh-CN"/>
        </w:rPr>
      </w:pPr>
      <w:r>
        <w:rPr>
          <w:rFonts w:hint="eastAsia" w:ascii="仿宋" w:hAnsi="仿宋" w:eastAsia="仿宋" w:cs="仿宋"/>
          <w:color w:val="auto"/>
          <w:kern w:val="2"/>
          <w:sz w:val="32"/>
          <w:szCs w:val="32"/>
          <w:highlight w:val="none"/>
          <w:lang w:val="en-US" w:eastAsia="zh-CN" w:bidi="zh-CN"/>
        </w:rPr>
        <w:t>日期:    年  月  日          日期:   年  月  日</w:t>
      </w:r>
    </w:p>
    <w:p w14:paraId="6C772C3B">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 w:hAnsi="仿宋" w:eastAsia="仿宋" w:cs="仿宋"/>
          <w:color w:val="auto"/>
          <w:kern w:val="2"/>
          <w:sz w:val="32"/>
          <w:szCs w:val="32"/>
          <w:highlight w:val="none"/>
          <w:lang w:val="en-US" w:eastAsia="zh-CN" w:bidi="zh-CN"/>
        </w:rPr>
      </w:pPr>
    </w:p>
    <w:p w14:paraId="69280B6B">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 w:hAnsi="仿宋" w:eastAsia="仿宋" w:cs="仿宋"/>
          <w:color w:val="auto"/>
          <w:kern w:val="2"/>
          <w:sz w:val="32"/>
          <w:szCs w:val="32"/>
          <w:highlight w:val="none"/>
          <w:lang w:val="en-US" w:eastAsia="zh-CN" w:bidi="zh-CN"/>
        </w:rPr>
      </w:pPr>
    </w:p>
    <w:p w14:paraId="3529E932">
      <w:pPr>
        <w:rPr>
          <w:rFonts w:hint="eastAsia" w:ascii="仿宋" w:hAnsi="仿宋" w:eastAsia="仿宋" w:cs="仿宋"/>
          <w:color w:val="auto"/>
          <w:highlight w:val="none"/>
          <w:lang w:val="en-US" w:eastAsia="zh-CN"/>
        </w:rPr>
      </w:pPr>
    </w:p>
    <w:p w14:paraId="70A8123C">
      <w:pPr>
        <w:pStyle w:val="2"/>
        <w:adjustRightInd w:val="0"/>
        <w:snapToGrid w:val="0"/>
        <w:spacing w:line="560" w:lineRule="exact"/>
        <w:jc w:val="center"/>
        <w:rPr>
          <w:rFonts w:hint="eastAsia" w:asciiTheme="majorEastAsia" w:hAnsiTheme="majorEastAsia" w:eastAsiaTheme="majorEastAsia" w:cstheme="majorEastAsia"/>
          <w:color w:val="auto"/>
          <w:sz w:val="44"/>
          <w:highlight w:val="none"/>
        </w:rPr>
      </w:pPr>
      <w:bookmarkStart w:id="52" w:name="_Toc11038"/>
      <w:r>
        <w:rPr>
          <w:rFonts w:hint="eastAsia" w:asciiTheme="majorEastAsia" w:hAnsiTheme="majorEastAsia" w:eastAsiaTheme="majorEastAsia" w:cstheme="majorEastAsia"/>
          <w:color w:val="auto"/>
          <w:sz w:val="44"/>
          <w:highlight w:val="none"/>
        </w:rPr>
        <w:t xml:space="preserve">第五部分 </w:t>
      </w:r>
      <w:bookmarkEnd w:id="47"/>
      <w:bookmarkEnd w:id="48"/>
      <w:bookmarkEnd w:id="49"/>
      <w:r>
        <w:rPr>
          <w:rFonts w:hint="eastAsia" w:asciiTheme="majorEastAsia" w:hAnsiTheme="majorEastAsia" w:eastAsiaTheme="majorEastAsia" w:cstheme="majorEastAsia"/>
          <w:color w:val="auto"/>
          <w:sz w:val="44"/>
          <w:highlight w:val="none"/>
        </w:rPr>
        <w:t>项目需求</w:t>
      </w:r>
      <w:bookmarkEnd w:id="50"/>
      <w:bookmarkEnd w:id="51"/>
      <w:bookmarkEnd w:id="52"/>
    </w:p>
    <w:p w14:paraId="54988445">
      <w:pPr>
        <w:adjustRightInd w:val="0"/>
        <w:snapToGrid w:val="0"/>
        <w:spacing w:line="560" w:lineRule="exact"/>
        <w:ind w:firstLine="640" w:firstLineChars="200"/>
        <w:rPr>
          <w:rFonts w:ascii="仿宋" w:hAnsi="仿宋" w:eastAsia="仿宋" w:cs="仿宋"/>
          <w:color w:val="auto"/>
          <w:sz w:val="32"/>
          <w:szCs w:val="32"/>
          <w:highlight w:val="none"/>
        </w:rPr>
      </w:pPr>
      <w:bookmarkStart w:id="53" w:name="_Toc425948677"/>
    </w:p>
    <w:p w14:paraId="491E797C">
      <w:pPr>
        <w:adjustRightInd w:val="0"/>
        <w:snapToGrid w:val="0"/>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一、项目概况</w:t>
      </w:r>
    </w:p>
    <w:p w14:paraId="0FBCB756">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Chars="0" w:firstLine="640"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color w:val="auto"/>
          <w:sz w:val="32"/>
          <w:szCs w:val="32"/>
          <w:highlight w:val="none"/>
        </w:rPr>
        <w:t>采购项目名称：</w:t>
      </w:r>
      <w:r>
        <w:rPr>
          <w:rFonts w:hint="eastAsia" w:ascii="仿宋" w:hAnsi="仿宋" w:eastAsia="仿宋" w:cs="仿宋"/>
          <w:b w:val="0"/>
          <w:bCs/>
          <w:color w:val="auto"/>
          <w:sz w:val="32"/>
          <w:szCs w:val="32"/>
          <w:highlight w:val="none"/>
          <w:lang w:val="en-US" w:eastAsia="zh-CN"/>
        </w:rPr>
        <w:t>2026年学生消防应急疏散与灭火演练项目</w:t>
      </w:r>
    </w:p>
    <w:p w14:paraId="26757A84">
      <w:pPr>
        <w:adjustRightInd w:val="0"/>
        <w:snapToGrid w:val="0"/>
        <w:spacing w:line="560" w:lineRule="exact"/>
        <w:ind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采购项目编号：HNWJY-FW202600</w:t>
      </w:r>
      <w:r>
        <w:rPr>
          <w:rFonts w:hint="eastAsia" w:ascii="仿宋" w:hAnsi="仿宋" w:eastAsia="仿宋" w:cs="仿宋"/>
          <w:color w:val="auto"/>
          <w:sz w:val="32"/>
          <w:szCs w:val="32"/>
          <w:highlight w:val="none"/>
          <w:lang w:val="en-US" w:eastAsia="zh-CN"/>
        </w:rPr>
        <w:t>5</w:t>
      </w:r>
    </w:p>
    <w:p w14:paraId="5D0D1913">
      <w:pPr>
        <w:keepNext w:val="0"/>
        <w:keepLines w:val="0"/>
        <w:pageBreakBefore w:val="0"/>
        <w:widowControl w:val="0"/>
        <w:kinsoku/>
        <w:wordWrap/>
        <w:overflowPunct/>
        <w:topLinePunct w:val="0"/>
        <w:autoSpaceDE/>
        <w:autoSpaceDN/>
        <w:bidi w:val="0"/>
        <w:adjustRightInd w:val="0"/>
        <w:snapToGrid w:val="0"/>
        <w:spacing w:line="560" w:lineRule="exact"/>
        <w:ind w:left="319" w:leftChars="114" w:firstLine="320" w:firstLineChars="1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项目预算：</w:t>
      </w:r>
      <w:r>
        <w:rPr>
          <w:rFonts w:hint="eastAsia" w:ascii="仿宋" w:hAnsi="仿宋" w:eastAsia="仿宋" w:cs="仿宋"/>
          <w:color w:val="auto"/>
          <w:sz w:val="32"/>
          <w:szCs w:val="32"/>
          <w:highlight w:val="none"/>
          <w:lang w:val="en-US" w:eastAsia="zh-CN"/>
        </w:rPr>
        <w:t>25</w:t>
      </w:r>
      <w:r>
        <w:rPr>
          <w:rFonts w:hint="eastAsia" w:ascii="仿宋" w:hAnsi="仿宋" w:eastAsia="仿宋" w:cs="仿宋"/>
          <w:color w:val="auto"/>
          <w:sz w:val="32"/>
          <w:szCs w:val="32"/>
          <w:highlight w:val="none"/>
        </w:rPr>
        <w:t>000.00元</w:t>
      </w:r>
    </w:p>
    <w:p w14:paraId="5A797E66">
      <w:pPr>
        <w:keepNext w:val="0"/>
        <w:keepLines w:val="0"/>
        <w:pageBreakBefore w:val="0"/>
        <w:widowControl w:val="0"/>
        <w:numPr>
          <w:ilvl w:val="0"/>
          <w:numId w:val="4"/>
        </w:numPr>
        <w:shd w:val="clea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商务需求</w:t>
      </w:r>
    </w:p>
    <w:p w14:paraId="6EABE1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1.供应商营业执照载明的经营范围应能覆盖本项目的主要采购/服务内容。（提供承诺函）</w:t>
      </w:r>
    </w:p>
    <w:p w14:paraId="18C11A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bookmarkStart w:id="54" w:name="_Toc40089799"/>
      <w:bookmarkStart w:id="55" w:name="_Toc21799"/>
      <w:bookmarkStart w:id="56" w:name="_Toc12517"/>
      <w:r>
        <w:rPr>
          <w:rFonts w:hint="eastAsia" w:ascii="仿宋" w:hAnsi="仿宋" w:eastAsia="仿宋" w:cs="仿宋"/>
          <w:color w:val="auto"/>
          <w:sz w:val="32"/>
          <w:szCs w:val="32"/>
          <w:highlight w:val="none"/>
          <w:lang w:val="en-US" w:eastAsia="zh-CN"/>
        </w:rPr>
        <w:t>2.合同履行期限：合同签订之日起至全部演练活动及成果交付完成，具体演练日期由双方协商确定，所有工作须在2026年12月31日前完成。</w:t>
      </w:r>
    </w:p>
    <w:p w14:paraId="3D09B1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3.报价要求：供应商报价须为一次性包干总价，包含方案策划、培训师资、现场组织、设备使用、物资耗材、影像摄制与后期制作、资料汇编、交通、人员劳务、保险、税费等全部费用。</w:t>
      </w:r>
    </w:p>
    <w:p w14:paraId="37C0DA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4.业绩要求：近三年内（2023年1月1日至今）具有至少1项学校类消防演练或大型消防安全培训活动承办经验，需提供合同复印件及甲方出具的满意度评价或验收证明。</w:t>
      </w:r>
    </w:p>
    <w:p w14:paraId="593A4A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5.人员要求：</w:t>
      </w:r>
    </w:p>
    <w:p w14:paraId="760BAA9A">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（1）项目总负责人1人，具有一级注册消防工程师资格，负责项目整体统筹与方案审核；</w:t>
      </w:r>
    </w:p>
    <w:p w14:paraId="63E915F0">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（2）现场执行人员不少于4人，其中须包含：</w:t>
      </w:r>
    </w:p>
    <w:p w14:paraId="723AADE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具备消防设施操作员（中级及以上）或同等消防资质的技术骨干不少于1人；</w:t>
      </w:r>
    </w:p>
    <w:p w14:paraId="6DABA36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负责影像采集与素材制作的专业人员不少于1人（需提供相关摄影/摄像作品或从业经历证明）。</w:t>
      </w:r>
    </w:p>
    <w:p w14:paraId="406BEB0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（须提供上述相关人员有效资质证书复印件及近三个月社保证明，原件备查）</w:t>
      </w:r>
    </w:p>
    <w:p w14:paraId="7EAB48D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6.支付方式：全部演练活动实施完毕，乙方交付全部成果资料经甲方验收合格后3个工作日内，甲方向乙方支付合同总费用的100%。</w:t>
      </w:r>
    </w:p>
    <w:p w14:paraId="5EBDC22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7.验收标准：</w:t>
      </w:r>
    </w:p>
    <w:p w14:paraId="52CE05C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（1）演练实施方案经甲方审核通过；</w:t>
      </w:r>
    </w:p>
    <w:p w14:paraId="5774E5E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（2）按方案完成全部培训及演练环节，过程安全有序；</w:t>
      </w:r>
    </w:p>
    <w:p w14:paraId="0931BBD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（3）交付的全套成果资料（视频、图片、档案汇编）完整、清晰、规范，符合合同约定标准；</w:t>
      </w:r>
    </w:p>
    <w:p w14:paraId="1E81497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（4）提交《演练评估报告》内容详实。</w:t>
      </w:r>
    </w:p>
    <w:p w14:paraId="73275E4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（供应商须提供承诺函，承诺满足以上验收要求，格式自拟）</w:t>
      </w:r>
    </w:p>
    <w:p w14:paraId="55F109C8">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20" w:lineRule="exact"/>
        <w:ind w:leftChars="0" w:firstLine="640" w:firstLineChars="200"/>
        <w:jc w:val="left"/>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三、技术需求</w:t>
      </w:r>
    </w:p>
    <w:p w14:paraId="72F59CF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（一）服务内容</w:t>
      </w:r>
    </w:p>
    <w:p w14:paraId="5014171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1.演练方案策划：</w:t>
      </w:r>
    </w:p>
    <w:p w14:paraId="67286E2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根据学校两校区（秀华路32号、白水塘路48号）实际建筑布局及学生规模，策划覆盖全体在校学生的4场消防应急疏散与灭火演练。方案应详细、科学，具有可操作性。</w:t>
      </w:r>
    </w:p>
    <w:p w14:paraId="3C0E9F6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2.演练前培训：</w:t>
      </w:r>
    </w:p>
    <w:p w14:paraId="25ED0BA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对相关人员进行不少于2学时的消防知识与技能培训，内容须涵盖消防法规常识、火灾隐患排查、疏散逃生技巧、灭火器及消火栓使用、急救知识等。</w:t>
      </w:r>
    </w:p>
    <w:p w14:paraId="69C1047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3.演练实施（至少包含以下核心环节）：</w:t>
      </w:r>
    </w:p>
    <w:p w14:paraId="472C5D5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（1）模拟火情触发与报警联动（使用烟雾发生器模拟真实烟雾效果）；</w:t>
      </w:r>
    </w:p>
    <w:p w14:paraId="631678C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（2）应急广播与人员紧急疏散；</w:t>
      </w:r>
    </w:p>
    <w:p w14:paraId="45BA01A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（3）义务消防队初期火灾扑救演示；</w:t>
      </w:r>
    </w:p>
    <w:p w14:paraId="69180C3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（4）学生代表分组进行灭火器实操灭火；</w:t>
      </w:r>
    </w:p>
    <w:p w14:paraId="5B62F19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（5）现场讲评与总结。</w:t>
      </w:r>
    </w:p>
    <w:p w14:paraId="7B7640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4.影像记录与成果制作：</w:t>
      </w:r>
    </w:p>
    <w:p w14:paraId="2FB7D69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全程多机位拍摄演练过程，制作符合安全教育宣传标准的高清视频成片及图片资料。</w:t>
      </w:r>
    </w:p>
    <w:p w14:paraId="5CCBAED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（二）物资与设备要求</w:t>
      </w:r>
    </w:p>
    <w:p w14:paraId="341E48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供应商应自行准备演练所需各类物资及设备，清单应在响应文件中列明，包括但不限于：</w:t>
      </w:r>
    </w:p>
    <w:p w14:paraId="03B1776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1.模拟火源设施（如模拟发烟装置、可控火盆等）；</w:t>
      </w:r>
    </w:p>
    <w:p w14:paraId="5734836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2.灭火器材（演练用灭火器若干具，建议使用水基型或干粉型训练专用灭火器，并备足燃料）；</w:t>
      </w:r>
    </w:p>
    <w:p w14:paraId="1E03AE9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3.消火栓实操演示设备；</w:t>
      </w:r>
    </w:p>
    <w:p w14:paraId="7F925F9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4.疏散引导标识、对讲机、手持扩音器；</w:t>
      </w:r>
    </w:p>
    <w:p w14:paraId="068447C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5.影像拍摄设备（高清摄像机不少于2台、无人机不少于1架、单反相机不少于1台等）；</w:t>
      </w:r>
    </w:p>
    <w:p w14:paraId="45FE42E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6.个人防护用品（安全帽、反光背心、手套等），按执行团队及参演保障人员数量配齐。</w:t>
      </w:r>
    </w:p>
    <w:p w14:paraId="68CD497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（三）演练规模参考</w:t>
      </w:r>
    </w:p>
    <w:p w14:paraId="0079E09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eastAsia="宋体"/>
          <w:color w:val="auto"/>
          <w:highlight w:val="none"/>
          <w:lang w:val="en-US" w:eastAsia="zh-CN"/>
        </w:rPr>
      </w:pPr>
      <w:r>
        <w:rPr>
          <w:rFonts w:hint="eastAsia" w:ascii="仿宋" w:hAnsi="仿宋" w:eastAsia="仿宋" w:cs="仿宋"/>
          <w:color w:val="auto"/>
          <w:sz w:val="32"/>
          <w:szCs w:val="32"/>
          <w:highlight w:val="none"/>
          <w:lang w:val="en-US" w:eastAsia="zh-CN"/>
        </w:rPr>
        <w:t>我校在校学生总数约6000人。本次演练拟定参与疏散人数具体以甲方最终确定为准。供应商应据此合理规划演练方案及物资、人力配置。</w:t>
      </w:r>
    </w:p>
    <w:p w14:paraId="7DE1B909">
      <w:pPr>
        <w:bidi w:val="0"/>
        <w:rPr>
          <w:rFonts w:hint="eastAsia" w:eastAsia="宋体"/>
          <w:color w:val="auto"/>
          <w:highlight w:val="none"/>
          <w:lang w:eastAsia="zh-CN"/>
        </w:rPr>
      </w:pPr>
    </w:p>
    <w:p w14:paraId="1FF4308A">
      <w:pPr>
        <w:pStyle w:val="2"/>
        <w:adjustRightInd w:val="0"/>
        <w:snapToGrid w:val="0"/>
        <w:spacing w:line="560" w:lineRule="exact"/>
        <w:rPr>
          <w:rFonts w:hint="eastAsia" w:asciiTheme="majorEastAsia" w:hAnsiTheme="majorEastAsia" w:eastAsiaTheme="majorEastAsia" w:cstheme="majorEastAsia"/>
          <w:color w:val="auto"/>
          <w:sz w:val="44"/>
          <w:highlight w:val="none"/>
          <w:lang w:val="en-US" w:eastAsia="zh-CN"/>
        </w:rPr>
      </w:pPr>
      <w:r>
        <w:rPr>
          <w:rFonts w:hint="eastAsia" w:asciiTheme="majorEastAsia" w:hAnsiTheme="majorEastAsia" w:eastAsiaTheme="majorEastAsia" w:cstheme="majorEastAsia"/>
          <w:color w:val="auto"/>
          <w:sz w:val="44"/>
          <w:highlight w:val="none"/>
          <w:lang w:val="en-US" w:eastAsia="zh-CN"/>
        </w:rPr>
        <w:t>第六部分 报价文件格式</w:t>
      </w:r>
      <w:bookmarkEnd w:id="53"/>
      <w:bookmarkEnd w:id="54"/>
      <w:bookmarkEnd w:id="55"/>
      <w:bookmarkEnd w:id="56"/>
    </w:p>
    <w:p w14:paraId="3E357EEA">
      <w:pPr>
        <w:adjustRightInd w:val="0"/>
        <w:snapToGrid w:val="0"/>
        <w:spacing w:line="560" w:lineRule="exact"/>
        <w:ind w:left="638" w:leftChars="228"/>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一、商务部分</w:t>
      </w:r>
    </w:p>
    <w:p w14:paraId="14D856F1">
      <w:pPr>
        <w:adjustRightInd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响应承诺函</w:t>
      </w:r>
      <w:r>
        <w:rPr>
          <w:rFonts w:hint="eastAsia" w:ascii="仿宋" w:hAnsi="仿宋" w:eastAsia="仿宋" w:cs="仿宋"/>
          <w:color w:val="auto"/>
          <w:sz w:val="32"/>
          <w:szCs w:val="32"/>
          <w:highlight w:val="none"/>
        </w:rPr>
        <w:t>（详见附件1）</w:t>
      </w:r>
    </w:p>
    <w:p w14:paraId="6BEAD3B4">
      <w:pPr>
        <w:adjustRightInd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2.★如为授权代表签字，提供法定代表人授权书（详见附件2）</w:t>
      </w:r>
    </w:p>
    <w:p w14:paraId="010ABCDA">
      <w:pPr>
        <w:adjustRightInd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3.★近三年内，在经营活动中没有重大违法记录的声明（详见附件3）</w:t>
      </w:r>
    </w:p>
    <w:p w14:paraId="587A4162">
      <w:pPr>
        <w:adjustRightInd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4.★商务响应表（详见附件4）</w:t>
      </w:r>
    </w:p>
    <w:p w14:paraId="24C9F26B">
      <w:pPr>
        <w:adjustRightInd w:val="0"/>
        <w:snapToGrid w:val="0"/>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二、资信部分</w:t>
      </w:r>
    </w:p>
    <w:p w14:paraId="53AD61AB">
      <w:pPr>
        <w:adjustRightInd w:val="0"/>
        <w:snapToGrid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1.★提供投标人资格要求里的证明材料复印件</w:t>
      </w:r>
    </w:p>
    <w:p w14:paraId="0FB53FA5">
      <w:pPr>
        <w:adjustRightInd w:val="0"/>
        <w:snapToGrid w:val="0"/>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三、技术部分</w:t>
      </w:r>
    </w:p>
    <w:p w14:paraId="6416264F">
      <w:pPr>
        <w:adjustRightInd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1.对本项目的技术服务类总体要求的理解（如有）</w:t>
      </w:r>
    </w:p>
    <w:p w14:paraId="0EC7FA98">
      <w:pPr>
        <w:adjustRightInd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2.项目总体架构及技术解决方案、技术保证措施、供货方案等（如有）</w:t>
      </w:r>
    </w:p>
    <w:p w14:paraId="0A7CBCA9">
      <w:pPr>
        <w:adjustRightInd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3.★技术响应表（详见附件5）</w:t>
      </w:r>
    </w:p>
    <w:p w14:paraId="778192FF">
      <w:pPr>
        <w:adjustRightInd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4.投标货物产品图片等证明货物的合格性和符合磋商文件规定的技术资料。（如有）</w:t>
      </w:r>
    </w:p>
    <w:p w14:paraId="0037A715">
      <w:pPr>
        <w:adjustRightInd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5.供应商或制造商在采购人所属地区的售后服务维修机构数量及分布情况（如有）。</w:t>
      </w:r>
    </w:p>
    <w:p w14:paraId="64D7ECC3">
      <w:pPr>
        <w:adjustRightInd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6.技术服务、技术培训、售后服务的内容和措施（如有）。</w:t>
      </w:r>
    </w:p>
    <w:p w14:paraId="73CEC447">
      <w:pPr>
        <w:adjustRightInd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7.供应商同类项目实施情况一览表并提供能证明其业绩属实的合同复印件（如有）。</w:t>
      </w:r>
    </w:p>
    <w:p w14:paraId="299BB18C">
      <w:pPr>
        <w:adjustRightInd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8.选配件、专用耗材、售后服务优惠表（如有）。</w:t>
      </w:r>
    </w:p>
    <w:p w14:paraId="40720EC4">
      <w:pPr>
        <w:adjustRightInd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9.磋商文件规定或供应商认为其它应介绍或提交的资料和文件。</w:t>
      </w:r>
    </w:p>
    <w:p w14:paraId="113E5726">
      <w:pPr>
        <w:adjustRightInd w:val="0"/>
        <w:snapToGrid w:val="0"/>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四、报价部分</w:t>
      </w:r>
    </w:p>
    <w:p w14:paraId="3B10EDA9">
      <w:pPr>
        <w:adjustRightInd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★报价一览表（详见附件6）</w:t>
      </w:r>
    </w:p>
    <w:p w14:paraId="67BCA99A">
      <w:pPr>
        <w:adjustRightInd w:val="0"/>
        <w:snapToGrid w:val="0"/>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五、特别说明</w:t>
      </w:r>
    </w:p>
    <w:p w14:paraId="6BE7F077">
      <w:pPr>
        <w:adjustRightInd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以上格式中标注“★”的，供应商必须提供，未提供或未按要求提供的，一律为无效投标。</w:t>
      </w:r>
    </w:p>
    <w:p w14:paraId="31A0D019">
      <w:pPr>
        <w:adjustRightInd w:val="0"/>
        <w:snapToGrid w:val="0"/>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14:paraId="6E577799">
      <w:pPr>
        <w:rPr>
          <w:rFonts w:ascii="方正公文黑体" w:hAnsi="方正公文黑体" w:eastAsia="方正公文黑体" w:cs="方正公文黑体"/>
          <w:color w:val="auto"/>
          <w:sz w:val="36"/>
          <w:szCs w:val="36"/>
          <w:highlight w:val="none"/>
        </w:rPr>
      </w:pPr>
      <w:bookmarkStart w:id="57" w:name="_Toc14759"/>
      <w:bookmarkStart w:id="58" w:name="_Toc40089800"/>
      <w:bookmarkStart w:id="59" w:name="_Toc356490394"/>
      <w:bookmarkStart w:id="60" w:name="_Toc356491342"/>
      <w:r>
        <w:rPr>
          <w:rFonts w:hint="eastAsia" w:ascii="方正公文黑体" w:hAnsi="方正公文黑体" w:eastAsia="方正公文黑体" w:cs="方正公文黑体"/>
          <w:color w:val="auto"/>
          <w:sz w:val="36"/>
          <w:szCs w:val="36"/>
          <w:highlight w:val="none"/>
        </w:rPr>
        <w:t>附件</w:t>
      </w:r>
      <w:bookmarkEnd w:id="57"/>
      <w:bookmarkEnd w:id="58"/>
    </w:p>
    <w:p w14:paraId="4BFE6898">
      <w:pPr>
        <w:jc w:val="center"/>
        <w:rPr>
          <w:rFonts w:ascii="仿宋_GB2312" w:hAnsi="仿宋_GB2312" w:eastAsia="仿宋_GB2312" w:cs="仿宋_GB2312"/>
          <w:b/>
          <w:color w:val="auto"/>
          <w:highlight w:val="none"/>
        </w:rPr>
      </w:pPr>
    </w:p>
    <w:p w14:paraId="1F4AA67F">
      <w:pPr>
        <w:jc w:val="center"/>
        <w:rPr>
          <w:rFonts w:ascii="仿宋_GB2312" w:hAnsi="仿宋_GB2312" w:eastAsia="仿宋_GB2312" w:cs="仿宋_GB2312"/>
          <w:b/>
          <w:color w:val="auto"/>
          <w:highlight w:val="none"/>
        </w:rPr>
      </w:pPr>
    </w:p>
    <w:p w14:paraId="3F66C930">
      <w:pPr>
        <w:jc w:val="center"/>
        <w:rPr>
          <w:rFonts w:ascii="仿宋_GB2312" w:hAnsi="仿宋_GB2312" w:eastAsia="仿宋_GB2312" w:cs="仿宋_GB2312"/>
          <w:b/>
          <w:color w:val="auto"/>
          <w:highlight w:val="none"/>
        </w:rPr>
      </w:pPr>
    </w:p>
    <w:p w14:paraId="2769EC07">
      <w:pPr>
        <w:jc w:val="center"/>
        <w:rPr>
          <w:rFonts w:ascii="仿宋_GB2312" w:hAnsi="仿宋_GB2312" w:eastAsia="仿宋_GB2312" w:cs="仿宋_GB2312"/>
          <w:b/>
          <w:color w:val="auto"/>
          <w:highlight w:val="none"/>
        </w:rPr>
      </w:pPr>
    </w:p>
    <w:p w14:paraId="14EFBAAF">
      <w:pPr>
        <w:ind w:firstLine="2209" w:firstLineChars="500"/>
        <w:rPr>
          <w:rFonts w:ascii="仿宋_GB2312" w:hAnsi="仿宋_GB2312" w:eastAsia="仿宋_GB2312" w:cs="仿宋_GB2312"/>
          <w:b/>
          <w:color w:val="auto"/>
          <w:sz w:val="44"/>
          <w:szCs w:val="44"/>
          <w:highlight w:val="none"/>
        </w:rPr>
      </w:pPr>
      <w:r>
        <w:rPr>
          <w:rFonts w:hint="eastAsia" w:ascii="仿宋_GB2312" w:hAnsi="仿宋_GB2312" w:eastAsia="仿宋_GB2312" w:cs="仿宋_GB2312"/>
          <w:b/>
          <w:color w:val="auto"/>
          <w:sz w:val="44"/>
          <w:szCs w:val="44"/>
          <w:highlight w:val="none"/>
        </w:rPr>
        <w:t>报价文件封面格式</w:t>
      </w:r>
    </w:p>
    <w:p w14:paraId="5E7148CD">
      <w:pPr>
        <w:jc w:val="right"/>
        <w:rPr>
          <w:rFonts w:ascii="仿宋_GB2312" w:hAnsi="仿宋_GB2312" w:eastAsia="仿宋_GB2312" w:cs="仿宋_GB2312"/>
          <w:b/>
          <w:bCs w:val="0"/>
          <w:color w:val="auto"/>
          <w:sz w:val="36"/>
          <w:szCs w:val="36"/>
          <w:highlight w:val="none"/>
        </w:rPr>
      </w:pPr>
      <w:bookmarkStart w:id="61" w:name="_Toc1227"/>
      <w:bookmarkStart w:id="62" w:name="_Toc40089801"/>
      <w:r>
        <w:rPr>
          <w:rFonts w:hint="eastAsia" w:ascii="仿宋_GB2312" w:hAnsi="仿宋_GB2312" w:eastAsia="仿宋_GB2312" w:cs="仿宋_GB2312"/>
          <w:b/>
          <w:bCs w:val="0"/>
          <w:color w:val="auto"/>
          <w:sz w:val="36"/>
          <w:szCs w:val="36"/>
          <w:highlight w:val="none"/>
        </w:rPr>
        <w:t>正本或副本</w:t>
      </w:r>
      <w:bookmarkEnd w:id="61"/>
      <w:bookmarkEnd w:id="62"/>
    </w:p>
    <w:p w14:paraId="2304AED4">
      <w:pPr>
        <w:ind w:firstLine="2168" w:firstLineChars="600"/>
        <w:rPr>
          <w:rFonts w:ascii="仿宋_GB2312" w:hAnsi="仿宋_GB2312" w:eastAsia="仿宋_GB2312" w:cs="仿宋_GB2312"/>
          <w:b/>
          <w:bCs w:val="0"/>
          <w:color w:val="auto"/>
          <w:sz w:val="36"/>
          <w:szCs w:val="36"/>
          <w:highlight w:val="none"/>
          <w:u w:val="single"/>
        </w:rPr>
      </w:pPr>
      <w:bookmarkStart w:id="63" w:name="_Toc27492"/>
      <w:bookmarkStart w:id="64" w:name="_Toc40089802"/>
      <w:r>
        <w:rPr>
          <w:rFonts w:hint="eastAsia" w:ascii="仿宋_GB2312" w:hAnsi="仿宋_GB2312" w:eastAsia="仿宋_GB2312" w:cs="仿宋_GB2312"/>
          <w:b/>
          <w:bCs w:val="0"/>
          <w:color w:val="auto"/>
          <w:sz w:val="36"/>
          <w:szCs w:val="36"/>
          <w:highlight w:val="none"/>
          <w:u w:val="single"/>
        </w:rPr>
        <w:t>（项目名称）</w:t>
      </w:r>
      <w:bookmarkEnd w:id="63"/>
      <w:bookmarkEnd w:id="64"/>
      <w:bookmarkStart w:id="65" w:name="_Toc40089803"/>
      <w:bookmarkStart w:id="66" w:name="_Toc2490"/>
      <w:r>
        <w:rPr>
          <w:rFonts w:hint="eastAsia" w:ascii="仿宋_GB2312" w:hAnsi="仿宋_GB2312" w:eastAsia="仿宋_GB2312" w:cs="仿宋_GB2312"/>
          <w:b/>
          <w:bCs w:val="0"/>
          <w:color w:val="auto"/>
          <w:sz w:val="36"/>
          <w:szCs w:val="36"/>
          <w:highlight w:val="none"/>
          <w:u w:val="single"/>
        </w:rPr>
        <w:t xml:space="preserve">             </w:t>
      </w:r>
    </w:p>
    <w:p w14:paraId="5C9A7C10">
      <w:pPr>
        <w:rPr>
          <w:rFonts w:ascii="仿宋_GB2312" w:hAnsi="仿宋_GB2312" w:eastAsia="仿宋_GB2312" w:cs="仿宋_GB2312"/>
          <w:color w:val="auto"/>
          <w:highlight w:val="none"/>
        </w:rPr>
      </w:pPr>
    </w:p>
    <w:p w14:paraId="03F687B6">
      <w:pPr>
        <w:ind w:firstLine="2168" w:firstLineChars="600"/>
        <w:rPr>
          <w:rFonts w:ascii="仿宋_GB2312" w:hAnsi="仿宋_GB2312" w:eastAsia="仿宋_GB2312" w:cs="仿宋_GB2312"/>
          <w:color w:val="auto"/>
          <w:highlight w:val="none"/>
        </w:rPr>
      </w:pPr>
      <w:r>
        <w:rPr>
          <w:rFonts w:hint="eastAsia" w:ascii="仿宋_GB2312" w:hAnsi="仿宋_GB2312" w:eastAsia="仿宋_GB2312" w:cs="仿宋_GB2312"/>
          <w:b/>
          <w:bCs w:val="0"/>
          <w:color w:val="auto"/>
          <w:sz w:val="36"/>
          <w:szCs w:val="36"/>
          <w:highlight w:val="none"/>
          <w:u w:val="single"/>
        </w:rPr>
        <w:t>（项目编号）</w:t>
      </w:r>
      <w:bookmarkEnd w:id="65"/>
      <w:bookmarkEnd w:id="66"/>
      <w:r>
        <w:rPr>
          <w:rFonts w:hint="eastAsia" w:ascii="仿宋_GB2312" w:hAnsi="仿宋_GB2312" w:eastAsia="仿宋_GB2312" w:cs="仿宋_GB2312"/>
          <w:b/>
          <w:bCs w:val="0"/>
          <w:color w:val="auto"/>
          <w:sz w:val="36"/>
          <w:szCs w:val="36"/>
          <w:highlight w:val="none"/>
          <w:u w:val="single"/>
        </w:rPr>
        <w:t xml:space="preserve">             </w:t>
      </w:r>
    </w:p>
    <w:p w14:paraId="11C52534">
      <w:pPr>
        <w:rPr>
          <w:rFonts w:ascii="仿宋_GB2312" w:hAnsi="仿宋_GB2312" w:eastAsia="仿宋_GB2312" w:cs="仿宋_GB2312"/>
          <w:color w:val="auto"/>
          <w:highlight w:val="none"/>
        </w:rPr>
      </w:pPr>
    </w:p>
    <w:p w14:paraId="5B17409F">
      <w:pPr>
        <w:rPr>
          <w:rFonts w:ascii="仿宋_GB2312" w:hAnsi="仿宋_GB2312" w:eastAsia="仿宋_GB2312" w:cs="仿宋_GB2312"/>
          <w:color w:val="auto"/>
          <w:highlight w:val="none"/>
        </w:rPr>
      </w:pPr>
    </w:p>
    <w:p w14:paraId="5DB417C3">
      <w:pPr>
        <w:jc w:val="center"/>
        <w:rPr>
          <w:rFonts w:ascii="仿宋_GB2312" w:hAnsi="仿宋_GB2312" w:eastAsia="仿宋_GB2312" w:cs="仿宋_GB2312"/>
          <w:b/>
          <w:bCs w:val="0"/>
          <w:color w:val="auto"/>
          <w:sz w:val="52"/>
          <w:szCs w:val="52"/>
          <w:highlight w:val="none"/>
        </w:rPr>
      </w:pPr>
      <w:bookmarkStart w:id="67" w:name="_Toc17456"/>
      <w:bookmarkStart w:id="68" w:name="_Toc40089805"/>
    </w:p>
    <w:p w14:paraId="06D9877D">
      <w:pPr>
        <w:jc w:val="center"/>
        <w:rPr>
          <w:rFonts w:ascii="仿宋_GB2312" w:hAnsi="仿宋_GB2312" w:eastAsia="仿宋_GB2312" w:cs="仿宋_GB2312"/>
          <w:b/>
          <w:bCs w:val="0"/>
          <w:color w:val="auto"/>
          <w:sz w:val="52"/>
          <w:szCs w:val="52"/>
          <w:highlight w:val="none"/>
        </w:rPr>
      </w:pPr>
      <w:r>
        <w:rPr>
          <w:rFonts w:hint="eastAsia" w:ascii="仿宋_GB2312" w:hAnsi="仿宋_GB2312" w:eastAsia="仿宋_GB2312" w:cs="仿宋_GB2312"/>
          <w:b/>
          <w:bCs w:val="0"/>
          <w:color w:val="auto"/>
          <w:sz w:val="52"/>
          <w:szCs w:val="52"/>
          <w:highlight w:val="none"/>
        </w:rPr>
        <w:t>报价文件</w:t>
      </w:r>
      <w:bookmarkEnd w:id="67"/>
      <w:bookmarkEnd w:id="68"/>
    </w:p>
    <w:p w14:paraId="221ABE58">
      <w:pPr>
        <w:rPr>
          <w:rFonts w:ascii="仿宋_GB2312" w:hAnsi="仿宋_GB2312" w:eastAsia="仿宋_GB2312" w:cs="仿宋_GB2312"/>
          <w:color w:val="auto"/>
          <w:highlight w:val="none"/>
        </w:rPr>
      </w:pPr>
    </w:p>
    <w:p w14:paraId="714D69EE">
      <w:pPr>
        <w:rPr>
          <w:rFonts w:ascii="仿宋_GB2312" w:hAnsi="仿宋_GB2312" w:eastAsia="仿宋_GB2312" w:cs="仿宋_GB2312"/>
          <w:color w:val="auto"/>
          <w:highlight w:val="none"/>
        </w:rPr>
      </w:pPr>
    </w:p>
    <w:p w14:paraId="3C864F98">
      <w:pPr>
        <w:adjustRightInd w:val="0"/>
        <w:snapToGrid w:val="0"/>
        <w:spacing w:line="560" w:lineRule="exact"/>
        <w:ind w:firstLine="964" w:firstLineChars="300"/>
        <w:rPr>
          <w:rFonts w:ascii="仿宋_GB2312" w:hAnsi="仿宋_GB2312" w:eastAsia="仿宋_GB2312" w:cs="仿宋_GB2312"/>
          <w:b/>
          <w:bCs w:val="0"/>
          <w:color w:val="auto"/>
          <w:sz w:val="32"/>
          <w:szCs w:val="32"/>
          <w:highlight w:val="none"/>
          <w:u w:val="single"/>
        </w:rPr>
      </w:pPr>
      <w:bookmarkStart w:id="69" w:name="_Toc40089806"/>
      <w:bookmarkStart w:id="70" w:name="_Toc25141"/>
      <w:r>
        <w:rPr>
          <w:rFonts w:hint="eastAsia" w:ascii="仿宋_GB2312" w:hAnsi="仿宋_GB2312" w:eastAsia="仿宋_GB2312" w:cs="仿宋_GB2312"/>
          <w:b/>
          <w:bCs w:val="0"/>
          <w:color w:val="auto"/>
          <w:sz w:val="32"/>
          <w:szCs w:val="32"/>
          <w:highlight w:val="none"/>
        </w:rPr>
        <w:t>投标人名称：</w:t>
      </w:r>
      <w:r>
        <w:rPr>
          <w:rFonts w:hint="eastAsia" w:ascii="仿宋_GB2312" w:hAnsi="仿宋_GB2312" w:eastAsia="仿宋_GB2312" w:cs="仿宋_GB2312"/>
          <w:b/>
          <w:bCs w:val="0"/>
          <w:color w:val="auto"/>
          <w:sz w:val="32"/>
          <w:szCs w:val="32"/>
          <w:highlight w:val="none"/>
          <w:u w:val="single"/>
        </w:rPr>
        <w:t xml:space="preserve">            （盖单位公章）</w:t>
      </w:r>
      <w:bookmarkEnd w:id="69"/>
      <w:bookmarkEnd w:id="70"/>
    </w:p>
    <w:p w14:paraId="16E9ED8D">
      <w:pPr>
        <w:adjustRightInd w:val="0"/>
        <w:snapToGrid w:val="0"/>
        <w:spacing w:line="560" w:lineRule="exact"/>
        <w:ind w:firstLine="964" w:firstLineChars="300"/>
        <w:rPr>
          <w:rFonts w:ascii="仿宋_GB2312" w:hAnsi="仿宋_GB2312" w:eastAsia="仿宋_GB2312" w:cs="仿宋_GB2312"/>
          <w:b/>
          <w:bCs w:val="0"/>
          <w:color w:val="auto"/>
          <w:sz w:val="32"/>
          <w:szCs w:val="32"/>
          <w:highlight w:val="none"/>
          <w:u w:val="single"/>
        </w:rPr>
      </w:pPr>
      <w:bookmarkStart w:id="71" w:name="_Toc40089807"/>
      <w:bookmarkStart w:id="72" w:name="_Toc27017"/>
      <w:r>
        <w:rPr>
          <w:rFonts w:hint="eastAsia" w:ascii="仿宋_GB2312" w:hAnsi="仿宋_GB2312" w:eastAsia="仿宋_GB2312" w:cs="仿宋_GB2312"/>
          <w:b/>
          <w:bCs w:val="0"/>
          <w:color w:val="auto"/>
          <w:sz w:val="32"/>
          <w:szCs w:val="32"/>
          <w:highlight w:val="none"/>
        </w:rPr>
        <w:t>法定代表人或其委托代理人</w:t>
      </w:r>
      <w:r>
        <w:rPr>
          <w:rFonts w:hint="eastAsia" w:ascii="仿宋_GB2312" w:hAnsi="仿宋_GB2312" w:eastAsia="仿宋_GB2312" w:cs="仿宋_GB2312"/>
          <w:b/>
          <w:bCs w:val="0"/>
          <w:color w:val="auto"/>
          <w:sz w:val="32"/>
          <w:szCs w:val="32"/>
          <w:highlight w:val="none"/>
          <w:u w:val="single"/>
        </w:rPr>
        <w:t xml:space="preserve">：       </w:t>
      </w:r>
      <w:bookmarkEnd w:id="71"/>
      <w:bookmarkEnd w:id="72"/>
      <w:r>
        <w:rPr>
          <w:rFonts w:hint="eastAsia" w:ascii="仿宋_GB2312" w:hAnsi="仿宋_GB2312" w:eastAsia="仿宋_GB2312" w:cs="仿宋_GB2312"/>
          <w:b/>
          <w:bCs w:val="0"/>
          <w:color w:val="auto"/>
          <w:sz w:val="32"/>
          <w:szCs w:val="32"/>
          <w:highlight w:val="none"/>
          <w:u w:val="single"/>
        </w:rPr>
        <w:t xml:space="preserve">       </w:t>
      </w:r>
    </w:p>
    <w:p w14:paraId="0E4501EE">
      <w:pPr>
        <w:adjustRightInd w:val="0"/>
        <w:snapToGrid w:val="0"/>
        <w:spacing w:line="560" w:lineRule="exact"/>
        <w:ind w:firstLine="964" w:firstLineChars="300"/>
        <w:rPr>
          <w:rFonts w:ascii="仿宋_GB2312" w:hAnsi="仿宋_GB2312" w:eastAsia="仿宋_GB2312" w:cs="仿宋_GB2312"/>
          <w:color w:val="auto"/>
          <w:sz w:val="32"/>
          <w:szCs w:val="32"/>
          <w:highlight w:val="none"/>
          <w:u w:val="single"/>
        </w:rPr>
      </w:pPr>
      <w:r>
        <w:rPr>
          <w:rFonts w:hint="eastAsia" w:ascii="仿宋_GB2312" w:hAnsi="仿宋_GB2312" w:eastAsia="仿宋_GB2312" w:cs="仿宋_GB2312"/>
          <w:b/>
          <w:color w:val="auto"/>
          <w:kern w:val="44"/>
          <w:sz w:val="32"/>
          <w:szCs w:val="32"/>
          <w:highlight w:val="none"/>
        </w:rPr>
        <w:t>地   址:</w:t>
      </w:r>
      <w:r>
        <w:rPr>
          <w:rFonts w:hint="eastAsia" w:ascii="仿宋_GB2312" w:hAnsi="仿宋_GB2312" w:eastAsia="仿宋_GB2312" w:cs="仿宋_GB2312"/>
          <w:color w:val="auto"/>
          <w:sz w:val="32"/>
          <w:szCs w:val="32"/>
          <w:highlight w:val="none"/>
          <w:u w:val="single"/>
        </w:rPr>
        <w:t xml:space="preserve">                                </w:t>
      </w:r>
    </w:p>
    <w:p w14:paraId="21A6FDC6">
      <w:pPr>
        <w:pStyle w:val="19"/>
        <w:adjustRightInd w:val="0"/>
        <w:snapToGrid w:val="0"/>
        <w:spacing w:line="560" w:lineRule="exact"/>
        <w:ind w:firstLine="964" w:firstLineChars="300"/>
        <w:rPr>
          <w:rFonts w:ascii="仿宋_GB2312" w:hAnsi="仿宋_GB2312" w:eastAsia="仿宋_GB2312" w:cs="仿宋_GB2312"/>
          <w:color w:val="auto"/>
          <w:sz w:val="32"/>
          <w:szCs w:val="32"/>
          <w:highlight w:val="none"/>
          <w:u w:val="single"/>
        </w:rPr>
      </w:pPr>
      <w:r>
        <w:rPr>
          <w:rFonts w:hint="eastAsia" w:ascii="仿宋_GB2312" w:hAnsi="仿宋_GB2312" w:eastAsia="仿宋_GB2312" w:cs="仿宋_GB2312"/>
          <w:b/>
          <w:color w:val="auto"/>
          <w:kern w:val="44"/>
          <w:sz w:val="32"/>
          <w:szCs w:val="32"/>
          <w:highlight w:val="none"/>
        </w:rPr>
        <w:t>电   话：</w:t>
      </w:r>
      <w:r>
        <w:rPr>
          <w:rFonts w:hint="eastAsia" w:ascii="仿宋_GB2312" w:hAnsi="仿宋_GB2312" w:eastAsia="仿宋_GB2312" w:cs="仿宋_GB2312"/>
          <w:color w:val="auto"/>
          <w:sz w:val="32"/>
          <w:szCs w:val="32"/>
          <w:highlight w:val="none"/>
          <w:u w:val="single"/>
        </w:rPr>
        <w:t xml:space="preserve">                                 </w:t>
      </w:r>
    </w:p>
    <w:p w14:paraId="156BAD03">
      <w:pP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br w:type="page"/>
      </w:r>
    </w:p>
    <w:p w14:paraId="3009923C">
      <w:pPr>
        <w:pStyle w:val="2"/>
        <w:spacing w:line="240" w:lineRule="auto"/>
        <w:rPr>
          <w:rFonts w:ascii="仿宋_GB2312" w:hAnsi="仿宋_GB2312" w:eastAsia="仿宋_GB2312" w:cs="仿宋_GB2312"/>
          <w:color w:val="auto"/>
          <w:szCs w:val="36"/>
          <w:highlight w:val="none"/>
        </w:rPr>
      </w:pPr>
      <w:bookmarkStart w:id="73" w:name="_Toc9943"/>
      <w:bookmarkStart w:id="74" w:name="_Toc40089808"/>
      <w:bookmarkStart w:id="75" w:name="_Toc25558"/>
      <w:r>
        <w:rPr>
          <w:rFonts w:hint="eastAsia"/>
          <w:color w:val="auto"/>
          <w:highlight w:val="none"/>
        </w:rPr>
        <w:t>一、商务部分</w:t>
      </w:r>
      <w:bookmarkEnd w:id="73"/>
    </w:p>
    <w:bookmarkEnd w:id="59"/>
    <w:bookmarkEnd w:id="60"/>
    <w:bookmarkEnd w:id="74"/>
    <w:bookmarkEnd w:id="75"/>
    <w:p w14:paraId="72A564FA">
      <w:pPr>
        <w:pStyle w:val="21"/>
        <w:spacing w:line="360" w:lineRule="auto"/>
        <w:jc w:val="center"/>
        <w:rPr>
          <w:rFonts w:hint="eastAsia" w:ascii="仿宋_GB2312" w:hAnsi="仿宋_GB2312" w:eastAsia="仿宋_GB2312" w:cs="仿宋_GB2312"/>
          <w:b/>
          <w:bCs w:val="0"/>
          <w:sz w:val="36"/>
          <w:szCs w:val="36"/>
        </w:rPr>
      </w:pPr>
      <w:bookmarkStart w:id="76" w:name="_Toc7957"/>
      <w:bookmarkStart w:id="77" w:name="_Toc40"/>
      <w:bookmarkStart w:id="78" w:name="_Toc323129568"/>
      <w:bookmarkStart w:id="79" w:name="_Toc323130135"/>
      <w:bookmarkStart w:id="80" w:name="_Toc325620729"/>
      <w:bookmarkStart w:id="81" w:name="_Toc356491343"/>
      <w:bookmarkStart w:id="82" w:name="_Toc40089809"/>
      <w:bookmarkStart w:id="83" w:name="_Toc26307"/>
      <w:r>
        <w:rPr>
          <w:rFonts w:hint="eastAsia" w:ascii="仿宋_GB2312" w:hAnsi="仿宋_GB2312" w:eastAsia="仿宋_GB2312" w:cs="仿宋_GB2312"/>
          <w:b/>
          <w:bCs w:val="0"/>
          <w:sz w:val="36"/>
          <w:szCs w:val="36"/>
        </w:rPr>
        <w:t>响应承诺函</w:t>
      </w:r>
      <w:bookmarkEnd w:id="76"/>
      <w:bookmarkEnd w:id="77"/>
    </w:p>
    <w:p w14:paraId="4483C7E2">
      <w:pPr>
        <w:pStyle w:val="3"/>
        <w:spacing w:before="120"/>
        <w:rPr>
          <w:rFonts w:hint="eastAsia" w:ascii="仿宋_GB2312" w:hAnsi="仿宋_GB2312" w:eastAsia="仿宋_GB2312" w:cs="仿宋_GB2312"/>
          <w:lang w:val="en-US" w:eastAsia="zh-CN"/>
        </w:rPr>
      </w:pPr>
      <w:r>
        <w:rPr>
          <w:rFonts w:hint="eastAsia" w:ascii="仿宋_GB2312" w:hAnsi="仿宋_GB2312" w:eastAsia="仿宋_GB2312" w:cs="仿宋_GB2312"/>
        </w:rPr>
        <w:t>附件</w:t>
      </w:r>
      <w:r>
        <w:rPr>
          <w:rFonts w:hint="eastAsia" w:ascii="仿宋_GB2312" w:hAnsi="仿宋_GB2312" w:eastAsia="仿宋_GB2312" w:cs="仿宋_GB2312"/>
          <w:lang w:val="en-US" w:eastAsia="zh-CN"/>
        </w:rPr>
        <w:t>1</w:t>
      </w:r>
    </w:p>
    <w:p w14:paraId="524B7476">
      <w:pPr>
        <w:adjustRightInd w:val="0"/>
        <w:snapToGrid w:val="0"/>
        <w:spacing w:line="560" w:lineRule="exact"/>
        <w:rPr>
          <w:rFonts w:ascii="仿宋" w:hAnsi="仿宋" w:eastAsia="仿宋" w:cs="仿宋"/>
          <w:b/>
          <w:color w:val="000000"/>
          <w:sz w:val="32"/>
          <w:szCs w:val="32"/>
        </w:rPr>
      </w:pPr>
      <w:r>
        <w:rPr>
          <w:rFonts w:hint="eastAsia" w:ascii="仿宋" w:hAnsi="仿宋" w:eastAsia="仿宋" w:cs="仿宋"/>
          <w:b/>
          <w:color w:val="000000"/>
          <w:sz w:val="32"/>
          <w:szCs w:val="32"/>
        </w:rPr>
        <w:t>致：</w:t>
      </w:r>
    </w:p>
    <w:p w14:paraId="5057F509">
      <w:pPr>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根据采购人</w:t>
      </w:r>
      <w:r>
        <w:rPr>
          <w:rFonts w:hint="eastAsia" w:ascii="仿宋" w:hAnsi="仿宋" w:eastAsia="仿宋" w:cs="仿宋"/>
          <w:color w:val="000000"/>
          <w:sz w:val="32"/>
          <w:szCs w:val="32"/>
          <w:u w:val="single"/>
        </w:rPr>
        <w:t xml:space="preserve">    （</w:t>
      </w:r>
      <w:r>
        <w:rPr>
          <w:rFonts w:hint="eastAsia" w:ascii="仿宋" w:hAnsi="仿宋" w:eastAsia="仿宋" w:cs="仿宋"/>
          <w:b/>
          <w:color w:val="000000"/>
          <w:sz w:val="32"/>
          <w:szCs w:val="32"/>
          <w:u w:val="single"/>
        </w:rPr>
        <w:t xml:space="preserve">项目名称和项目编号 ）          </w:t>
      </w:r>
      <w:r>
        <w:rPr>
          <w:rFonts w:hint="eastAsia" w:ascii="仿宋" w:hAnsi="仿宋" w:eastAsia="仿宋" w:cs="仿宋"/>
          <w:color w:val="000000"/>
          <w:sz w:val="32"/>
          <w:szCs w:val="32"/>
        </w:rPr>
        <w:t>的磋商邀请函，正式授权下述签字人</w:t>
      </w:r>
      <w:r>
        <w:rPr>
          <w:rFonts w:hint="eastAsia" w:ascii="仿宋" w:hAnsi="仿宋" w:eastAsia="仿宋" w:cs="仿宋"/>
          <w:b/>
          <w:color w:val="000000"/>
          <w:sz w:val="32"/>
          <w:szCs w:val="32"/>
          <w:u w:val="single"/>
        </w:rPr>
        <w:t>姓名：职务：</w:t>
      </w:r>
      <w:r>
        <w:rPr>
          <w:rFonts w:hint="eastAsia" w:ascii="仿宋" w:hAnsi="仿宋" w:eastAsia="仿宋" w:cs="仿宋"/>
          <w:color w:val="000000"/>
          <w:sz w:val="32"/>
          <w:szCs w:val="32"/>
        </w:rPr>
        <w:t>代表服务商</w:t>
      </w:r>
      <w:r>
        <w:rPr>
          <w:rFonts w:hint="eastAsia" w:ascii="仿宋" w:hAnsi="仿宋" w:eastAsia="仿宋" w:cs="仿宋"/>
          <w:b/>
          <w:color w:val="000000"/>
          <w:sz w:val="32"/>
          <w:szCs w:val="32"/>
          <w:u w:val="single"/>
        </w:rPr>
        <w:t>（服务商名称）</w:t>
      </w:r>
      <w:r>
        <w:rPr>
          <w:rFonts w:hint="eastAsia" w:ascii="仿宋" w:hAnsi="仿宋" w:eastAsia="仿宋" w:cs="仿宋"/>
          <w:color w:val="000000"/>
          <w:sz w:val="32"/>
          <w:szCs w:val="32"/>
        </w:rPr>
        <w:t>，提交纸质响应文件一式</w:t>
      </w:r>
      <w:r>
        <w:rPr>
          <w:rFonts w:hint="eastAsia" w:ascii="仿宋" w:hAnsi="仿宋" w:eastAsia="仿宋" w:cs="仿宋"/>
          <w:color w:val="000000"/>
          <w:sz w:val="32"/>
          <w:szCs w:val="32"/>
          <w:u w:val="single"/>
        </w:rPr>
        <w:t>三</w:t>
      </w:r>
      <w:r>
        <w:rPr>
          <w:rFonts w:hint="eastAsia" w:ascii="仿宋" w:hAnsi="仿宋" w:eastAsia="仿宋" w:cs="仿宋"/>
          <w:color w:val="000000"/>
          <w:sz w:val="32"/>
          <w:szCs w:val="32"/>
        </w:rPr>
        <w:t>份，正本</w:t>
      </w:r>
      <w:r>
        <w:rPr>
          <w:rFonts w:hint="eastAsia" w:ascii="仿宋" w:hAnsi="仿宋" w:eastAsia="仿宋" w:cs="仿宋"/>
          <w:b/>
          <w:color w:val="000000"/>
          <w:sz w:val="32"/>
          <w:szCs w:val="32"/>
          <w:u w:val="single"/>
        </w:rPr>
        <w:t>一</w:t>
      </w:r>
      <w:r>
        <w:rPr>
          <w:rFonts w:hint="eastAsia" w:ascii="仿宋" w:hAnsi="仿宋" w:eastAsia="仿宋" w:cs="仿宋"/>
          <w:color w:val="000000"/>
          <w:sz w:val="32"/>
          <w:szCs w:val="32"/>
        </w:rPr>
        <w:t>份，副本</w:t>
      </w:r>
      <w:r>
        <w:rPr>
          <w:rFonts w:hint="eastAsia" w:ascii="仿宋" w:hAnsi="仿宋" w:eastAsia="仿宋" w:cs="仿宋"/>
          <w:color w:val="000000"/>
          <w:sz w:val="32"/>
          <w:szCs w:val="32"/>
          <w:u w:val="single"/>
        </w:rPr>
        <w:t>二</w:t>
      </w:r>
      <w:r>
        <w:rPr>
          <w:rFonts w:hint="eastAsia" w:ascii="仿宋" w:hAnsi="仿宋" w:eastAsia="仿宋" w:cs="仿宋"/>
          <w:color w:val="000000"/>
          <w:sz w:val="32"/>
          <w:szCs w:val="32"/>
        </w:rPr>
        <w:t>份，电子文档</w:t>
      </w:r>
      <w:r>
        <w:rPr>
          <w:rFonts w:hint="eastAsia" w:ascii="仿宋" w:hAnsi="仿宋" w:eastAsia="仿宋" w:cs="仿宋"/>
          <w:color w:val="000000"/>
          <w:sz w:val="32"/>
          <w:szCs w:val="32"/>
          <w:u w:val="single"/>
        </w:rPr>
        <w:t>一</w:t>
      </w:r>
      <w:r>
        <w:rPr>
          <w:rFonts w:hint="eastAsia" w:ascii="仿宋" w:hAnsi="仿宋" w:eastAsia="仿宋" w:cs="仿宋"/>
          <w:color w:val="000000"/>
          <w:sz w:val="32"/>
          <w:szCs w:val="32"/>
        </w:rPr>
        <w:t>份。</w:t>
      </w:r>
    </w:p>
    <w:p w14:paraId="1D96FA8D">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本公司谨此承诺并声明：</w:t>
      </w:r>
    </w:p>
    <w:p w14:paraId="00F8B284">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1．我方承诺在采购文件规定的响应有效期内不修改、撤销响应文件。</w:t>
      </w:r>
    </w:p>
    <w:p w14:paraId="0F04B5D5">
      <w:pPr>
        <w:widowControl/>
        <w:adjustRightInd w:val="0"/>
        <w:snapToGrid w:val="0"/>
        <w:spacing w:line="560" w:lineRule="exac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2．投标报价金额为人民币</w:t>
      </w:r>
      <w:r>
        <w:rPr>
          <w:rFonts w:hint="eastAsia" w:ascii="仿宋" w:hAnsi="仿宋" w:eastAsia="仿宋" w:cs="仿宋"/>
          <w:color w:val="000000"/>
          <w:sz w:val="32"/>
          <w:szCs w:val="32"/>
          <w:u w:val="single"/>
        </w:rPr>
        <w:t xml:space="preserve"> （大写） </w:t>
      </w:r>
      <w:r>
        <w:rPr>
          <w:rFonts w:hint="eastAsia" w:ascii="仿宋" w:hAnsi="仿宋" w:eastAsia="仿宋" w:cs="仿宋"/>
          <w:color w:val="000000"/>
          <w:sz w:val="32"/>
          <w:szCs w:val="32"/>
        </w:rPr>
        <w:t>（¥）。</w:t>
      </w:r>
    </w:p>
    <w:p w14:paraId="0791FDB4">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 xml:space="preserve">3、同意并接受磋商文件的各项条款要求，遵守文件中的各项规定，按磋商文件的要求响应用户需求书的所有内容。 </w:t>
      </w:r>
    </w:p>
    <w:p w14:paraId="292DF9DA">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4、</w:t>
      </w:r>
      <w:r>
        <w:rPr>
          <w:rFonts w:hint="eastAsia" w:ascii="仿宋" w:hAnsi="仿宋" w:eastAsia="仿宋" w:cs="仿宋"/>
          <w:color w:val="000000"/>
          <w:kern w:val="0"/>
          <w:sz w:val="32"/>
          <w:szCs w:val="32"/>
        </w:rPr>
        <w:t>本响应文件的有效期为从磋商截止日期起计算的</w:t>
      </w:r>
      <w:r>
        <w:rPr>
          <w:rFonts w:hint="eastAsia" w:ascii="仿宋" w:hAnsi="仿宋" w:eastAsia="仿宋" w:cs="仿宋"/>
          <w:color w:val="000000"/>
          <w:kern w:val="0"/>
          <w:sz w:val="32"/>
          <w:szCs w:val="32"/>
          <w:u w:val="single"/>
          <w:lang w:val="en-US" w:eastAsia="zh-CN"/>
        </w:rPr>
        <w:t xml:space="preserve">  </w:t>
      </w:r>
      <w:r>
        <w:rPr>
          <w:rFonts w:hint="eastAsia" w:ascii="仿宋" w:hAnsi="仿宋" w:eastAsia="仿宋" w:cs="仿宋"/>
          <w:color w:val="000000"/>
          <w:kern w:val="0"/>
          <w:sz w:val="32"/>
          <w:szCs w:val="32"/>
        </w:rPr>
        <w:t>天，在此期间，本响应文件将始终对我们具有约束力，并可随时被接受</w:t>
      </w:r>
      <w:r>
        <w:rPr>
          <w:rFonts w:hint="eastAsia" w:ascii="仿宋" w:hAnsi="仿宋" w:eastAsia="仿宋" w:cs="仿宋"/>
          <w:color w:val="000000"/>
          <w:sz w:val="32"/>
          <w:szCs w:val="32"/>
        </w:rPr>
        <w:t>澄清</w:t>
      </w:r>
      <w:r>
        <w:rPr>
          <w:rFonts w:hint="eastAsia" w:ascii="仿宋" w:hAnsi="仿宋" w:eastAsia="仿宋" w:cs="仿宋"/>
          <w:color w:val="000000"/>
          <w:kern w:val="0"/>
          <w:sz w:val="32"/>
          <w:szCs w:val="32"/>
        </w:rPr>
        <w:t>。如果我们成交，本响应文件在此期间之后将继续保持有效。</w:t>
      </w:r>
    </w:p>
    <w:p w14:paraId="743190A9">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5、我方已经详细地阅读了全部磋商文件及其附件，包括澄清及参考文件。我方已完全清晰理解磋商文件的要求，不存在任何含糊不清和误解之处，同意放弃对这些文件所提出的异议和质疑的权利。</w:t>
      </w:r>
    </w:p>
    <w:p w14:paraId="419BBD7A">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6、我方已毫无保留地向贵方提供一切所需的证明材料。不论在任何时候，将按贵方要求如实提供一切补充材料。</w:t>
      </w:r>
    </w:p>
    <w:p w14:paraId="24A97881">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7、我方承诺在本次响应中提供的一切文件，无论是原件还是复印件均为真实和准确的，绝无任何虚假、伪造和夸大的成份，否则，愿承担相应的后果和法律责任。</w:t>
      </w:r>
    </w:p>
    <w:p w14:paraId="74F82531">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8、我方完全服从和尊重磋商小组所作的评审结果，同时清楚理解到响应并不一定获得成交资格。</w:t>
      </w:r>
    </w:p>
    <w:p w14:paraId="4466FAE3">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9、我方在参与本次磋商采购活动中，不以任何不当手段影响、串通、排斥有关当事人或谋取、施予非法利益，如有不当行为，愿承担此行为所造成的不利后果和法律责任。</w:t>
      </w:r>
    </w:p>
    <w:p w14:paraId="71F727D6">
      <w:pPr>
        <w:widowControl/>
        <w:adjustRightInd w:val="0"/>
        <w:snapToGrid w:val="0"/>
        <w:spacing w:line="560" w:lineRule="exact"/>
        <w:rPr>
          <w:rFonts w:ascii="仿宋" w:hAnsi="仿宋" w:eastAsia="仿宋" w:cs="仿宋"/>
          <w:color w:val="000000"/>
          <w:sz w:val="32"/>
          <w:szCs w:val="32"/>
        </w:rPr>
      </w:pPr>
      <w:r>
        <w:rPr>
          <w:rFonts w:hint="eastAsia" w:ascii="仿宋" w:hAnsi="仿宋" w:eastAsia="仿宋" w:cs="仿宋"/>
          <w:color w:val="000000"/>
          <w:sz w:val="32"/>
          <w:szCs w:val="32"/>
        </w:rPr>
        <w:t>服务商名称：</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（公章）</w:t>
      </w:r>
    </w:p>
    <w:p w14:paraId="61291D27">
      <w:pPr>
        <w:widowControl/>
        <w:adjustRightInd w:val="0"/>
        <w:snapToGrid w:val="0"/>
        <w:spacing w:line="560" w:lineRule="exact"/>
        <w:rPr>
          <w:rFonts w:ascii="仿宋" w:hAnsi="仿宋" w:eastAsia="仿宋" w:cs="仿宋"/>
          <w:color w:val="000000"/>
          <w:sz w:val="32"/>
          <w:szCs w:val="32"/>
        </w:rPr>
      </w:pPr>
      <w:r>
        <w:rPr>
          <w:rFonts w:hint="eastAsia" w:ascii="仿宋" w:hAnsi="仿宋" w:eastAsia="仿宋" w:cs="仿宋"/>
          <w:color w:val="000000"/>
          <w:sz w:val="32"/>
          <w:szCs w:val="32"/>
        </w:rPr>
        <w:t>法定代表人：</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（签名或盖章）</w:t>
      </w:r>
    </w:p>
    <w:p w14:paraId="78FF8542">
      <w:pPr>
        <w:adjustRightInd w:val="0"/>
        <w:snapToGrid w:val="0"/>
        <w:spacing w:line="560" w:lineRule="exact"/>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被授权人：</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（亲笔签名）</w:t>
      </w:r>
      <w:r>
        <w:rPr>
          <w:rFonts w:hint="eastAsia" w:ascii="仿宋" w:hAnsi="仿宋" w:eastAsia="仿宋" w:cs="仿宋"/>
          <w:color w:val="000000"/>
          <w:sz w:val="32"/>
          <w:szCs w:val="32"/>
          <w:u w:val="none"/>
          <w:lang w:val="en-US" w:eastAsia="zh-CN"/>
        </w:rPr>
        <w:t xml:space="preserve">  </w:t>
      </w:r>
      <w:r>
        <w:rPr>
          <w:rFonts w:hint="eastAsia" w:ascii="仿宋" w:hAnsi="仿宋" w:eastAsia="仿宋" w:cs="仿宋"/>
          <w:color w:val="000000"/>
          <w:sz w:val="32"/>
          <w:szCs w:val="32"/>
        </w:rPr>
        <w:t>职务：</w:t>
      </w:r>
      <w:r>
        <w:rPr>
          <w:rFonts w:hint="eastAsia" w:ascii="仿宋" w:hAnsi="仿宋" w:eastAsia="仿宋" w:cs="仿宋"/>
          <w:color w:val="000000"/>
          <w:sz w:val="32"/>
          <w:szCs w:val="32"/>
          <w:u w:val="single"/>
          <w:lang w:val="en-US" w:eastAsia="zh-CN"/>
        </w:rPr>
        <w:t xml:space="preserve">           </w:t>
      </w:r>
    </w:p>
    <w:p w14:paraId="15A1918C">
      <w:pPr>
        <w:adjustRightInd w:val="0"/>
        <w:snapToGrid w:val="0"/>
        <w:spacing w:line="560" w:lineRule="exact"/>
        <w:rPr>
          <w:rFonts w:hint="eastAsia" w:ascii="方正公文黑体" w:hAnsi="方正公文黑体" w:eastAsia="方正公文黑体" w:cs="方正公文黑体"/>
          <w:color w:val="auto"/>
          <w:sz w:val="36"/>
          <w:szCs w:val="36"/>
          <w:highlight w:val="none"/>
        </w:rPr>
      </w:pPr>
      <w:r>
        <w:rPr>
          <w:rFonts w:hint="eastAsia" w:ascii="仿宋" w:hAnsi="仿宋" w:eastAsia="仿宋" w:cs="仿宋"/>
          <w:color w:val="000000"/>
          <w:sz w:val="32"/>
          <w:szCs w:val="32"/>
        </w:rPr>
        <w:t>承诺日期：年  月  日</w:t>
      </w:r>
      <w:r>
        <w:rPr>
          <w:rFonts w:hint="eastAsia" w:ascii="仿宋" w:hAnsi="仿宋" w:eastAsia="仿宋" w:cs="仿宋"/>
          <w:sz w:val="32"/>
          <w:szCs w:val="32"/>
        </w:rPr>
        <w:br w:type="page"/>
      </w:r>
    </w:p>
    <w:p w14:paraId="2F135201">
      <w:pPr>
        <w:pStyle w:val="3"/>
        <w:spacing w:before="120"/>
        <w:rPr>
          <w:rFonts w:hint="eastAsia" w:ascii="仿宋_GB2312" w:hAnsi="仿宋_GB2312" w:eastAsia="仿宋_GB2312" w:cs="仿宋_GB2312"/>
        </w:rPr>
      </w:pPr>
      <w:r>
        <w:rPr>
          <w:rFonts w:hint="eastAsia" w:ascii="仿宋_GB2312" w:hAnsi="仿宋_GB2312" w:eastAsia="仿宋_GB2312" w:cs="仿宋_GB2312"/>
        </w:rPr>
        <w:t>附件</w:t>
      </w:r>
      <w:bookmarkEnd w:id="78"/>
      <w:bookmarkEnd w:id="79"/>
      <w:r>
        <w:rPr>
          <w:rFonts w:hint="eastAsia" w:ascii="仿宋_GB2312" w:hAnsi="仿宋_GB2312" w:eastAsia="仿宋_GB2312" w:cs="仿宋_GB2312"/>
        </w:rPr>
        <w:t>2</w:t>
      </w:r>
      <w:bookmarkEnd w:id="80"/>
      <w:bookmarkEnd w:id="81"/>
      <w:bookmarkEnd w:id="82"/>
      <w:bookmarkEnd w:id="83"/>
      <w:bookmarkStart w:id="84" w:name="_Toc356491344"/>
      <w:bookmarkStart w:id="85" w:name="_Toc356490395"/>
    </w:p>
    <w:p w14:paraId="103156EB">
      <w:pPr>
        <w:pStyle w:val="21"/>
        <w:spacing w:line="360" w:lineRule="auto"/>
        <w:jc w:val="center"/>
        <w:rPr>
          <w:rFonts w:hint="eastAsia" w:ascii="仿宋_GB2312" w:hAnsi="仿宋_GB2312" w:eastAsia="仿宋_GB2312" w:cs="仿宋_GB2312"/>
          <w:b/>
          <w:bCs w:val="0"/>
          <w:color w:val="auto"/>
          <w:sz w:val="36"/>
          <w:szCs w:val="36"/>
          <w:highlight w:val="none"/>
        </w:rPr>
      </w:pPr>
      <w:bookmarkStart w:id="86" w:name="_Toc23717"/>
      <w:bookmarkStart w:id="87" w:name="_Toc8229"/>
      <w:bookmarkStart w:id="88" w:name="_Toc16945"/>
      <w:bookmarkStart w:id="89" w:name="_Toc3901"/>
      <w:bookmarkStart w:id="90" w:name="_Toc28196"/>
      <w:bookmarkStart w:id="91" w:name="_Toc14824"/>
      <w:bookmarkStart w:id="92" w:name="_Toc524016633"/>
      <w:bookmarkStart w:id="93" w:name="_Toc32320_WPSOffice_Level2"/>
      <w:bookmarkStart w:id="94" w:name="_Toc524016738"/>
      <w:bookmarkStart w:id="95" w:name="_Toc22979"/>
      <w:bookmarkStart w:id="96" w:name="_Toc524016575"/>
    </w:p>
    <w:p w14:paraId="5EE7FE43">
      <w:pPr>
        <w:pStyle w:val="21"/>
        <w:spacing w:line="360" w:lineRule="auto"/>
        <w:jc w:val="center"/>
        <w:rPr>
          <w:rFonts w:hint="eastAsia" w:ascii="仿宋_GB2312" w:hAnsi="仿宋_GB2312" w:eastAsia="仿宋_GB2312" w:cs="仿宋_GB2312"/>
          <w:b/>
          <w:bCs w:val="0"/>
          <w:color w:val="auto"/>
          <w:sz w:val="36"/>
          <w:szCs w:val="36"/>
          <w:highlight w:val="none"/>
        </w:rPr>
      </w:pPr>
      <w:r>
        <w:rPr>
          <w:rFonts w:hint="eastAsia" w:ascii="仿宋_GB2312" w:hAnsi="仿宋_GB2312" w:eastAsia="仿宋_GB2312" w:cs="仿宋_GB2312"/>
          <w:b/>
          <w:bCs w:val="0"/>
          <w:color w:val="auto"/>
          <w:sz w:val="36"/>
          <w:szCs w:val="36"/>
          <w:highlight w:val="none"/>
        </w:rPr>
        <w:t>法定代表人身份证明</w:t>
      </w:r>
      <w:bookmarkEnd w:id="86"/>
      <w:bookmarkEnd w:id="87"/>
      <w:bookmarkEnd w:id="88"/>
      <w:bookmarkEnd w:id="89"/>
      <w:bookmarkEnd w:id="90"/>
      <w:bookmarkEnd w:id="91"/>
      <w:bookmarkEnd w:id="92"/>
      <w:bookmarkEnd w:id="93"/>
      <w:bookmarkEnd w:id="94"/>
      <w:bookmarkEnd w:id="95"/>
      <w:bookmarkEnd w:id="96"/>
    </w:p>
    <w:p w14:paraId="1790BA91">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供应商名称：</w:t>
      </w:r>
    </w:p>
    <w:p w14:paraId="2B28EFAF">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单位性质：</w:t>
      </w:r>
    </w:p>
    <w:p w14:paraId="4148EBBF">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地址：</w:t>
      </w:r>
    </w:p>
    <w:p w14:paraId="4CAEEF33">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成立时间：年</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日</w:t>
      </w:r>
    </w:p>
    <w:p w14:paraId="7B4AD4DE">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经营期限：</w:t>
      </w:r>
    </w:p>
    <w:p w14:paraId="5D2B6E8F">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姓名： 性别：年龄：职务：</w:t>
      </w:r>
    </w:p>
    <w:p w14:paraId="75CD6D40">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系 （供应商名称）的法定代表人。</w:t>
      </w:r>
    </w:p>
    <w:p w14:paraId="3DAA5246">
      <w:pPr>
        <w:keepNext w:val="0"/>
        <w:keepLines w:val="0"/>
        <w:pageBreakBefore w:val="0"/>
        <w:widowControl/>
        <w:kinsoku/>
        <w:wordWrap/>
        <w:overflowPunct/>
        <w:topLinePunct w:val="0"/>
        <w:autoSpaceDE/>
        <w:autoSpaceDN/>
        <w:bidi w:val="0"/>
        <w:adjustRightInd w:val="0"/>
        <w:snapToGrid w:val="0"/>
        <w:spacing w:line="560" w:lineRule="exact"/>
        <w:ind w:firstLine="1600" w:firstLineChars="5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特此证明。</w:t>
      </w:r>
    </w:p>
    <w:p w14:paraId="79CD43CE">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auto"/>
          <w:sz w:val="32"/>
          <w:szCs w:val="32"/>
          <w:highlight w:val="none"/>
        </w:rPr>
      </w:pPr>
    </w:p>
    <w:p w14:paraId="22D76099">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（附法定代表人身份证明复印件）</w:t>
      </w:r>
    </w:p>
    <w:p w14:paraId="791FFDE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color w:val="auto"/>
          <w:sz w:val="32"/>
          <w:szCs w:val="32"/>
          <w:highlight w:val="none"/>
        </w:rPr>
      </w:pPr>
    </w:p>
    <w:p w14:paraId="4CB619A0">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auto"/>
          <w:sz w:val="32"/>
          <w:szCs w:val="32"/>
          <w:highlight w:val="none"/>
        </w:rPr>
      </w:pPr>
    </w:p>
    <w:p w14:paraId="251D69BA">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供应商：（盖单位章）</w:t>
      </w:r>
    </w:p>
    <w:p w14:paraId="3245D5B0">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auto"/>
          <w:sz w:val="32"/>
          <w:szCs w:val="32"/>
          <w:highlight w:val="none"/>
        </w:rPr>
      </w:pPr>
    </w:p>
    <w:p w14:paraId="003369BA">
      <w:pPr>
        <w:keepNext w:val="0"/>
        <w:keepLines w:val="0"/>
        <w:pageBreakBefore w:val="0"/>
        <w:kinsoku/>
        <w:wordWrap/>
        <w:overflowPunct/>
        <w:topLinePunct w:val="0"/>
        <w:autoSpaceDE/>
        <w:autoSpaceDN/>
        <w:bidi w:val="0"/>
        <w:adjustRightInd w:val="0"/>
        <w:snapToGrid w:val="0"/>
        <w:spacing w:line="560" w:lineRule="exact"/>
        <w:ind w:firstLine="4800" w:firstLineChars="15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 xml:space="preserve">日    </w:t>
      </w:r>
    </w:p>
    <w:p w14:paraId="77950108">
      <w:pPr>
        <w:pStyle w:val="21"/>
        <w:spacing w:line="360" w:lineRule="auto"/>
        <w:jc w:val="center"/>
        <w:rPr>
          <w:rFonts w:hint="eastAsia" w:ascii="仿宋_GB2312" w:hAnsi="仿宋_GB2312" w:eastAsia="仿宋_GB2312" w:cs="仿宋_GB2312"/>
          <w:b/>
          <w:bCs w:val="0"/>
          <w:color w:val="auto"/>
          <w:sz w:val="36"/>
          <w:szCs w:val="36"/>
          <w:highlight w:val="none"/>
        </w:rPr>
      </w:pPr>
    </w:p>
    <w:p w14:paraId="626C1F19">
      <w:pPr>
        <w:pStyle w:val="21"/>
        <w:spacing w:line="360" w:lineRule="auto"/>
        <w:jc w:val="center"/>
        <w:rPr>
          <w:rFonts w:hint="eastAsia" w:ascii="仿宋_GB2312" w:hAnsi="仿宋_GB2312" w:eastAsia="仿宋_GB2312" w:cs="仿宋_GB2312"/>
          <w:b/>
          <w:bCs w:val="0"/>
          <w:color w:val="auto"/>
          <w:sz w:val="36"/>
          <w:szCs w:val="36"/>
          <w:highlight w:val="none"/>
        </w:rPr>
      </w:pPr>
    </w:p>
    <w:p w14:paraId="1B983CCD">
      <w:pPr>
        <w:pStyle w:val="21"/>
        <w:spacing w:line="360" w:lineRule="auto"/>
        <w:jc w:val="center"/>
        <w:rPr>
          <w:rFonts w:hint="eastAsia" w:ascii="仿宋_GB2312" w:hAnsi="仿宋_GB2312" w:eastAsia="仿宋_GB2312" w:cs="仿宋_GB2312"/>
          <w:b/>
          <w:bCs w:val="0"/>
          <w:color w:val="auto"/>
          <w:sz w:val="36"/>
          <w:szCs w:val="36"/>
          <w:highlight w:val="none"/>
        </w:rPr>
      </w:pPr>
    </w:p>
    <w:p w14:paraId="65BDE083">
      <w:pPr>
        <w:pStyle w:val="21"/>
        <w:spacing w:line="360" w:lineRule="auto"/>
        <w:jc w:val="center"/>
        <w:rPr>
          <w:rFonts w:hint="eastAsia" w:ascii="仿宋_GB2312" w:hAnsi="仿宋_GB2312" w:eastAsia="仿宋_GB2312" w:cs="仿宋_GB2312"/>
          <w:b/>
          <w:bCs w:val="0"/>
          <w:color w:val="auto"/>
          <w:sz w:val="36"/>
          <w:szCs w:val="36"/>
          <w:highlight w:val="none"/>
        </w:rPr>
      </w:pPr>
    </w:p>
    <w:p w14:paraId="32761F32">
      <w:pPr>
        <w:pStyle w:val="21"/>
        <w:spacing w:line="360" w:lineRule="auto"/>
        <w:jc w:val="center"/>
        <w:rPr>
          <w:rFonts w:hint="eastAsia" w:ascii="仿宋_GB2312" w:hAnsi="仿宋_GB2312" w:eastAsia="仿宋_GB2312" w:cs="仿宋_GB2312"/>
          <w:b/>
          <w:bCs w:val="0"/>
          <w:color w:val="auto"/>
          <w:sz w:val="36"/>
          <w:szCs w:val="36"/>
          <w:highlight w:val="none"/>
        </w:rPr>
      </w:pPr>
    </w:p>
    <w:p w14:paraId="75EF5414">
      <w:pPr>
        <w:pStyle w:val="21"/>
        <w:spacing w:line="360" w:lineRule="auto"/>
        <w:jc w:val="center"/>
        <w:rPr>
          <w:rFonts w:hint="eastAsia" w:ascii="仿宋_GB2312" w:hAnsi="仿宋_GB2312" w:eastAsia="仿宋_GB2312" w:cs="仿宋_GB2312"/>
          <w:b/>
          <w:bCs w:val="0"/>
          <w:color w:val="auto"/>
          <w:sz w:val="36"/>
          <w:szCs w:val="36"/>
          <w:highlight w:val="none"/>
          <w:lang w:eastAsia="zh-CN"/>
        </w:rPr>
      </w:pPr>
      <w:r>
        <w:rPr>
          <w:rFonts w:hint="eastAsia" w:ascii="仿宋_GB2312" w:hAnsi="仿宋_GB2312" w:eastAsia="仿宋_GB2312" w:cs="仿宋_GB2312"/>
          <w:b/>
          <w:bCs w:val="0"/>
          <w:color w:val="auto"/>
          <w:sz w:val="36"/>
          <w:szCs w:val="36"/>
          <w:highlight w:val="none"/>
        </w:rPr>
        <w:t>法定代表人授权委托书</w:t>
      </w:r>
      <w:r>
        <w:rPr>
          <w:rFonts w:hint="eastAsia" w:ascii="仿宋_GB2312" w:hAnsi="仿宋_GB2312" w:eastAsia="仿宋_GB2312" w:cs="仿宋_GB2312"/>
          <w:b/>
          <w:bCs w:val="0"/>
          <w:color w:val="auto"/>
          <w:sz w:val="36"/>
          <w:szCs w:val="36"/>
          <w:highlight w:val="none"/>
          <w:lang w:eastAsia="zh-CN"/>
        </w:rPr>
        <w:t>（法人参加投标无需提供此表）</w:t>
      </w:r>
    </w:p>
    <w:p w14:paraId="09E2AEA2">
      <w:pPr>
        <w:tabs>
          <w:tab w:val="left" w:pos="0"/>
          <w:tab w:val="left" w:pos="720"/>
          <w:tab w:val="left" w:pos="1440"/>
          <w:tab w:val="left" w:pos="2160"/>
          <w:tab w:val="left" w:pos="2880"/>
          <w:tab w:val="left" w:pos="3600"/>
          <w:tab w:val="left" w:pos="4320"/>
        </w:tabs>
        <w:autoSpaceDE w:val="0"/>
        <w:autoSpaceDN w:val="0"/>
        <w:adjustRightInd w:val="0"/>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海南卫生健康职业学院：</w:t>
      </w:r>
    </w:p>
    <w:p w14:paraId="01F7D1E7">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姓名）系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（投标人名称）法定代表人，现授权委托我公司的</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（姓名、职务或职称）为我单位本次项目的全权代表，以本公司的名义参加海南卫生健康职业学院组织的                      （项目名称/项目编号）的招标，全权处理招标过程有关的一切事务。</w:t>
      </w:r>
    </w:p>
    <w:p w14:paraId="7449166B">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被授权人在授权书有效期内</w:t>
      </w:r>
      <w:r>
        <w:rPr>
          <w:rFonts w:hint="eastAsia" w:ascii="仿宋_GB2312" w:hAnsi="仿宋_GB2312" w:eastAsia="仿宋_GB2312" w:cs="仿宋_GB2312"/>
          <w:color w:val="auto"/>
          <w:sz w:val="32"/>
          <w:szCs w:val="32"/>
          <w:highlight w:val="none"/>
          <w:u w:val="single"/>
        </w:rPr>
        <w:t xml:space="preserve">   年  月  日至  年  月  日</w:t>
      </w:r>
      <w:r>
        <w:rPr>
          <w:rFonts w:hint="eastAsia" w:ascii="仿宋_GB2312" w:hAnsi="仿宋_GB2312" w:eastAsia="仿宋_GB2312" w:cs="仿宋_GB2312"/>
          <w:color w:val="auto"/>
          <w:sz w:val="32"/>
          <w:szCs w:val="32"/>
          <w:highlight w:val="none"/>
        </w:rPr>
        <w:t>签署的所有文件不因授权的撤消而失效。</w:t>
      </w:r>
    </w:p>
    <w:p w14:paraId="55058B66">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全权代表无转委托权。特此委托。</w:t>
      </w:r>
    </w:p>
    <w:p w14:paraId="641F5791">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color w:val="auto"/>
          <w:sz w:val="32"/>
          <w:szCs w:val="32"/>
          <w:highlight w:val="none"/>
        </w:rPr>
      </w:pPr>
    </w:p>
    <w:p w14:paraId="0101EBFB">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（附法定代表人、授权代理人身份证明复印件）</w:t>
      </w:r>
    </w:p>
    <w:p w14:paraId="756759A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color w:val="auto"/>
          <w:sz w:val="32"/>
          <w:szCs w:val="32"/>
          <w:highlight w:val="none"/>
        </w:rPr>
      </w:pPr>
    </w:p>
    <w:p w14:paraId="169AF746">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color w:val="auto"/>
          <w:sz w:val="32"/>
          <w:szCs w:val="32"/>
          <w:highlight w:val="none"/>
        </w:rPr>
      </w:pPr>
    </w:p>
    <w:p w14:paraId="56513EEC">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color w:val="auto"/>
          <w:sz w:val="32"/>
          <w:szCs w:val="32"/>
          <w:highlight w:val="none"/>
        </w:rPr>
      </w:pPr>
    </w:p>
    <w:p w14:paraId="17581B2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投标人（盖章）：</w:t>
      </w:r>
    </w:p>
    <w:p w14:paraId="5E4CF61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color w:val="auto"/>
          <w:sz w:val="32"/>
          <w:szCs w:val="32"/>
          <w:highlight w:val="none"/>
        </w:rPr>
      </w:pPr>
    </w:p>
    <w:p w14:paraId="2F6F1A73">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法定代表人：（签字）：</w:t>
      </w:r>
    </w:p>
    <w:p w14:paraId="0D66980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color w:val="auto"/>
          <w:sz w:val="32"/>
          <w:szCs w:val="32"/>
          <w:highlight w:val="none"/>
        </w:rPr>
      </w:pPr>
    </w:p>
    <w:p w14:paraId="11F782E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授权代理人：（签字）：</w:t>
      </w:r>
    </w:p>
    <w:p w14:paraId="59AF0E5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color w:val="auto"/>
          <w:sz w:val="32"/>
          <w:szCs w:val="32"/>
          <w:highlight w:val="none"/>
        </w:rPr>
      </w:pPr>
    </w:p>
    <w:p w14:paraId="6808D06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日期：   年   月   日</w:t>
      </w:r>
    </w:p>
    <w:p w14:paraId="5C64530C">
      <w:pPr>
        <w:pStyle w:val="3"/>
        <w:spacing w:before="120"/>
        <w:rPr>
          <w:rFonts w:ascii="仿宋_GB2312" w:hAnsi="仿宋_GB2312" w:eastAsia="仿宋_GB2312" w:cs="仿宋_GB2312"/>
          <w:color w:val="auto"/>
          <w:highlight w:val="none"/>
        </w:rPr>
      </w:pPr>
      <w:r>
        <w:rPr>
          <w:rFonts w:hint="eastAsia" w:ascii="仿宋_GB2312" w:hAnsi="仿宋_GB2312" w:eastAsia="仿宋_GB2312" w:cs="仿宋_GB2312"/>
          <w:color w:val="auto"/>
          <w:szCs w:val="28"/>
          <w:highlight w:val="none"/>
        </w:rPr>
        <w:br w:type="page"/>
      </w:r>
      <w:bookmarkStart w:id="97" w:name="_Toc513627405"/>
      <w:bookmarkStart w:id="98" w:name="_Toc40089810"/>
      <w:bookmarkStart w:id="99" w:name="_Toc24686"/>
      <w:r>
        <w:rPr>
          <w:rFonts w:hint="eastAsia" w:ascii="仿宋_GB2312" w:hAnsi="仿宋_GB2312" w:eastAsia="仿宋_GB2312" w:cs="仿宋_GB2312"/>
        </w:rPr>
        <w:t>附件3</w:t>
      </w:r>
    </w:p>
    <w:p w14:paraId="59C25F91">
      <w:pPr>
        <w:rPr>
          <w:rFonts w:ascii="仿宋_GB2312" w:hAnsi="仿宋_GB2312" w:eastAsia="仿宋_GB2312" w:cs="仿宋_GB2312"/>
          <w:color w:val="auto"/>
          <w:highlight w:val="none"/>
        </w:rPr>
      </w:pPr>
    </w:p>
    <w:p w14:paraId="7AFFE39C">
      <w:pPr>
        <w:pStyle w:val="21"/>
        <w:snapToGrid w:val="0"/>
        <w:spacing w:after="0" w:line="560" w:lineRule="exact"/>
        <w:jc w:val="center"/>
        <w:rPr>
          <w:rFonts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sz w:val="32"/>
          <w:szCs w:val="32"/>
          <w:highlight w:val="none"/>
        </w:rPr>
        <w:t>近三年内，在经营活动中没有重大违法记录的声明</w:t>
      </w:r>
      <w:bookmarkEnd w:id="97"/>
      <w:bookmarkEnd w:id="98"/>
      <w:bookmarkEnd w:id="99"/>
      <w:r>
        <w:rPr>
          <w:rFonts w:hint="eastAsia" w:ascii="仿宋_GB2312" w:hAnsi="仿宋_GB2312" w:eastAsia="仿宋_GB2312" w:cs="仿宋_GB2312"/>
          <w:b/>
          <w:bCs w:val="0"/>
          <w:color w:val="auto"/>
          <w:sz w:val="32"/>
          <w:szCs w:val="32"/>
          <w:highlight w:val="none"/>
        </w:rPr>
        <w:t>函</w:t>
      </w:r>
    </w:p>
    <w:p w14:paraId="59DAA7A8">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 w:hAnsi="仿宋" w:eastAsia="仿宋" w:cs="仿宋"/>
          <w:color w:val="auto"/>
          <w:sz w:val="32"/>
          <w:szCs w:val="32"/>
          <w:highlight w:val="none"/>
        </w:rPr>
      </w:pPr>
    </w:p>
    <w:p w14:paraId="0D825091">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致：海南卫生健康职业学院</w:t>
      </w:r>
    </w:p>
    <w:p w14:paraId="6F59105E">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我单位近三年内在经营活动中没有重大违法记录，特此声明。</w:t>
      </w:r>
    </w:p>
    <w:p w14:paraId="5D6087CC">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若招标采购单位在本项目采购过程中，发现我单位近三年内在经营活动中有重大违法记录，我单位将无条件退出本项目的报价，并承担因此引起的一切后果。</w:t>
      </w:r>
    </w:p>
    <w:p w14:paraId="67E3596B">
      <w:pPr>
        <w:snapToGrid w:val="0"/>
        <w:spacing w:line="560" w:lineRule="exact"/>
        <w:ind w:firstLine="480"/>
        <w:rPr>
          <w:rFonts w:hint="eastAsia" w:ascii="仿宋" w:hAnsi="仿宋" w:eastAsia="仿宋" w:cs="仿宋"/>
          <w:color w:val="auto"/>
          <w:sz w:val="32"/>
          <w:szCs w:val="32"/>
          <w:highlight w:val="none"/>
        </w:rPr>
      </w:pPr>
    </w:p>
    <w:p w14:paraId="65799A16">
      <w:pPr>
        <w:snapToGrid w:val="0"/>
        <w:spacing w:line="560" w:lineRule="exact"/>
        <w:rPr>
          <w:rFonts w:hint="eastAsia" w:ascii="仿宋" w:hAnsi="仿宋" w:eastAsia="仿宋" w:cs="仿宋"/>
          <w:color w:val="auto"/>
          <w:sz w:val="32"/>
          <w:szCs w:val="32"/>
          <w:highlight w:val="none"/>
        </w:rPr>
      </w:pPr>
    </w:p>
    <w:p w14:paraId="64CD9445">
      <w:pPr>
        <w:snapToGrid w:val="0"/>
        <w:spacing w:line="560" w:lineRule="exact"/>
        <w:rPr>
          <w:rFonts w:hint="eastAsia" w:ascii="仿宋" w:hAnsi="仿宋" w:eastAsia="仿宋" w:cs="仿宋"/>
          <w:color w:val="auto"/>
          <w:sz w:val="32"/>
          <w:szCs w:val="32"/>
          <w:highlight w:val="none"/>
        </w:rPr>
      </w:pPr>
    </w:p>
    <w:p w14:paraId="630177CC">
      <w:pPr>
        <w:snapToGrid w:val="0"/>
        <w:spacing w:line="560" w:lineRule="exact"/>
        <w:ind w:firstLine="48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供应商（公章）：</w:t>
      </w:r>
      <w:r>
        <w:rPr>
          <w:rFonts w:hint="eastAsia" w:ascii="仿宋" w:hAnsi="仿宋" w:eastAsia="仿宋" w:cs="仿宋"/>
          <w:color w:val="auto"/>
          <w:sz w:val="32"/>
          <w:szCs w:val="32"/>
          <w:highlight w:val="none"/>
          <w:u w:val="single"/>
        </w:rPr>
        <w:t xml:space="preserve">                     </w:t>
      </w:r>
    </w:p>
    <w:p w14:paraId="03001006">
      <w:pPr>
        <w:snapToGrid w:val="0"/>
        <w:spacing w:line="560" w:lineRule="exact"/>
        <w:ind w:firstLine="48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法人代表或其授权人（签字）：</w:t>
      </w:r>
      <w:r>
        <w:rPr>
          <w:rFonts w:hint="eastAsia" w:ascii="仿宋" w:hAnsi="仿宋" w:eastAsia="仿宋" w:cs="仿宋"/>
          <w:color w:val="auto"/>
          <w:sz w:val="32"/>
          <w:szCs w:val="32"/>
          <w:highlight w:val="none"/>
          <w:u w:val="single"/>
        </w:rPr>
        <w:t xml:space="preserve">               </w:t>
      </w:r>
    </w:p>
    <w:p w14:paraId="60F4600C">
      <w:pPr>
        <w:snapToGrid w:val="0"/>
        <w:spacing w:line="560" w:lineRule="exact"/>
        <w:ind w:firstLine="48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日   期：</w:t>
      </w:r>
      <w:r>
        <w:rPr>
          <w:rFonts w:hint="eastAsia" w:ascii="仿宋" w:hAnsi="仿宋" w:eastAsia="仿宋" w:cs="仿宋"/>
          <w:color w:val="auto"/>
          <w:sz w:val="32"/>
          <w:szCs w:val="32"/>
          <w:highlight w:val="none"/>
          <w:u w:val="single"/>
        </w:rPr>
        <w:t xml:space="preserve">                   </w:t>
      </w:r>
    </w:p>
    <w:p w14:paraId="37852AC0">
      <w:pPr>
        <w:snapToGrid w:val="0"/>
        <w:spacing w:line="560" w:lineRule="exact"/>
        <w:ind w:firstLine="48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解释：《中华人民共和国政府采购法实施条例》条例第十九条 政府采购法第二十二条第一款第五项所称重大违法记录，是指供应商因违法经营受到刑事处罚或者责令停产停业、吊销许可证或者执照、较大数额罚款等行政处罚。供应商在参加政府采购活动前3年内因违法经营被禁止在一定期限内参加政府采购活动，期限届满的，可以参加政府采购活动。</w:t>
      </w:r>
    </w:p>
    <w:p w14:paraId="1E895A26">
      <w:pPr>
        <w:pStyle w:val="3"/>
        <w:spacing w:before="120"/>
        <w:rPr>
          <w:rFonts w:ascii="仿宋_GB2312" w:hAnsi="仿宋_GB2312" w:eastAsia="仿宋_GB2312" w:cs="仿宋_GB2312"/>
          <w:b/>
          <w:bCs w:val="0"/>
          <w:color w:val="auto"/>
          <w:sz w:val="36"/>
          <w:szCs w:val="36"/>
          <w:highlight w:val="none"/>
        </w:rPr>
      </w:pPr>
      <w:r>
        <w:rPr>
          <w:rFonts w:hint="eastAsia" w:ascii="仿宋_GB2312" w:hAnsi="仿宋_GB2312" w:eastAsia="仿宋_GB2312" w:cs="仿宋_GB2312"/>
          <w:color w:val="auto"/>
          <w:sz w:val="24"/>
          <w:highlight w:val="none"/>
        </w:rPr>
        <w:br w:type="page"/>
      </w:r>
      <w:bookmarkStart w:id="100" w:name="_Toc9292"/>
      <w:bookmarkStart w:id="101" w:name="_Toc40089811"/>
      <w:r>
        <w:rPr>
          <w:rFonts w:hint="eastAsia" w:ascii="仿宋_GB2312" w:hAnsi="仿宋_GB2312" w:eastAsia="仿宋_GB2312" w:cs="仿宋_GB2312"/>
        </w:rPr>
        <w:t>附件4</w:t>
      </w:r>
      <w:bookmarkEnd w:id="100"/>
      <w:bookmarkEnd w:id="101"/>
    </w:p>
    <w:p w14:paraId="37CB1739">
      <w:pPr>
        <w:pStyle w:val="10"/>
        <w:spacing w:before="0" w:after="0"/>
        <w:ind w:right="378" w:rightChars="135"/>
        <w:jc w:val="center"/>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6"/>
          <w:szCs w:val="36"/>
          <w:highlight w:val="none"/>
        </w:rPr>
        <w:t>商务响应表</w:t>
      </w:r>
    </w:p>
    <w:tbl>
      <w:tblPr>
        <w:tblStyle w:val="25"/>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402"/>
        <w:gridCol w:w="1673"/>
        <w:gridCol w:w="2544"/>
      </w:tblGrid>
      <w:tr w14:paraId="0198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2" w:type="dxa"/>
            <w:vAlign w:val="center"/>
          </w:tcPr>
          <w:p w14:paraId="45F73552">
            <w:pPr>
              <w:keepNext w:val="0"/>
              <w:keepLines w:val="0"/>
              <w:suppressLineNumbers w:val="0"/>
              <w:adjustRightInd w:val="0"/>
              <w:spacing w:before="0" w:beforeAutospacing="0" w:after="0" w:afterAutospacing="0" w:line="500" w:lineRule="atLeast"/>
              <w:ind w:left="0" w:right="0"/>
              <w:jc w:val="center"/>
              <w:rPr>
                <w:rFonts w:hint="default"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序号</w:t>
            </w:r>
          </w:p>
        </w:tc>
        <w:tc>
          <w:tcPr>
            <w:tcW w:w="3402" w:type="dxa"/>
            <w:vAlign w:val="center"/>
          </w:tcPr>
          <w:p w14:paraId="58B687E4">
            <w:pPr>
              <w:keepNext w:val="0"/>
              <w:keepLines w:val="0"/>
              <w:suppressLineNumbers w:val="0"/>
              <w:adjustRightInd w:val="0"/>
              <w:spacing w:before="0" w:beforeAutospacing="0" w:after="0" w:afterAutospacing="0" w:line="500" w:lineRule="atLeast"/>
              <w:ind w:left="0" w:right="0"/>
              <w:jc w:val="center"/>
              <w:rPr>
                <w:rFonts w:hint="default"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磋商文件要求</w:t>
            </w:r>
          </w:p>
        </w:tc>
        <w:tc>
          <w:tcPr>
            <w:tcW w:w="1673" w:type="dxa"/>
            <w:vAlign w:val="center"/>
          </w:tcPr>
          <w:p w14:paraId="3655016D">
            <w:pPr>
              <w:keepNext w:val="0"/>
              <w:keepLines w:val="0"/>
              <w:suppressLineNumbers w:val="0"/>
              <w:adjustRightInd w:val="0"/>
              <w:spacing w:before="0" w:beforeAutospacing="0" w:after="0" w:afterAutospacing="0" w:line="500" w:lineRule="atLeast"/>
              <w:ind w:left="0" w:right="0"/>
              <w:jc w:val="center"/>
              <w:rPr>
                <w:rFonts w:hint="default"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响应程度</w:t>
            </w:r>
          </w:p>
        </w:tc>
        <w:tc>
          <w:tcPr>
            <w:tcW w:w="2544" w:type="dxa"/>
            <w:vAlign w:val="center"/>
          </w:tcPr>
          <w:p w14:paraId="604BF166">
            <w:pPr>
              <w:keepNext w:val="0"/>
              <w:keepLines w:val="0"/>
              <w:suppressLineNumbers w:val="0"/>
              <w:adjustRightInd w:val="0"/>
              <w:spacing w:before="0" w:beforeAutospacing="0" w:after="0" w:afterAutospacing="0" w:line="500" w:lineRule="atLeast"/>
              <w:ind w:left="0" w:right="0"/>
              <w:jc w:val="center"/>
              <w:rPr>
                <w:rFonts w:hint="eastAsia" w:ascii="仿宋_GB2312" w:hAnsi="仿宋_GB2312" w:eastAsia="仿宋_GB2312" w:cs="仿宋_GB2312"/>
                <w:b/>
                <w:color w:val="auto"/>
                <w:sz w:val="32"/>
                <w:szCs w:val="32"/>
                <w:highlight w:val="none"/>
                <w:lang w:eastAsia="zh-CN"/>
              </w:rPr>
            </w:pPr>
            <w:r>
              <w:rPr>
                <w:rStyle w:val="33"/>
                <w:rFonts w:hint="eastAsia" w:cs="仿宋"/>
                <w:b/>
                <w:bCs w:val="0"/>
                <w:color w:val="auto"/>
                <w:sz w:val="32"/>
                <w:szCs w:val="32"/>
                <w:highlight w:val="none"/>
              </w:rPr>
              <w:t>正偏离</w:t>
            </w:r>
            <w:r>
              <w:rPr>
                <w:rStyle w:val="33"/>
                <w:rFonts w:hint="eastAsia" w:cs="仿宋"/>
                <w:b/>
                <w:bCs w:val="0"/>
                <w:color w:val="auto"/>
                <w:sz w:val="32"/>
                <w:szCs w:val="32"/>
                <w:highlight w:val="none"/>
                <w:lang w:eastAsia="zh-CN"/>
              </w:rPr>
              <w:t>理由</w:t>
            </w:r>
          </w:p>
        </w:tc>
      </w:tr>
      <w:tr w14:paraId="6BEB1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52" w:type="dxa"/>
            <w:vAlign w:val="center"/>
          </w:tcPr>
          <w:p w14:paraId="35B18512">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jc w:val="center"/>
              <w:rPr>
                <w:rFonts w:hint="default" w:ascii="仿宋_GB2312" w:hAnsi="仿宋_GB2312" w:eastAsia="仿宋_GB2312" w:cs="仿宋_GB2312"/>
                <w:bCs w:val="0"/>
                <w:color w:val="auto"/>
                <w:sz w:val="32"/>
                <w:szCs w:val="32"/>
                <w:highlight w:val="none"/>
              </w:rPr>
            </w:pPr>
          </w:p>
        </w:tc>
        <w:tc>
          <w:tcPr>
            <w:tcW w:w="3402" w:type="dxa"/>
            <w:vAlign w:val="center"/>
          </w:tcPr>
          <w:p w14:paraId="4AF2F176">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color w:val="auto"/>
                <w:sz w:val="32"/>
                <w:szCs w:val="32"/>
                <w:highlight w:val="none"/>
              </w:rPr>
            </w:pPr>
          </w:p>
        </w:tc>
        <w:tc>
          <w:tcPr>
            <w:tcW w:w="1673" w:type="dxa"/>
            <w:vAlign w:val="center"/>
          </w:tcPr>
          <w:p w14:paraId="58C6E88C">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color w:val="auto"/>
                <w:sz w:val="32"/>
                <w:szCs w:val="32"/>
                <w:highlight w:val="none"/>
              </w:rPr>
            </w:pPr>
          </w:p>
        </w:tc>
        <w:tc>
          <w:tcPr>
            <w:tcW w:w="2544" w:type="dxa"/>
            <w:vAlign w:val="center"/>
          </w:tcPr>
          <w:p w14:paraId="049FBE15">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color w:val="auto"/>
                <w:sz w:val="32"/>
                <w:szCs w:val="32"/>
                <w:highlight w:val="none"/>
              </w:rPr>
            </w:pPr>
          </w:p>
        </w:tc>
      </w:tr>
      <w:tr w14:paraId="2C7D5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2" w:type="dxa"/>
            <w:vAlign w:val="center"/>
          </w:tcPr>
          <w:p w14:paraId="653A929E">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jc w:val="center"/>
              <w:rPr>
                <w:rFonts w:hint="default" w:ascii="仿宋_GB2312" w:hAnsi="仿宋_GB2312" w:eastAsia="仿宋_GB2312" w:cs="仿宋_GB2312"/>
                <w:bCs w:val="0"/>
                <w:color w:val="auto"/>
                <w:sz w:val="32"/>
                <w:szCs w:val="32"/>
                <w:highlight w:val="none"/>
              </w:rPr>
            </w:pPr>
          </w:p>
        </w:tc>
        <w:tc>
          <w:tcPr>
            <w:tcW w:w="3402" w:type="dxa"/>
            <w:vAlign w:val="center"/>
          </w:tcPr>
          <w:p w14:paraId="6825429E">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color w:val="auto"/>
                <w:sz w:val="32"/>
                <w:szCs w:val="32"/>
                <w:highlight w:val="none"/>
              </w:rPr>
            </w:pPr>
          </w:p>
        </w:tc>
        <w:tc>
          <w:tcPr>
            <w:tcW w:w="1673" w:type="dxa"/>
            <w:vAlign w:val="center"/>
          </w:tcPr>
          <w:p w14:paraId="0620B87E">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color w:val="auto"/>
                <w:sz w:val="32"/>
                <w:szCs w:val="32"/>
                <w:highlight w:val="none"/>
              </w:rPr>
            </w:pPr>
          </w:p>
        </w:tc>
        <w:tc>
          <w:tcPr>
            <w:tcW w:w="2544" w:type="dxa"/>
            <w:vAlign w:val="center"/>
          </w:tcPr>
          <w:p w14:paraId="58CF0BF9">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color w:val="auto"/>
                <w:sz w:val="32"/>
                <w:szCs w:val="32"/>
                <w:highlight w:val="none"/>
              </w:rPr>
            </w:pPr>
          </w:p>
        </w:tc>
      </w:tr>
      <w:tr w14:paraId="4964B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52" w:type="dxa"/>
            <w:vAlign w:val="center"/>
          </w:tcPr>
          <w:p w14:paraId="15E9AFDE">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jc w:val="center"/>
              <w:rPr>
                <w:rFonts w:hint="default" w:ascii="仿宋_GB2312" w:hAnsi="仿宋_GB2312" w:eastAsia="仿宋_GB2312" w:cs="仿宋_GB2312"/>
                <w:bCs w:val="0"/>
                <w:color w:val="auto"/>
                <w:sz w:val="32"/>
                <w:szCs w:val="32"/>
                <w:highlight w:val="none"/>
              </w:rPr>
            </w:pPr>
          </w:p>
        </w:tc>
        <w:tc>
          <w:tcPr>
            <w:tcW w:w="3402" w:type="dxa"/>
            <w:vAlign w:val="center"/>
          </w:tcPr>
          <w:p w14:paraId="184394BE">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color w:val="auto"/>
                <w:sz w:val="32"/>
                <w:szCs w:val="32"/>
                <w:highlight w:val="none"/>
              </w:rPr>
            </w:pPr>
          </w:p>
        </w:tc>
        <w:tc>
          <w:tcPr>
            <w:tcW w:w="1673" w:type="dxa"/>
            <w:vAlign w:val="center"/>
          </w:tcPr>
          <w:p w14:paraId="3F299FE6">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color w:val="auto"/>
                <w:sz w:val="32"/>
                <w:szCs w:val="32"/>
                <w:highlight w:val="none"/>
              </w:rPr>
            </w:pPr>
          </w:p>
        </w:tc>
        <w:tc>
          <w:tcPr>
            <w:tcW w:w="2544" w:type="dxa"/>
            <w:vAlign w:val="center"/>
          </w:tcPr>
          <w:p w14:paraId="2730F0B1">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color w:val="auto"/>
                <w:sz w:val="32"/>
                <w:szCs w:val="32"/>
                <w:highlight w:val="none"/>
              </w:rPr>
            </w:pPr>
          </w:p>
        </w:tc>
      </w:tr>
      <w:tr w14:paraId="7861A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52" w:type="dxa"/>
            <w:vAlign w:val="center"/>
          </w:tcPr>
          <w:p w14:paraId="4FA3E4FF">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jc w:val="center"/>
              <w:rPr>
                <w:rFonts w:hint="default" w:ascii="仿宋_GB2312" w:hAnsi="仿宋_GB2312" w:eastAsia="仿宋_GB2312" w:cs="仿宋_GB2312"/>
                <w:bCs w:val="0"/>
                <w:color w:val="auto"/>
                <w:sz w:val="32"/>
                <w:szCs w:val="32"/>
                <w:highlight w:val="none"/>
              </w:rPr>
            </w:pPr>
            <w:r>
              <w:rPr>
                <w:rFonts w:hint="eastAsia" w:ascii="仿宋_GB2312" w:hAnsi="仿宋_GB2312" w:eastAsia="仿宋_GB2312" w:cs="仿宋_GB2312"/>
                <w:bCs w:val="0"/>
                <w:color w:val="auto"/>
                <w:sz w:val="32"/>
                <w:szCs w:val="32"/>
                <w:highlight w:val="none"/>
              </w:rPr>
              <w:t>……</w:t>
            </w:r>
          </w:p>
        </w:tc>
        <w:tc>
          <w:tcPr>
            <w:tcW w:w="3402" w:type="dxa"/>
            <w:vAlign w:val="center"/>
          </w:tcPr>
          <w:p w14:paraId="3A4D6A65">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color w:val="auto"/>
                <w:sz w:val="32"/>
                <w:szCs w:val="32"/>
                <w:highlight w:val="none"/>
              </w:rPr>
            </w:pPr>
          </w:p>
        </w:tc>
        <w:tc>
          <w:tcPr>
            <w:tcW w:w="1673" w:type="dxa"/>
            <w:vAlign w:val="center"/>
          </w:tcPr>
          <w:p w14:paraId="018EA606">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color w:val="auto"/>
                <w:sz w:val="32"/>
                <w:szCs w:val="32"/>
                <w:highlight w:val="none"/>
              </w:rPr>
            </w:pPr>
          </w:p>
        </w:tc>
        <w:tc>
          <w:tcPr>
            <w:tcW w:w="2544" w:type="dxa"/>
            <w:vAlign w:val="center"/>
          </w:tcPr>
          <w:p w14:paraId="131A027A">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color w:val="auto"/>
                <w:sz w:val="32"/>
                <w:szCs w:val="32"/>
                <w:highlight w:val="none"/>
              </w:rPr>
            </w:pPr>
          </w:p>
        </w:tc>
      </w:tr>
    </w:tbl>
    <w:p w14:paraId="719386F0">
      <w:pPr>
        <w:adjustRightInd w:val="0"/>
        <w:snapToGrid w:val="0"/>
        <w:spacing w:line="560" w:lineRule="exact"/>
        <w:rPr>
          <w:rFonts w:hint="eastAsia" w:ascii="仿宋" w:hAnsi="仿宋" w:eastAsia="仿宋" w:cs="仿宋"/>
          <w:bCs w:val="0"/>
          <w:color w:val="auto"/>
          <w:sz w:val="32"/>
          <w:szCs w:val="32"/>
          <w:highlight w:val="none"/>
        </w:rPr>
      </w:pPr>
      <w:r>
        <w:rPr>
          <w:rFonts w:hint="eastAsia" w:ascii="仿宋" w:hAnsi="仿宋" w:eastAsia="仿宋" w:cs="仿宋"/>
          <w:color w:val="auto"/>
          <w:sz w:val="32"/>
          <w:szCs w:val="32"/>
          <w:highlight w:val="none"/>
        </w:rPr>
        <w:t>注：1.按照磋商文件第五部分项目需求中的商务需求的顺序对应逐条应答，</w:t>
      </w:r>
      <w:r>
        <w:rPr>
          <w:rFonts w:hint="eastAsia" w:ascii="仿宋" w:hAnsi="仿宋" w:eastAsia="仿宋" w:cs="仿宋"/>
          <w:bCs w:val="0"/>
          <w:color w:val="auto"/>
          <w:sz w:val="32"/>
          <w:szCs w:val="32"/>
          <w:highlight w:val="none"/>
        </w:rPr>
        <w:t>对照磋商文件要求在“响应程度”栏填写“无偏离”或“正偏离”或“负偏离”。</w:t>
      </w:r>
    </w:p>
    <w:p w14:paraId="0D3BA005">
      <w:pPr>
        <w:adjustRightInd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2.供应商必须据实填写，不得虚假填写，否则将取消其报价或中选。</w:t>
      </w:r>
    </w:p>
    <w:p w14:paraId="5283CF1B">
      <w:pPr>
        <w:spacing w:line="480" w:lineRule="auto"/>
        <w:rPr>
          <w:rFonts w:ascii="仿宋_GB2312" w:hAnsi="仿宋_GB2312" w:eastAsia="仿宋_GB2312" w:cs="仿宋_GB2312"/>
          <w:color w:val="auto"/>
          <w:sz w:val="24"/>
          <w:highlight w:val="none"/>
        </w:rPr>
      </w:pPr>
    </w:p>
    <w:p w14:paraId="38C5BC60">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 w:hAnsi="仿宋" w:eastAsia="仿宋" w:cs="仿宋"/>
          <w:bCs w:val="0"/>
          <w:color w:val="auto"/>
          <w:sz w:val="32"/>
          <w:szCs w:val="32"/>
          <w:highlight w:val="none"/>
        </w:rPr>
      </w:pPr>
      <w:r>
        <w:rPr>
          <w:rFonts w:hint="eastAsia" w:ascii="仿宋" w:hAnsi="仿宋" w:eastAsia="仿宋" w:cs="仿宋"/>
          <w:bCs w:val="0"/>
          <w:color w:val="auto"/>
          <w:sz w:val="32"/>
          <w:szCs w:val="32"/>
          <w:highlight w:val="none"/>
        </w:rPr>
        <w:t>供应商（公章）：</w:t>
      </w:r>
      <w:r>
        <w:rPr>
          <w:rFonts w:hint="eastAsia" w:ascii="仿宋" w:hAnsi="仿宋" w:eastAsia="仿宋" w:cs="仿宋"/>
          <w:bCs w:val="0"/>
          <w:color w:val="auto"/>
          <w:sz w:val="32"/>
          <w:szCs w:val="32"/>
          <w:highlight w:val="none"/>
          <w:u w:val="single"/>
        </w:rPr>
        <w:t xml:space="preserve">                          </w:t>
      </w:r>
      <w:r>
        <w:rPr>
          <w:rFonts w:hint="eastAsia" w:ascii="仿宋" w:hAnsi="仿宋" w:eastAsia="仿宋" w:cs="仿宋"/>
          <w:bCs w:val="0"/>
          <w:color w:val="auto"/>
          <w:sz w:val="32"/>
          <w:szCs w:val="32"/>
          <w:highlight w:val="none"/>
        </w:rPr>
        <w:t xml:space="preserve">         </w:t>
      </w:r>
    </w:p>
    <w:p w14:paraId="6BA01004">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 w:hAnsi="仿宋" w:eastAsia="仿宋" w:cs="仿宋"/>
          <w:bCs w:val="0"/>
          <w:color w:val="auto"/>
          <w:sz w:val="32"/>
          <w:szCs w:val="32"/>
          <w:highlight w:val="none"/>
        </w:rPr>
      </w:pPr>
      <w:r>
        <w:rPr>
          <w:rFonts w:hint="eastAsia" w:ascii="仿宋" w:hAnsi="仿宋" w:eastAsia="仿宋" w:cs="仿宋"/>
          <w:bCs w:val="0"/>
          <w:color w:val="auto"/>
          <w:sz w:val="32"/>
          <w:szCs w:val="32"/>
          <w:highlight w:val="none"/>
        </w:rPr>
        <w:t>法人代表或其授权人（签字）：</w:t>
      </w:r>
      <w:r>
        <w:rPr>
          <w:rFonts w:hint="eastAsia" w:ascii="仿宋" w:hAnsi="仿宋" w:eastAsia="仿宋" w:cs="仿宋"/>
          <w:bCs w:val="0"/>
          <w:color w:val="auto"/>
          <w:sz w:val="32"/>
          <w:szCs w:val="32"/>
          <w:highlight w:val="none"/>
          <w:u w:val="single"/>
        </w:rPr>
        <w:t xml:space="preserve">              </w:t>
      </w:r>
      <w:r>
        <w:rPr>
          <w:rFonts w:hint="eastAsia" w:ascii="仿宋" w:hAnsi="仿宋" w:eastAsia="仿宋" w:cs="仿宋"/>
          <w:bCs w:val="0"/>
          <w:color w:val="auto"/>
          <w:sz w:val="32"/>
          <w:szCs w:val="32"/>
          <w:highlight w:val="none"/>
        </w:rPr>
        <w:t xml:space="preserve">               </w:t>
      </w:r>
    </w:p>
    <w:p w14:paraId="59D91153">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 w:hAnsi="仿宋" w:eastAsia="仿宋" w:cs="仿宋"/>
          <w:color w:val="auto"/>
          <w:sz w:val="32"/>
          <w:szCs w:val="32"/>
          <w:highlight w:val="none"/>
          <w:u w:val="single"/>
        </w:rPr>
      </w:pPr>
      <w:r>
        <w:rPr>
          <w:rFonts w:hint="eastAsia" w:ascii="仿宋" w:hAnsi="仿宋" w:eastAsia="仿宋" w:cs="仿宋"/>
          <w:bCs w:val="0"/>
          <w:color w:val="auto"/>
          <w:sz w:val="32"/>
          <w:szCs w:val="32"/>
          <w:highlight w:val="none"/>
        </w:rPr>
        <w:t>日   期：</w:t>
      </w:r>
      <w:r>
        <w:rPr>
          <w:rFonts w:hint="eastAsia" w:ascii="仿宋" w:hAnsi="仿宋" w:eastAsia="仿宋" w:cs="仿宋"/>
          <w:color w:val="auto"/>
          <w:sz w:val="32"/>
          <w:szCs w:val="32"/>
          <w:highlight w:val="none"/>
          <w:u w:val="single"/>
        </w:rPr>
        <w:t xml:space="preserve">                                  </w:t>
      </w:r>
    </w:p>
    <w:p w14:paraId="0C217BDC">
      <w:pPr>
        <w:rPr>
          <w:color w:val="auto"/>
          <w:highlight w:val="none"/>
        </w:rPr>
      </w:pPr>
      <w:r>
        <w:rPr>
          <w:rFonts w:hint="eastAsia"/>
          <w:color w:val="auto"/>
          <w:highlight w:val="none"/>
        </w:rPr>
        <w:br w:type="page"/>
      </w:r>
      <w:bookmarkStart w:id="102" w:name="_Toc23941"/>
      <w:bookmarkStart w:id="103" w:name="_Toc40089812"/>
    </w:p>
    <w:p w14:paraId="3BDCE4C4">
      <w:pPr>
        <w:pStyle w:val="2"/>
        <w:numPr>
          <w:ilvl w:val="0"/>
          <w:numId w:val="5"/>
        </w:numPr>
        <w:spacing w:line="240" w:lineRule="auto"/>
        <w:rPr>
          <w:color w:val="auto"/>
          <w:highlight w:val="none"/>
        </w:rPr>
      </w:pPr>
      <w:bookmarkStart w:id="104" w:name="_Toc21595"/>
      <w:r>
        <w:rPr>
          <w:rFonts w:hint="eastAsia"/>
          <w:color w:val="auto"/>
          <w:highlight w:val="none"/>
        </w:rPr>
        <w:t>资信部分</w:t>
      </w:r>
      <w:bookmarkEnd w:id="104"/>
    </w:p>
    <w:p w14:paraId="2B2C02D4">
      <w:pPr>
        <w:rPr>
          <w:rFonts w:ascii="仿宋_GB2312" w:hAnsi="仿宋_GB2312" w:eastAsia="仿宋_GB2312" w:cs="仿宋_GB2312"/>
          <w:color w:val="auto"/>
          <w:kern w:val="0"/>
          <w:sz w:val="32"/>
          <w:szCs w:val="32"/>
          <w:highlight w:val="none"/>
        </w:rPr>
      </w:pPr>
    </w:p>
    <w:p w14:paraId="0A8B137B">
      <w:pPr>
        <w:pStyle w:val="32"/>
        <w:widowControl/>
        <w:adjustRightInd w:val="0"/>
        <w:snapToGrid w:val="0"/>
        <w:spacing w:line="560" w:lineRule="exact"/>
        <w:ind w:firstLine="640"/>
        <w:jc w:val="left"/>
        <w:textAlignment w:val="center"/>
        <w:rPr>
          <w:rFonts w:hint="eastAsia"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1.符合《中华人民共和国政府采购法》第二十二条规定，在中国境内注册的具有独立法人资格或个体户（提供营业执照）。</w:t>
      </w:r>
    </w:p>
    <w:p w14:paraId="2388A063">
      <w:pPr>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2.未被“信用中国”网站（www.creditchina.gov.cn）列入失信被执行人、重大税收违法案件当事人名单、政府采购严重失信行为记录名单（提供网上截图加盖公章）或信用报告。</w:t>
      </w:r>
    </w:p>
    <w:p w14:paraId="10A27DF3">
      <w:pPr>
        <w:pStyle w:val="21"/>
        <w:snapToGrid w:val="0"/>
        <w:spacing w:after="0" w:line="56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3</w:t>
      </w:r>
      <w:r>
        <w:rPr>
          <w:rFonts w:hint="eastAsia" w:ascii="仿宋" w:hAnsi="仿宋" w:eastAsia="仿宋" w:cs="仿宋"/>
          <w:color w:val="auto"/>
          <w:kern w:val="0"/>
          <w:sz w:val="32"/>
          <w:szCs w:val="32"/>
          <w:highlight w:val="none"/>
        </w:rPr>
        <w:t>.承诺函(样本)</w:t>
      </w:r>
    </w:p>
    <w:p w14:paraId="1A45FC8C">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 w:hAnsi="仿宋" w:eastAsia="仿宋" w:cs="仿宋"/>
          <w:color w:val="auto"/>
          <w:sz w:val="32"/>
          <w:szCs w:val="32"/>
          <w:highlight w:val="none"/>
        </w:rPr>
      </w:pPr>
    </w:p>
    <w:p w14:paraId="1369EF33">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承诺函</w:t>
      </w:r>
    </w:p>
    <w:p w14:paraId="4F5D24BD">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hint="eastAsia" w:ascii="仿宋" w:hAnsi="仿宋" w:eastAsia="仿宋" w:cs="仿宋"/>
          <w:color w:val="auto"/>
          <w:kern w:val="0"/>
          <w:sz w:val="32"/>
          <w:szCs w:val="32"/>
          <w:highlight w:val="none"/>
        </w:rPr>
      </w:pPr>
    </w:p>
    <w:p w14:paraId="2FDD6247">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致：海南卫生健康职业学院</w:t>
      </w:r>
    </w:p>
    <w:p w14:paraId="65FDADC7">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我单位</w:t>
      </w:r>
      <w:r>
        <w:rPr>
          <w:rFonts w:hint="eastAsia" w:ascii="仿宋" w:hAnsi="仿宋" w:eastAsia="仿宋" w:cs="仿宋"/>
          <w:color w:val="auto"/>
          <w:kern w:val="0"/>
          <w:sz w:val="32"/>
          <w:szCs w:val="32"/>
          <w:highlight w:val="none"/>
        </w:rPr>
        <w:t>不是联合体参与报价，我单位承诺成交后不转包、不分包</w:t>
      </w:r>
      <w:r>
        <w:rPr>
          <w:rFonts w:hint="eastAsia" w:ascii="仿宋" w:hAnsi="仿宋" w:eastAsia="仿宋" w:cs="仿宋"/>
          <w:color w:val="auto"/>
          <w:sz w:val="32"/>
          <w:szCs w:val="32"/>
          <w:highlight w:val="none"/>
        </w:rPr>
        <w:t>，并承担因此引起的一切后果。</w:t>
      </w:r>
    </w:p>
    <w:p w14:paraId="461254F4">
      <w:pPr>
        <w:snapToGrid w:val="0"/>
        <w:spacing w:line="560" w:lineRule="exact"/>
        <w:rPr>
          <w:rFonts w:hint="eastAsia" w:ascii="仿宋" w:hAnsi="仿宋" w:eastAsia="仿宋" w:cs="仿宋"/>
          <w:color w:val="auto"/>
          <w:sz w:val="32"/>
          <w:szCs w:val="32"/>
          <w:highlight w:val="none"/>
        </w:rPr>
      </w:pPr>
    </w:p>
    <w:p w14:paraId="7DCCE6FF">
      <w:pPr>
        <w:snapToGrid w:val="0"/>
        <w:spacing w:line="560" w:lineRule="exact"/>
        <w:rPr>
          <w:rFonts w:hint="eastAsia" w:ascii="仿宋" w:hAnsi="仿宋" w:eastAsia="仿宋" w:cs="仿宋"/>
          <w:color w:val="auto"/>
          <w:sz w:val="32"/>
          <w:szCs w:val="32"/>
          <w:highlight w:val="none"/>
        </w:rPr>
      </w:pPr>
    </w:p>
    <w:p w14:paraId="50996CD0">
      <w:pPr>
        <w:snapToGrid w:val="0"/>
        <w:spacing w:line="560" w:lineRule="exact"/>
        <w:rPr>
          <w:rFonts w:hint="eastAsia" w:ascii="仿宋" w:hAnsi="仿宋" w:eastAsia="仿宋" w:cs="仿宋"/>
          <w:color w:val="auto"/>
          <w:sz w:val="32"/>
          <w:szCs w:val="32"/>
          <w:highlight w:val="none"/>
        </w:rPr>
      </w:pPr>
    </w:p>
    <w:p w14:paraId="7FBE872A">
      <w:pPr>
        <w:snapToGrid w:val="0"/>
        <w:spacing w:line="560" w:lineRule="exact"/>
        <w:ind w:firstLine="48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供应商（公章）：</w:t>
      </w:r>
      <w:r>
        <w:rPr>
          <w:rFonts w:hint="eastAsia" w:ascii="仿宋" w:hAnsi="仿宋" w:eastAsia="仿宋" w:cs="仿宋"/>
          <w:color w:val="auto"/>
          <w:sz w:val="32"/>
          <w:szCs w:val="32"/>
          <w:highlight w:val="none"/>
          <w:u w:val="single"/>
        </w:rPr>
        <w:t xml:space="preserve">                     </w:t>
      </w:r>
    </w:p>
    <w:p w14:paraId="3AE2121B">
      <w:pPr>
        <w:snapToGrid w:val="0"/>
        <w:spacing w:line="560" w:lineRule="exact"/>
        <w:ind w:firstLine="48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法人代表或其授权人（签字）：</w:t>
      </w:r>
      <w:r>
        <w:rPr>
          <w:rFonts w:hint="eastAsia" w:ascii="仿宋" w:hAnsi="仿宋" w:eastAsia="仿宋" w:cs="仿宋"/>
          <w:color w:val="auto"/>
          <w:sz w:val="32"/>
          <w:szCs w:val="32"/>
          <w:highlight w:val="none"/>
          <w:u w:val="single"/>
        </w:rPr>
        <w:t xml:space="preserve">               </w:t>
      </w:r>
    </w:p>
    <w:p w14:paraId="079C2501">
      <w:pPr>
        <w:snapToGrid w:val="0"/>
        <w:spacing w:line="560" w:lineRule="exact"/>
        <w:ind w:firstLine="48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日   期：</w:t>
      </w:r>
      <w:r>
        <w:rPr>
          <w:rFonts w:hint="eastAsia" w:ascii="仿宋" w:hAnsi="仿宋" w:eastAsia="仿宋" w:cs="仿宋"/>
          <w:color w:val="auto"/>
          <w:sz w:val="32"/>
          <w:szCs w:val="32"/>
          <w:highlight w:val="none"/>
          <w:u w:val="single"/>
        </w:rPr>
        <w:t xml:space="preserve">                   </w:t>
      </w:r>
    </w:p>
    <w:p w14:paraId="12F22E16">
      <w:pPr>
        <w:rPr>
          <w:rFonts w:hint="eastAsia" w:ascii="仿宋" w:hAnsi="仿宋" w:eastAsia="仿宋" w:cs="仿宋"/>
          <w:color w:val="auto"/>
          <w:highlight w:val="none"/>
        </w:rPr>
      </w:pPr>
    </w:p>
    <w:p w14:paraId="24B51EDC">
      <w:pPr>
        <w:rPr>
          <w:rFonts w:hint="eastAsia" w:ascii="仿宋" w:hAnsi="仿宋" w:eastAsia="仿宋" w:cs="仿宋"/>
          <w:color w:val="auto"/>
          <w:kern w:val="0"/>
          <w:sz w:val="32"/>
          <w:szCs w:val="32"/>
          <w:highlight w:val="none"/>
        </w:rPr>
      </w:pPr>
    </w:p>
    <w:p w14:paraId="6EB9DC95">
      <w:pPr>
        <w:rPr>
          <w:rFonts w:hint="eastAsia" w:ascii="仿宋" w:hAnsi="仿宋" w:eastAsia="仿宋" w:cs="仿宋"/>
          <w:color w:val="auto"/>
          <w:highlight w:val="none"/>
        </w:rPr>
      </w:pPr>
    </w:p>
    <w:p w14:paraId="1E6A64A2">
      <w:pPr>
        <w:rPr>
          <w:rFonts w:hint="eastAsia" w:ascii="仿宋" w:hAnsi="仿宋" w:eastAsia="仿宋" w:cs="仿宋"/>
          <w:color w:val="auto"/>
          <w:highlight w:val="none"/>
        </w:rPr>
      </w:pPr>
    </w:p>
    <w:p w14:paraId="6C008EB5">
      <w:pPr>
        <w:rPr>
          <w:rFonts w:hint="eastAsia" w:ascii="仿宋" w:hAnsi="仿宋" w:eastAsia="仿宋" w:cs="仿宋"/>
          <w:color w:val="auto"/>
          <w:highlight w:val="none"/>
        </w:rPr>
      </w:pPr>
    </w:p>
    <w:p w14:paraId="15E3B058">
      <w:pPr>
        <w:rPr>
          <w:color w:val="auto"/>
          <w:highlight w:val="none"/>
        </w:rPr>
      </w:pPr>
    </w:p>
    <w:p w14:paraId="33D9F1BC">
      <w:pPr>
        <w:rPr>
          <w:color w:val="auto"/>
          <w:highlight w:val="none"/>
        </w:rPr>
      </w:pPr>
    </w:p>
    <w:p w14:paraId="02BCF606">
      <w:pPr>
        <w:rPr>
          <w:color w:val="auto"/>
          <w:highlight w:val="none"/>
        </w:rPr>
      </w:pPr>
    </w:p>
    <w:p w14:paraId="09375EC2">
      <w:pPr>
        <w:rPr>
          <w:color w:val="auto"/>
          <w:highlight w:val="none"/>
        </w:rPr>
      </w:pPr>
    </w:p>
    <w:p w14:paraId="7962DE05">
      <w:pPr>
        <w:pStyle w:val="2"/>
        <w:numPr>
          <w:ilvl w:val="0"/>
          <w:numId w:val="5"/>
        </w:numPr>
        <w:spacing w:line="240" w:lineRule="auto"/>
        <w:rPr>
          <w:color w:val="auto"/>
          <w:highlight w:val="none"/>
        </w:rPr>
      </w:pPr>
      <w:bookmarkStart w:id="105" w:name="_Toc28212"/>
      <w:r>
        <w:rPr>
          <w:rFonts w:hint="eastAsia"/>
          <w:color w:val="auto"/>
          <w:highlight w:val="none"/>
        </w:rPr>
        <w:t>技术部分</w:t>
      </w:r>
      <w:bookmarkEnd w:id="105"/>
    </w:p>
    <w:p w14:paraId="0ECC9848">
      <w:pPr>
        <w:rPr>
          <w:rFonts w:ascii="仿宋_GB2312" w:hAnsi="仿宋_GB2312" w:eastAsia="仿宋_GB2312" w:cs="仿宋_GB2312"/>
          <w:b/>
          <w:color w:val="auto"/>
          <w:kern w:val="0"/>
          <w:sz w:val="36"/>
          <w:szCs w:val="36"/>
          <w:highlight w:val="none"/>
        </w:rPr>
      </w:pPr>
      <w:bookmarkStart w:id="106" w:name="_Toc248"/>
    </w:p>
    <w:bookmarkEnd w:id="106"/>
    <w:p w14:paraId="7A6D4A59">
      <w:pPr>
        <w:pStyle w:val="3"/>
        <w:spacing w:before="120"/>
        <w:rPr>
          <w:rFonts w:hint="eastAsia" w:ascii="仿宋_GB2312" w:hAnsi="仿宋_GB2312" w:eastAsia="仿宋_GB2312" w:cs="仿宋_GB2312"/>
        </w:rPr>
      </w:pPr>
      <w:r>
        <w:rPr>
          <w:rFonts w:hint="eastAsia" w:ascii="仿宋_GB2312" w:hAnsi="仿宋_GB2312" w:eastAsia="仿宋_GB2312" w:cs="仿宋_GB2312"/>
        </w:rPr>
        <w:t>附件5</w:t>
      </w:r>
    </w:p>
    <w:p w14:paraId="7CBC6977">
      <w:pPr>
        <w:pStyle w:val="10"/>
        <w:spacing w:before="0" w:after="0"/>
        <w:ind w:right="378" w:rightChars="135"/>
        <w:jc w:val="center"/>
        <w:rPr>
          <w:rFonts w:hint="eastAsia" w:ascii="仿宋" w:hAnsi="仿宋" w:eastAsia="仿宋" w:cs="仿宋"/>
          <w:b/>
          <w:color w:val="auto"/>
          <w:sz w:val="36"/>
          <w:szCs w:val="36"/>
          <w:highlight w:val="none"/>
          <w:lang w:val="en-US" w:eastAsia="zh-CN"/>
        </w:rPr>
      </w:pPr>
      <w:r>
        <w:rPr>
          <w:rFonts w:hint="eastAsia" w:ascii="仿宋" w:hAnsi="仿宋" w:eastAsia="仿宋" w:cs="仿宋"/>
          <w:b/>
          <w:color w:val="auto"/>
          <w:sz w:val="36"/>
          <w:szCs w:val="36"/>
          <w:highlight w:val="none"/>
        </w:rPr>
        <w:t>技术响应</w:t>
      </w:r>
      <w:r>
        <w:rPr>
          <w:rFonts w:hint="eastAsia" w:ascii="仿宋" w:hAnsi="仿宋" w:eastAsia="仿宋" w:cs="仿宋"/>
          <w:b/>
          <w:color w:val="auto"/>
          <w:sz w:val="36"/>
          <w:szCs w:val="36"/>
          <w:highlight w:val="none"/>
          <w:lang w:val="en-US" w:eastAsia="zh-CN"/>
        </w:rPr>
        <w:t>表</w:t>
      </w:r>
    </w:p>
    <w:tbl>
      <w:tblPr>
        <w:tblStyle w:val="25"/>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2208"/>
        <w:gridCol w:w="2181"/>
        <w:gridCol w:w="1565"/>
        <w:gridCol w:w="1850"/>
      </w:tblGrid>
      <w:tr w14:paraId="1C7B9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024" w:type="dxa"/>
            <w:vAlign w:val="center"/>
          </w:tcPr>
          <w:p w14:paraId="443CB1C3">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3"/>
                <w:rFonts w:hint="default" w:cs="仿宋"/>
                <w:b/>
                <w:bCs w:val="0"/>
                <w:color w:val="auto"/>
                <w:sz w:val="32"/>
                <w:szCs w:val="32"/>
                <w:highlight w:val="none"/>
              </w:rPr>
            </w:pPr>
            <w:r>
              <w:rPr>
                <w:rStyle w:val="33"/>
                <w:rFonts w:hint="eastAsia" w:cs="仿宋"/>
                <w:b/>
                <w:bCs w:val="0"/>
                <w:color w:val="auto"/>
                <w:sz w:val="32"/>
                <w:szCs w:val="32"/>
                <w:highlight w:val="none"/>
              </w:rPr>
              <w:t>项目</w:t>
            </w:r>
          </w:p>
        </w:tc>
        <w:tc>
          <w:tcPr>
            <w:tcW w:w="2208" w:type="dxa"/>
            <w:vAlign w:val="center"/>
          </w:tcPr>
          <w:p w14:paraId="5D11641D">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3"/>
                <w:rFonts w:hint="default" w:cs="仿宋"/>
                <w:b/>
                <w:bCs w:val="0"/>
                <w:color w:val="auto"/>
                <w:sz w:val="32"/>
                <w:szCs w:val="32"/>
                <w:highlight w:val="none"/>
              </w:rPr>
            </w:pPr>
            <w:r>
              <w:rPr>
                <w:rStyle w:val="33"/>
                <w:rFonts w:hint="eastAsia" w:cs="仿宋"/>
                <w:b/>
                <w:bCs w:val="0"/>
                <w:color w:val="auto"/>
                <w:sz w:val="32"/>
                <w:szCs w:val="32"/>
                <w:highlight w:val="none"/>
              </w:rPr>
              <w:t>磋商文件要求</w:t>
            </w:r>
          </w:p>
        </w:tc>
        <w:tc>
          <w:tcPr>
            <w:tcW w:w="2181" w:type="dxa"/>
            <w:vAlign w:val="center"/>
          </w:tcPr>
          <w:p w14:paraId="79B5E32D">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3"/>
                <w:rFonts w:hint="default" w:cs="仿宋"/>
                <w:b/>
                <w:bCs w:val="0"/>
                <w:color w:val="auto"/>
                <w:sz w:val="32"/>
                <w:szCs w:val="32"/>
                <w:highlight w:val="none"/>
              </w:rPr>
            </w:pPr>
            <w:r>
              <w:rPr>
                <w:rStyle w:val="33"/>
                <w:rFonts w:hint="eastAsia" w:cs="仿宋"/>
                <w:b/>
                <w:bCs w:val="0"/>
                <w:color w:val="auto"/>
                <w:sz w:val="32"/>
                <w:szCs w:val="32"/>
                <w:highlight w:val="none"/>
              </w:rPr>
              <w:t>报价文件响应情况</w:t>
            </w:r>
          </w:p>
        </w:tc>
        <w:tc>
          <w:tcPr>
            <w:tcW w:w="1565" w:type="dxa"/>
            <w:vAlign w:val="center"/>
          </w:tcPr>
          <w:p w14:paraId="4B3D0AD2">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3"/>
                <w:rFonts w:hint="default" w:cs="仿宋"/>
                <w:b/>
                <w:bCs w:val="0"/>
                <w:color w:val="auto"/>
                <w:sz w:val="32"/>
                <w:szCs w:val="32"/>
                <w:highlight w:val="none"/>
              </w:rPr>
            </w:pPr>
            <w:r>
              <w:rPr>
                <w:rStyle w:val="33"/>
                <w:rFonts w:hint="eastAsia" w:cs="仿宋"/>
                <w:b/>
                <w:bCs w:val="0"/>
                <w:color w:val="auto"/>
                <w:sz w:val="32"/>
                <w:szCs w:val="32"/>
                <w:highlight w:val="none"/>
              </w:rPr>
              <w:t>响应程度</w:t>
            </w:r>
          </w:p>
        </w:tc>
        <w:tc>
          <w:tcPr>
            <w:tcW w:w="1850" w:type="dxa"/>
            <w:vAlign w:val="center"/>
          </w:tcPr>
          <w:p w14:paraId="61647012">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3"/>
                <w:rFonts w:hint="eastAsia" w:eastAsia="仿宋" w:cs="仿宋"/>
                <w:b/>
                <w:bCs w:val="0"/>
                <w:color w:val="auto"/>
                <w:sz w:val="32"/>
                <w:szCs w:val="32"/>
                <w:highlight w:val="none"/>
                <w:lang w:eastAsia="zh-CN"/>
              </w:rPr>
            </w:pPr>
            <w:r>
              <w:rPr>
                <w:rStyle w:val="33"/>
                <w:rFonts w:hint="eastAsia" w:cs="仿宋"/>
                <w:b/>
                <w:bCs w:val="0"/>
                <w:color w:val="auto"/>
                <w:sz w:val="32"/>
                <w:szCs w:val="32"/>
                <w:highlight w:val="none"/>
              </w:rPr>
              <w:t>正偏离</w:t>
            </w:r>
            <w:r>
              <w:rPr>
                <w:rStyle w:val="33"/>
                <w:rFonts w:hint="eastAsia" w:cs="仿宋"/>
                <w:b/>
                <w:bCs w:val="0"/>
                <w:color w:val="auto"/>
                <w:sz w:val="32"/>
                <w:szCs w:val="32"/>
                <w:highlight w:val="none"/>
                <w:lang w:eastAsia="zh-CN"/>
              </w:rPr>
              <w:t>理由</w:t>
            </w:r>
          </w:p>
        </w:tc>
      </w:tr>
      <w:tr w14:paraId="4A9F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24" w:type="dxa"/>
            <w:vAlign w:val="center"/>
          </w:tcPr>
          <w:p w14:paraId="1C461C69">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3"/>
                <w:rFonts w:hint="default" w:cs="仿宋"/>
                <w:color w:val="auto"/>
                <w:sz w:val="32"/>
                <w:szCs w:val="32"/>
                <w:highlight w:val="none"/>
              </w:rPr>
            </w:pPr>
          </w:p>
        </w:tc>
        <w:tc>
          <w:tcPr>
            <w:tcW w:w="2208" w:type="dxa"/>
            <w:vAlign w:val="center"/>
          </w:tcPr>
          <w:p w14:paraId="4FABBDA5">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3"/>
                <w:rFonts w:hint="eastAsia" w:eastAsia="仿宋" w:cs="仿宋"/>
                <w:color w:val="auto"/>
                <w:sz w:val="32"/>
                <w:szCs w:val="32"/>
                <w:highlight w:val="none"/>
                <w:lang w:val="en-US" w:eastAsia="zh-CN"/>
              </w:rPr>
            </w:pPr>
          </w:p>
        </w:tc>
        <w:tc>
          <w:tcPr>
            <w:tcW w:w="2181" w:type="dxa"/>
            <w:vAlign w:val="center"/>
          </w:tcPr>
          <w:p w14:paraId="1B29904D">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3"/>
                <w:rFonts w:hint="default" w:cs="仿宋"/>
                <w:color w:val="auto"/>
                <w:sz w:val="32"/>
                <w:szCs w:val="32"/>
                <w:highlight w:val="none"/>
              </w:rPr>
            </w:pPr>
          </w:p>
        </w:tc>
        <w:tc>
          <w:tcPr>
            <w:tcW w:w="1565" w:type="dxa"/>
            <w:vAlign w:val="center"/>
          </w:tcPr>
          <w:p w14:paraId="04172E57">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3"/>
                <w:rFonts w:hint="default" w:cs="仿宋"/>
                <w:color w:val="auto"/>
                <w:sz w:val="32"/>
                <w:szCs w:val="32"/>
                <w:highlight w:val="none"/>
              </w:rPr>
            </w:pPr>
          </w:p>
        </w:tc>
        <w:tc>
          <w:tcPr>
            <w:tcW w:w="1850" w:type="dxa"/>
          </w:tcPr>
          <w:p w14:paraId="75579ABF">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3"/>
                <w:rFonts w:hint="default" w:cs="仿宋"/>
                <w:color w:val="auto"/>
                <w:sz w:val="32"/>
                <w:szCs w:val="32"/>
                <w:highlight w:val="none"/>
              </w:rPr>
            </w:pPr>
          </w:p>
        </w:tc>
      </w:tr>
      <w:tr w14:paraId="34F2D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024" w:type="dxa"/>
            <w:vAlign w:val="center"/>
          </w:tcPr>
          <w:p w14:paraId="65D1583E">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3"/>
                <w:rFonts w:hint="default" w:cs="仿宋"/>
                <w:color w:val="auto"/>
                <w:sz w:val="32"/>
                <w:szCs w:val="32"/>
                <w:highlight w:val="none"/>
              </w:rPr>
            </w:pPr>
          </w:p>
        </w:tc>
        <w:tc>
          <w:tcPr>
            <w:tcW w:w="2208" w:type="dxa"/>
            <w:vAlign w:val="center"/>
          </w:tcPr>
          <w:p w14:paraId="216DB59A">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3"/>
                <w:rFonts w:hint="default" w:cs="仿宋"/>
                <w:color w:val="auto"/>
                <w:sz w:val="32"/>
                <w:szCs w:val="32"/>
                <w:highlight w:val="none"/>
              </w:rPr>
            </w:pPr>
          </w:p>
        </w:tc>
        <w:tc>
          <w:tcPr>
            <w:tcW w:w="2181" w:type="dxa"/>
            <w:vAlign w:val="center"/>
          </w:tcPr>
          <w:p w14:paraId="50AC8CCF">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3"/>
                <w:rFonts w:hint="default" w:cs="仿宋"/>
                <w:color w:val="auto"/>
                <w:sz w:val="32"/>
                <w:szCs w:val="32"/>
                <w:highlight w:val="none"/>
              </w:rPr>
            </w:pPr>
          </w:p>
        </w:tc>
        <w:tc>
          <w:tcPr>
            <w:tcW w:w="1565" w:type="dxa"/>
            <w:vAlign w:val="center"/>
          </w:tcPr>
          <w:p w14:paraId="54A71414">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3"/>
                <w:rFonts w:hint="default" w:cs="仿宋"/>
                <w:color w:val="auto"/>
                <w:sz w:val="32"/>
                <w:szCs w:val="32"/>
                <w:highlight w:val="none"/>
              </w:rPr>
            </w:pPr>
          </w:p>
        </w:tc>
        <w:tc>
          <w:tcPr>
            <w:tcW w:w="1850" w:type="dxa"/>
          </w:tcPr>
          <w:p w14:paraId="2473DFB6">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3"/>
                <w:rFonts w:hint="default" w:cs="仿宋"/>
                <w:color w:val="auto"/>
                <w:sz w:val="32"/>
                <w:szCs w:val="32"/>
                <w:highlight w:val="none"/>
              </w:rPr>
            </w:pPr>
          </w:p>
        </w:tc>
      </w:tr>
      <w:tr w14:paraId="6A3C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024" w:type="dxa"/>
            <w:vAlign w:val="center"/>
          </w:tcPr>
          <w:p w14:paraId="4BE6FA9E">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jc w:val="center"/>
              <w:rPr>
                <w:rFonts w:hint="default" w:ascii="仿宋" w:hAnsi="仿宋" w:eastAsia="仿宋" w:cs="仿宋"/>
                <w:bCs w:val="0"/>
                <w:color w:val="auto"/>
                <w:sz w:val="32"/>
                <w:szCs w:val="32"/>
                <w:highlight w:val="none"/>
              </w:rPr>
            </w:pPr>
          </w:p>
        </w:tc>
        <w:tc>
          <w:tcPr>
            <w:tcW w:w="2208" w:type="dxa"/>
            <w:vAlign w:val="center"/>
          </w:tcPr>
          <w:p w14:paraId="71035392">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color w:val="auto"/>
                <w:sz w:val="32"/>
                <w:szCs w:val="32"/>
                <w:highlight w:val="none"/>
              </w:rPr>
            </w:pPr>
          </w:p>
        </w:tc>
        <w:tc>
          <w:tcPr>
            <w:tcW w:w="2181" w:type="dxa"/>
            <w:vAlign w:val="center"/>
          </w:tcPr>
          <w:p w14:paraId="398C5CBE">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color w:val="auto"/>
                <w:sz w:val="32"/>
                <w:szCs w:val="32"/>
                <w:highlight w:val="none"/>
              </w:rPr>
            </w:pPr>
          </w:p>
        </w:tc>
        <w:tc>
          <w:tcPr>
            <w:tcW w:w="1565" w:type="dxa"/>
            <w:vAlign w:val="center"/>
          </w:tcPr>
          <w:p w14:paraId="2B70BEEB">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color w:val="auto"/>
                <w:sz w:val="32"/>
                <w:szCs w:val="32"/>
                <w:highlight w:val="none"/>
              </w:rPr>
            </w:pPr>
          </w:p>
        </w:tc>
        <w:tc>
          <w:tcPr>
            <w:tcW w:w="1850" w:type="dxa"/>
          </w:tcPr>
          <w:p w14:paraId="62C16E4D">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color w:val="auto"/>
                <w:sz w:val="32"/>
                <w:szCs w:val="32"/>
                <w:highlight w:val="none"/>
              </w:rPr>
            </w:pPr>
          </w:p>
        </w:tc>
      </w:tr>
      <w:tr w14:paraId="26DA5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024" w:type="dxa"/>
            <w:vAlign w:val="center"/>
          </w:tcPr>
          <w:p w14:paraId="3997C6A0">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jc w:val="center"/>
              <w:rPr>
                <w:rFonts w:hint="default" w:ascii="仿宋" w:hAnsi="仿宋" w:eastAsia="仿宋" w:cs="仿宋"/>
                <w:bCs w:val="0"/>
                <w:color w:val="auto"/>
                <w:sz w:val="32"/>
                <w:szCs w:val="32"/>
                <w:highlight w:val="none"/>
              </w:rPr>
            </w:pPr>
          </w:p>
        </w:tc>
        <w:tc>
          <w:tcPr>
            <w:tcW w:w="2208" w:type="dxa"/>
            <w:vAlign w:val="center"/>
          </w:tcPr>
          <w:p w14:paraId="6386331F">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color w:val="auto"/>
                <w:sz w:val="32"/>
                <w:szCs w:val="32"/>
                <w:highlight w:val="none"/>
              </w:rPr>
            </w:pPr>
          </w:p>
        </w:tc>
        <w:tc>
          <w:tcPr>
            <w:tcW w:w="2181" w:type="dxa"/>
            <w:vAlign w:val="center"/>
          </w:tcPr>
          <w:p w14:paraId="2131ADC1">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color w:val="auto"/>
                <w:sz w:val="32"/>
                <w:szCs w:val="32"/>
                <w:highlight w:val="none"/>
              </w:rPr>
            </w:pPr>
          </w:p>
        </w:tc>
        <w:tc>
          <w:tcPr>
            <w:tcW w:w="1565" w:type="dxa"/>
            <w:vAlign w:val="center"/>
          </w:tcPr>
          <w:p w14:paraId="68DDEB18">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color w:val="auto"/>
                <w:sz w:val="32"/>
                <w:szCs w:val="32"/>
                <w:highlight w:val="none"/>
              </w:rPr>
            </w:pPr>
          </w:p>
        </w:tc>
        <w:tc>
          <w:tcPr>
            <w:tcW w:w="1850" w:type="dxa"/>
          </w:tcPr>
          <w:p w14:paraId="1EAD3858">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color w:val="auto"/>
                <w:sz w:val="32"/>
                <w:szCs w:val="32"/>
                <w:highlight w:val="none"/>
              </w:rPr>
            </w:pPr>
          </w:p>
        </w:tc>
      </w:tr>
      <w:tr w14:paraId="4E63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024" w:type="dxa"/>
            <w:vAlign w:val="center"/>
          </w:tcPr>
          <w:p w14:paraId="18E2941D">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jc w:val="center"/>
              <w:rPr>
                <w:rFonts w:hint="default" w:ascii="仿宋" w:hAnsi="仿宋" w:eastAsia="仿宋" w:cs="仿宋"/>
                <w:bCs w:val="0"/>
                <w:color w:val="auto"/>
                <w:sz w:val="32"/>
                <w:szCs w:val="32"/>
                <w:highlight w:val="none"/>
              </w:rPr>
            </w:pPr>
          </w:p>
        </w:tc>
        <w:tc>
          <w:tcPr>
            <w:tcW w:w="2208" w:type="dxa"/>
            <w:vAlign w:val="center"/>
          </w:tcPr>
          <w:p w14:paraId="40EFACA4">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color w:val="auto"/>
                <w:sz w:val="32"/>
                <w:szCs w:val="32"/>
                <w:highlight w:val="none"/>
              </w:rPr>
            </w:pPr>
          </w:p>
        </w:tc>
        <w:tc>
          <w:tcPr>
            <w:tcW w:w="2181" w:type="dxa"/>
            <w:vAlign w:val="center"/>
          </w:tcPr>
          <w:p w14:paraId="1FBD7AC3">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color w:val="auto"/>
                <w:sz w:val="32"/>
                <w:szCs w:val="32"/>
                <w:highlight w:val="none"/>
              </w:rPr>
            </w:pPr>
          </w:p>
        </w:tc>
        <w:tc>
          <w:tcPr>
            <w:tcW w:w="1565" w:type="dxa"/>
            <w:vAlign w:val="center"/>
          </w:tcPr>
          <w:p w14:paraId="6D398FC1">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color w:val="auto"/>
                <w:sz w:val="32"/>
                <w:szCs w:val="32"/>
                <w:highlight w:val="none"/>
              </w:rPr>
            </w:pPr>
          </w:p>
        </w:tc>
        <w:tc>
          <w:tcPr>
            <w:tcW w:w="1850" w:type="dxa"/>
          </w:tcPr>
          <w:p w14:paraId="05A825ED">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color w:val="auto"/>
                <w:sz w:val="32"/>
                <w:szCs w:val="32"/>
                <w:highlight w:val="none"/>
              </w:rPr>
            </w:pPr>
          </w:p>
        </w:tc>
      </w:tr>
    </w:tbl>
    <w:p w14:paraId="2B30C9B6">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 w:hAnsi="仿宋" w:eastAsia="仿宋" w:cs="仿宋"/>
          <w:bCs w:val="0"/>
          <w:color w:val="auto"/>
          <w:sz w:val="32"/>
          <w:szCs w:val="32"/>
          <w:highlight w:val="none"/>
        </w:rPr>
      </w:pPr>
      <w:r>
        <w:rPr>
          <w:rFonts w:hint="eastAsia" w:ascii="仿宋" w:hAnsi="仿宋" w:eastAsia="仿宋" w:cs="仿宋"/>
          <w:bCs w:val="0"/>
          <w:color w:val="auto"/>
          <w:sz w:val="32"/>
          <w:szCs w:val="32"/>
          <w:highlight w:val="none"/>
        </w:rPr>
        <w:t>注：</w:t>
      </w:r>
    </w:p>
    <w:p w14:paraId="4FA581AD">
      <w:pPr>
        <w:adjustRightInd w:val="0"/>
        <w:snapToGrid w:val="0"/>
        <w:spacing w:line="560" w:lineRule="exact"/>
        <w:ind w:firstLine="640" w:firstLineChars="200"/>
        <w:rPr>
          <w:rFonts w:hint="eastAsia" w:ascii="仿宋" w:hAnsi="仿宋" w:eastAsia="仿宋" w:cs="仿宋"/>
          <w:bCs w:val="0"/>
          <w:color w:val="auto"/>
          <w:sz w:val="32"/>
          <w:szCs w:val="32"/>
          <w:highlight w:val="none"/>
        </w:rPr>
      </w:pPr>
      <w:r>
        <w:rPr>
          <w:rFonts w:hint="eastAsia" w:ascii="仿宋" w:hAnsi="仿宋" w:eastAsia="仿宋" w:cs="仿宋"/>
          <w:color w:val="auto"/>
          <w:sz w:val="32"/>
          <w:szCs w:val="32"/>
          <w:highlight w:val="none"/>
        </w:rPr>
        <w:t>1.按照磋商文件第五部分项目需求</w:t>
      </w:r>
      <w:r>
        <w:rPr>
          <w:rFonts w:hint="eastAsia" w:ascii="仿宋" w:hAnsi="仿宋" w:eastAsia="仿宋" w:cs="仿宋"/>
          <w:color w:val="auto"/>
          <w:sz w:val="32"/>
          <w:szCs w:val="32"/>
          <w:highlight w:val="none"/>
          <w:lang w:eastAsia="zh-CN"/>
        </w:rPr>
        <w:t>中的技术需求</w:t>
      </w:r>
      <w:r>
        <w:rPr>
          <w:rFonts w:hint="eastAsia" w:ascii="仿宋" w:hAnsi="仿宋" w:eastAsia="仿宋" w:cs="仿宋"/>
          <w:color w:val="auto"/>
          <w:sz w:val="32"/>
          <w:szCs w:val="32"/>
          <w:highlight w:val="none"/>
        </w:rPr>
        <w:t>顺序对应逐条应答，</w:t>
      </w:r>
      <w:r>
        <w:rPr>
          <w:rFonts w:hint="eastAsia" w:ascii="仿宋" w:hAnsi="仿宋" w:eastAsia="仿宋" w:cs="仿宋"/>
          <w:bCs w:val="0"/>
          <w:color w:val="auto"/>
          <w:sz w:val="32"/>
          <w:szCs w:val="32"/>
          <w:highlight w:val="none"/>
        </w:rPr>
        <w:t>对照磋商文件要求在“响应程度”栏填写“无偏离”或“正偏离”或“负偏离”。</w:t>
      </w:r>
    </w:p>
    <w:p w14:paraId="61C672CD">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 w:hAnsi="仿宋" w:eastAsia="仿宋" w:cs="仿宋"/>
          <w:bCs w:val="0"/>
          <w:color w:val="auto"/>
          <w:sz w:val="32"/>
          <w:szCs w:val="32"/>
          <w:highlight w:val="none"/>
        </w:rPr>
      </w:pPr>
      <w:r>
        <w:rPr>
          <w:rFonts w:hint="eastAsia" w:ascii="仿宋" w:hAnsi="仿宋" w:eastAsia="仿宋" w:cs="仿宋"/>
          <w:bCs w:val="0"/>
          <w:color w:val="auto"/>
          <w:sz w:val="32"/>
          <w:szCs w:val="32"/>
          <w:highlight w:val="none"/>
        </w:rPr>
        <w:t>2.不填写对应指标，而只填写响应情况或弄虚作假、前后不一致的，其报价文件有可能被拒绝。</w:t>
      </w:r>
    </w:p>
    <w:p w14:paraId="0B2DA031">
      <w:pPr>
        <w:snapToGrid w:val="0"/>
        <w:spacing w:line="560" w:lineRule="exact"/>
        <w:ind w:firstLine="48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供应商（公章）：</w:t>
      </w:r>
      <w:r>
        <w:rPr>
          <w:rFonts w:hint="eastAsia" w:ascii="仿宋" w:hAnsi="仿宋" w:eastAsia="仿宋" w:cs="仿宋"/>
          <w:color w:val="auto"/>
          <w:sz w:val="32"/>
          <w:szCs w:val="32"/>
          <w:highlight w:val="none"/>
          <w:u w:val="single"/>
        </w:rPr>
        <w:t xml:space="preserve">                           </w:t>
      </w:r>
    </w:p>
    <w:p w14:paraId="4D9E9482">
      <w:pPr>
        <w:snapToGrid w:val="0"/>
        <w:spacing w:line="560" w:lineRule="exact"/>
        <w:ind w:firstLine="48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法人代表或其授权人（签字）：</w:t>
      </w:r>
      <w:r>
        <w:rPr>
          <w:rFonts w:hint="eastAsia" w:ascii="仿宋" w:hAnsi="仿宋" w:eastAsia="仿宋" w:cs="仿宋"/>
          <w:color w:val="auto"/>
          <w:sz w:val="32"/>
          <w:szCs w:val="32"/>
          <w:highlight w:val="none"/>
          <w:u w:val="single"/>
        </w:rPr>
        <w:t xml:space="preserve">               </w:t>
      </w:r>
    </w:p>
    <w:p w14:paraId="34FFECFF">
      <w:pPr>
        <w:snapToGrid w:val="0"/>
        <w:spacing w:line="560" w:lineRule="exact"/>
        <w:ind w:firstLine="48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日   期：</w:t>
      </w:r>
      <w:r>
        <w:rPr>
          <w:rFonts w:hint="eastAsia" w:ascii="仿宋" w:hAnsi="仿宋" w:eastAsia="仿宋" w:cs="仿宋"/>
          <w:color w:val="auto"/>
          <w:sz w:val="32"/>
          <w:szCs w:val="32"/>
          <w:highlight w:val="none"/>
          <w:u w:val="single"/>
        </w:rPr>
        <w:t xml:space="preserve">                                 </w:t>
      </w:r>
    </w:p>
    <w:p w14:paraId="675DAA43">
      <w:pPr>
        <w:spacing w:line="480" w:lineRule="auto"/>
        <w:ind w:firstLine="480"/>
        <w:rPr>
          <w:rFonts w:ascii="仿宋_GB2312" w:hAnsi="仿宋_GB2312" w:eastAsia="仿宋_GB2312" w:cs="仿宋_GB2312"/>
          <w:color w:val="auto"/>
          <w:sz w:val="24"/>
          <w:highlight w:val="none"/>
        </w:rPr>
      </w:pPr>
    </w:p>
    <w:p w14:paraId="16ACC280">
      <w:pP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br w:type="page"/>
      </w:r>
    </w:p>
    <w:p w14:paraId="75C670E0">
      <w:pPr>
        <w:jc w:val="center"/>
        <w:rPr>
          <w:rFonts w:hint="eastAsia" w:ascii="仿宋" w:hAnsi="仿宋" w:eastAsia="仿宋" w:cs="仿宋"/>
          <w:color w:val="auto"/>
          <w:sz w:val="44"/>
          <w:szCs w:val="44"/>
          <w:highlight w:val="none"/>
        </w:rPr>
      </w:pPr>
      <w:bookmarkStart w:id="107" w:name="_Toc25388"/>
      <w:r>
        <w:rPr>
          <w:rFonts w:hint="eastAsia" w:ascii="仿宋" w:hAnsi="仿宋" w:eastAsia="仿宋" w:cs="仿宋"/>
          <w:color w:val="auto"/>
          <w:sz w:val="44"/>
          <w:szCs w:val="44"/>
          <w:highlight w:val="none"/>
        </w:rPr>
        <w:t>商务及技术证明材料</w:t>
      </w:r>
    </w:p>
    <w:p w14:paraId="18531EED">
      <w:pPr>
        <w:pStyle w:val="13"/>
        <w:spacing w:before="84"/>
        <w:jc w:val="left"/>
        <w:rPr>
          <w:rFonts w:hint="eastAsia" w:ascii="仿宋" w:hAnsi="仿宋" w:eastAsia="仿宋" w:cs="仿宋"/>
          <w:color w:val="auto"/>
          <w:spacing w:val="-2"/>
          <w:sz w:val="32"/>
          <w:szCs w:val="32"/>
          <w:highlight w:val="none"/>
        </w:rPr>
      </w:pPr>
    </w:p>
    <w:p w14:paraId="4CC248DA">
      <w:pPr>
        <w:pStyle w:val="13"/>
        <w:spacing w:before="84"/>
        <w:jc w:val="left"/>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（供应商根据竞争性磋商文件第三部分附表 2评分细则表中的要求提供，格式自拟）</w:t>
      </w:r>
    </w:p>
    <w:p w14:paraId="4312DF3E">
      <w:pPr>
        <w:rPr>
          <w:rFonts w:hint="eastAsia" w:ascii="仿宋" w:hAnsi="仿宋" w:eastAsia="仿宋" w:cs="仿宋"/>
          <w:color w:val="auto"/>
          <w:sz w:val="32"/>
          <w:szCs w:val="32"/>
          <w:highlight w:val="none"/>
        </w:rPr>
      </w:pPr>
    </w:p>
    <w:p w14:paraId="7091E8B0">
      <w:pPr>
        <w:rPr>
          <w:color w:val="auto"/>
          <w:highlight w:val="none"/>
        </w:rPr>
      </w:pPr>
    </w:p>
    <w:p w14:paraId="5932EEF8">
      <w:pPr>
        <w:rPr>
          <w:color w:val="auto"/>
          <w:highlight w:val="none"/>
        </w:rPr>
      </w:pPr>
    </w:p>
    <w:p w14:paraId="5468EE96">
      <w:pPr>
        <w:rPr>
          <w:color w:val="auto"/>
          <w:highlight w:val="none"/>
        </w:rPr>
      </w:pPr>
    </w:p>
    <w:p w14:paraId="264075D7">
      <w:pPr>
        <w:rPr>
          <w:color w:val="auto"/>
          <w:highlight w:val="none"/>
        </w:rPr>
      </w:pPr>
    </w:p>
    <w:p w14:paraId="3B9D50E8">
      <w:pPr>
        <w:rPr>
          <w:color w:val="auto"/>
          <w:highlight w:val="none"/>
        </w:rPr>
      </w:pPr>
    </w:p>
    <w:p w14:paraId="16B6318C">
      <w:pPr>
        <w:rPr>
          <w:color w:val="auto"/>
          <w:highlight w:val="none"/>
        </w:rPr>
      </w:pPr>
    </w:p>
    <w:p w14:paraId="06AEA25C">
      <w:pPr>
        <w:rPr>
          <w:color w:val="auto"/>
          <w:highlight w:val="none"/>
        </w:rPr>
      </w:pPr>
    </w:p>
    <w:p w14:paraId="4E48845F">
      <w:pPr>
        <w:rPr>
          <w:color w:val="auto"/>
          <w:highlight w:val="none"/>
        </w:rPr>
      </w:pPr>
    </w:p>
    <w:p w14:paraId="4FE755BF">
      <w:pPr>
        <w:rPr>
          <w:color w:val="auto"/>
          <w:highlight w:val="none"/>
        </w:rPr>
      </w:pPr>
    </w:p>
    <w:p w14:paraId="012CB657">
      <w:pPr>
        <w:rPr>
          <w:color w:val="auto"/>
          <w:highlight w:val="none"/>
        </w:rPr>
      </w:pPr>
    </w:p>
    <w:p w14:paraId="432B107D">
      <w:pPr>
        <w:rPr>
          <w:color w:val="auto"/>
          <w:highlight w:val="none"/>
        </w:rPr>
      </w:pPr>
    </w:p>
    <w:p w14:paraId="1B7EB743">
      <w:pPr>
        <w:rPr>
          <w:color w:val="auto"/>
          <w:highlight w:val="none"/>
        </w:rPr>
      </w:pPr>
    </w:p>
    <w:p w14:paraId="3BCA824C">
      <w:pPr>
        <w:rPr>
          <w:color w:val="auto"/>
          <w:highlight w:val="none"/>
        </w:rPr>
      </w:pPr>
    </w:p>
    <w:p w14:paraId="69CACE5C">
      <w:pPr>
        <w:rPr>
          <w:color w:val="auto"/>
          <w:highlight w:val="none"/>
        </w:rPr>
      </w:pPr>
    </w:p>
    <w:p w14:paraId="3B9C8069">
      <w:pPr>
        <w:rPr>
          <w:color w:val="auto"/>
          <w:highlight w:val="none"/>
        </w:rPr>
      </w:pPr>
    </w:p>
    <w:p w14:paraId="4B5AB90E">
      <w:pPr>
        <w:rPr>
          <w:color w:val="auto"/>
          <w:highlight w:val="none"/>
        </w:rPr>
      </w:pPr>
    </w:p>
    <w:p w14:paraId="63415EB7">
      <w:pPr>
        <w:rPr>
          <w:color w:val="auto"/>
          <w:highlight w:val="none"/>
        </w:rPr>
      </w:pPr>
    </w:p>
    <w:p w14:paraId="4DC8EF3C">
      <w:pPr>
        <w:rPr>
          <w:color w:val="auto"/>
          <w:highlight w:val="none"/>
        </w:rPr>
      </w:pPr>
    </w:p>
    <w:p w14:paraId="201BF785">
      <w:pPr>
        <w:rPr>
          <w:color w:val="auto"/>
          <w:highlight w:val="none"/>
        </w:rPr>
      </w:pPr>
    </w:p>
    <w:p w14:paraId="39D06A87">
      <w:pPr>
        <w:rPr>
          <w:color w:val="auto"/>
          <w:highlight w:val="none"/>
        </w:rPr>
      </w:pPr>
    </w:p>
    <w:p w14:paraId="6DEF1322">
      <w:pPr>
        <w:rPr>
          <w:color w:val="auto"/>
          <w:highlight w:val="none"/>
        </w:rPr>
      </w:pPr>
    </w:p>
    <w:p w14:paraId="7E63969A">
      <w:pPr>
        <w:rPr>
          <w:color w:val="auto"/>
          <w:highlight w:val="none"/>
        </w:rPr>
      </w:pPr>
    </w:p>
    <w:p w14:paraId="79E8CBC2">
      <w:pPr>
        <w:rPr>
          <w:color w:val="auto"/>
          <w:highlight w:val="none"/>
        </w:rPr>
      </w:pPr>
    </w:p>
    <w:p w14:paraId="55D9D5BB">
      <w:pPr>
        <w:rPr>
          <w:color w:val="auto"/>
          <w:highlight w:val="none"/>
        </w:rPr>
      </w:pPr>
    </w:p>
    <w:p w14:paraId="7BA6F9B2">
      <w:pPr>
        <w:rPr>
          <w:color w:val="auto"/>
          <w:highlight w:val="none"/>
        </w:rPr>
      </w:pPr>
    </w:p>
    <w:p w14:paraId="7EAC8434">
      <w:pPr>
        <w:rPr>
          <w:color w:val="auto"/>
          <w:highlight w:val="none"/>
        </w:rPr>
      </w:pPr>
    </w:p>
    <w:p w14:paraId="5FC33D96">
      <w:pPr>
        <w:rPr>
          <w:color w:val="auto"/>
          <w:highlight w:val="none"/>
        </w:rPr>
      </w:pPr>
    </w:p>
    <w:p w14:paraId="1B782A25">
      <w:pPr>
        <w:rPr>
          <w:color w:val="auto"/>
          <w:highlight w:val="none"/>
        </w:rPr>
      </w:pPr>
    </w:p>
    <w:p w14:paraId="1EC7525C">
      <w:pPr>
        <w:rPr>
          <w:color w:val="auto"/>
          <w:highlight w:val="none"/>
        </w:rPr>
      </w:pPr>
    </w:p>
    <w:p w14:paraId="05334C36">
      <w:pPr>
        <w:rPr>
          <w:color w:val="auto"/>
          <w:highlight w:val="none"/>
        </w:rPr>
      </w:pPr>
    </w:p>
    <w:p w14:paraId="0AB934D2">
      <w:pPr>
        <w:rPr>
          <w:color w:val="auto"/>
          <w:highlight w:val="none"/>
        </w:rPr>
      </w:pPr>
    </w:p>
    <w:p w14:paraId="77DB6DB6">
      <w:pPr>
        <w:pStyle w:val="2"/>
        <w:spacing w:line="240" w:lineRule="auto"/>
        <w:rPr>
          <w:color w:val="auto"/>
          <w:highlight w:val="none"/>
        </w:rPr>
      </w:pPr>
      <w:bookmarkStart w:id="108" w:name="_Toc2093"/>
      <w:r>
        <w:rPr>
          <w:rFonts w:hint="eastAsia"/>
          <w:color w:val="auto"/>
          <w:highlight w:val="none"/>
        </w:rPr>
        <w:t>四、报价部分</w:t>
      </w:r>
      <w:bookmarkEnd w:id="107"/>
      <w:bookmarkEnd w:id="108"/>
    </w:p>
    <w:p w14:paraId="015EB794">
      <w:pPr>
        <w:pStyle w:val="3"/>
        <w:spacing w:before="120"/>
        <w:rPr>
          <w:rFonts w:hint="eastAsia" w:ascii="仿宋_GB2312" w:hAnsi="仿宋_GB2312" w:eastAsia="仿宋_GB2312" w:cs="仿宋_GB2312"/>
        </w:rPr>
      </w:pPr>
      <w:bookmarkStart w:id="109" w:name="_Toc15965"/>
      <w:r>
        <w:rPr>
          <w:rFonts w:hint="eastAsia" w:ascii="仿宋_GB2312" w:hAnsi="仿宋_GB2312" w:eastAsia="仿宋_GB2312" w:cs="仿宋_GB2312"/>
        </w:rPr>
        <w:t>附件</w:t>
      </w:r>
      <w:bookmarkEnd w:id="109"/>
      <w:r>
        <w:rPr>
          <w:rFonts w:hint="eastAsia" w:ascii="仿宋_GB2312" w:hAnsi="仿宋_GB2312" w:eastAsia="仿宋_GB2312" w:cs="仿宋_GB2312"/>
        </w:rPr>
        <w:t>6</w:t>
      </w:r>
    </w:p>
    <w:p w14:paraId="1C0BB805">
      <w:pPr>
        <w:jc w:val="center"/>
        <w:rPr>
          <w:rFonts w:ascii="仿宋_GB2312" w:hAnsi="仿宋_GB2312" w:eastAsia="仿宋_GB2312" w:cs="仿宋_GB2312"/>
          <w:b/>
          <w:bCs w:val="0"/>
          <w:color w:val="auto"/>
          <w:sz w:val="36"/>
          <w:szCs w:val="36"/>
          <w:highlight w:val="none"/>
        </w:rPr>
      </w:pPr>
    </w:p>
    <w:p w14:paraId="4E1FA6EB">
      <w:pPr>
        <w:jc w:val="center"/>
        <w:rPr>
          <w:rFonts w:ascii="仿宋_GB2312" w:hAnsi="仿宋_GB2312" w:eastAsia="仿宋_GB2312" w:cs="仿宋_GB2312"/>
          <w:b/>
          <w:bCs w:val="0"/>
          <w:color w:val="auto"/>
          <w:sz w:val="36"/>
          <w:szCs w:val="36"/>
          <w:highlight w:val="none"/>
        </w:rPr>
      </w:pPr>
      <w:r>
        <w:rPr>
          <w:rFonts w:hint="eastAsia" w:ascii="仿宋_GB2312" w:hAnsi="仿宋_GB2312" w:eastAsia="仿宋_GB2312" w:cs="仿宋_GB2312"/>
          <w:b/>
          <w:bCs w:val="0"/>
          <w:color w:val="auto"/>
          <w:sz w:val="36"/>
          <w:szCs w:val="36"/>
          <w:highlight w:val="none"/>
        </w:rPr>
        <w:t>报价一览表</w:t>
      </w:r>
    </w:p>
    <w:p w14:paraId="071C4BD2">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color w:val="auto"/>
          <w:sz w:val="32"/>
          <w:szCs w:val="32"/>
          <w:highlight w:val="none"/>
        </w:rPr>
      </w:pPr>
      <w:r>
        <w:rPr>
          <w:rFonts w:hint="eastAsia" w:ascii="仿宋_GB2312" w:hAnsi="仿宋_GB2312" w:eastAsia="仿宋_GB2312" w:cs="仿宋_GB2312"/>
          <w:bCs w:val="0"/>
          <w:color w:val="auto"/>
          <w:sz w:val="32"/>
          <w:szCs w:val="32"/>
          <w:highlight w:val="none"/>
        </w:rPr>
        <w:t xml:space="preserve">项目编号：                  </w:t>
      </w:r>
    </w:p>
    <w:p w14:paraId="1D5606D8">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color w:val="auto"/>
          <w:sz w:val="32"/>
          <w:szCs w:val="32"/>
          <w:highlight w:val="none"/>
        </w:rPr>
      </w:pPr>
      <w:r>
        <w:rPr>
          <w:rFonts w:hint="eastAsia" w:ascii="仿宋_GB2312" w:hAnsi="仿宋_GB2312" w:eastAsia="仿宋_GB2312" w:cs="仿宋_GB2312"/>
          <w:bCs w:val="0"/>
          <w:color w:val="auto"/>
          <w:sz w:val="32"/>
          <w:szCs w:val="32"/>
          <w:highlight w:val="none"/>
        </w:rPr>
        <w:t>项目名称：</w:t>
      </w:r>
    </w:p>
    <w:tbl>
      <w:tblPr>
        <w:tblStyle w:val="25"/>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141"/>
      </w:tblGrid>
      <w:tr w14:paraId="7EAC1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167" w:type="dxa"/>
            <w:vAlign w:val="center"/>
          </w:tcPr>
          <w:p w14:paraId="2FD1DB78">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jc w:val="center"/>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投标人名称</w:t>
            </w:r>
          </w:p>
        </w:tc>
        <w:tc>
          <w:tcPr>
            <w:tcW w:w="7141" w:type="dxa"/>
            <w:vAlign w:val="center"/>
          </w:tcPr>
          <w:p w14:paraId="4B912BCD">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color w:val="auto"/>
                <w:sz w:val="32"/>
                <w:szCs w:val="32"/>
                <w:highlight w:val="none"/>
              </w:rPr>
            </w:pPr>
          </w:p>
        </w:tc>
      </w:tr>
      <w:tr w14:paraId="129C7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2167" w:type="dxa"/>
            <w:vAlign w:val="center"/>
          </w:tcPr>
          <w:p w14:paraId="05E8D6DD">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jc w:val="center"/>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总报价</w:t>
            </w:r>
          </w:p>
          <w:p w14:paraId="50F4346F">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jc w:val="center"/>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（人民币/元）</w:t>
            </w:r>
          </w:p>
        </w:tc>
        <w:tc>
          <w:tcPr>
            <w:tcW w:w="7141" w:type="dxa"/>
            <w:vAlign w:val="center"/>
          </w:tcPr>
          <w:p w14:paraId="4CF7999A">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firstLine="320" w:firstLineChars="100"/>
              <w:rPr>
                <w:rFonts w:hint="default"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大写：</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w:t>
            </w:r>
          </w:p>
          <w:p w14:paraId="033403C6">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firstLine="320" w:firstLineChars="100"/>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小写：</w:t>
            </w:r>
            <w:r>
              <w:rPr>
                <w:rFonts w:hint="eastAsia" w:ascii="仿宋_GB2312" w:hAnsi="仿宋_GB2312" w:eastAsia="仿宋_GB2312" w:cs="仿宋_GB2312"/>
                <w:color w:val="auto"/>
                <w:sz w:val="32"/>
                <w:szCs w:val="32"/>
                <w:highlight w:val="none"/>
                <w:u w:val="single"/>
              </w:rPr>
              <w:t xml:space="preserve">                         </w:t>
            </w:r>
          </w:p>
        </w:tc>
      </w:tr>
      <w:tr w14:paraId="24485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2167" w:type="dxa"/>
            <w:vAlign w:val="center"/>
          </w:tcPr>
          <w:p w14:paraId="4DDDB4D7">
            <w:pPr>
              <w:keepNext w:val="0"/>
              <w:keepLines w:val="0"/>
              <w:suppressLineNumbers w:val="0"/>
              <w:tabs>
                <w:tab w:val="left" w:pos="720"/>
                <w:tab w:val="left" w:pos="1440"/>
                <w:tab w:val="left" w:pos="2880"/>
                <w:tab w:val="left" w:pos="3600"/>
                <w:tab w:val="left" w:pos="4320"/>
              </w:tabs>
              <w:autoSpaceDE w:val="0"/>
              <w:autoSpaceDN w:val="0"/>
              <w:adjustRightInd w:val="0"/>
              <w:snapToGrid w:val="0"/>
              <w:spacing w:before="0" w:beforeAutospacing="0" w:after="0" w:afterAutospacing="0" w:line="560" w:lineRule="exact"/>
              <w:ind w:left="0" w:right="0"/>
              <w:jc w:val="center"/>
              <w:rPr>
                <w:rFonts w:hint="default" w:ascii="仿宋_GB2312" w:hAnsi="仿宋_GB2312" w:eastAsia="仿宋_GB2312" w:cs="仿宋_GB2312"/>
                <w:color w:val="auto"/>
                <w:sz w:val="32"/>
                <w:szCs w:val="32"/>
                <w:highlight w:val="none"/>
              </w:rPr>
            </w:pPr>
            <w:r>
              <w:rPr>
                <w:rFonts w:hint="eastAsia" w:ascii="仿宋" w:hAnsi="仿宋" w:eastAsia="仿宋" w:cs="仿宋"/>
                <w:color w:val="auto"/>
                <w:sz w:val="32"/>
                <w:szCs w:val="32"/>
                <w:highlight w:val="none"/>
              </w:rPr>
              <w:t>项目完成期限</w:t>
            </w:r>
          </w:p>
        </w:tc>
        <w:tc>
          <w:tcPr>
            <w:tcW w:w="7141" w:type="dxa"/>
            <w:vAlign w:val="center"/>
          </w:tcPr>
          <w:p w14:paraId="39D08E78">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color w:val="auto"/>
                <w:sz w:val="32"/>
                <w:szCs w:val="32"/>
                <w:highlight w:val="none"/>
              </w:rPr>
            </w:pPr>
          </w:p>
        </w:tc>
      </w:tr>
      <w:tr w14:paraId="0DCE1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167" w:type="dxa"/>
            <w:vAlign w:val="center"/>
          </w:tcPr>
          <w:p w14:paraId="46F19D8C">
            <w:pPr>
              <w:keepNext w:val="0"/>
              <w:keepLines w:val="0"/>
              <w:suppressLineNumbers w:val="0"/>
              <w:tabs>
                <w:tab w:val="left" w:pos="720"/>
                <w:tab w:val="left" w:pos="1440"/>
                <w:tab w:val="left" w:pos="2880"/>
                <w:tab w:val="left" w:pos="3600"/>
                <w:tab w:val="left" w:pos="4320"/>
              </w:tabs>
              <w:autoSpaceDE w:val="0"/>
              <w:autoSpaceDN w:val="0"/>
              <w:adjustRightInd w:val="0"/>
              <w:snapToGrid w:val="0"/>
              <w:spacing w:before="0" w:beforeAutospacing="0" w:after="0" w:afterAutospacing="0" w:line="560" w:lineRule="exact"/>
              <w:ind w:left="0" w:right="0"/>
              <w:jc w:val="center"/>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备注</w:t>
            </w:r>
          </w:p>
        </w:tc>
        <w:tc>
          <w:tcPr>
            <w:tcW w:w="7141" w:type="dxa"/>
            <w:vAlign w:val="center"/>
          </w:tcPr>
          <w:p w14:paraId="771C8778">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color w:val="auto"/>
                <w:sz w:val="32"/>
                <w:szCs w:val="32"/>
                <w:highlight w:val="none"/>
              </w:rPr>
            </w:pPr>
          </w:p>
        </w:tc>
      </w:tr>
    </w:tbl>
    <w:p w14:paraId="306EB36D">
      <w:pPr>
        <w:adjustRightInd w:val="0"/>
        <w:snapToGrid w:val="0"/>
        <w:spacing w:line="560" w:lineRule="exact"/>
        <w:rPr>
          <w:rFonts w:ascii="仿宋_GB2312" w:hAnsi="仿宋_GB2312" w:eastAsia="仿宋_GB2312" w:cs="仿宋_GB2312"/>
          <w:bCs w:val="0"/>
          <w:color w:val="auto"/>
          <w:sz w:val="32"/>
          <w:szCs w:val="32"/>
          <w:highlight w:val="none"/>
        </w:rPr>
      </w:pPr>
    </w:p>
    <w:p w14:paraId="07B03D29">
      <w:pPr>
        <w:adjustRightInd w:val="0"/>
        <w:snapToGrid w:val="0"/>
        <w:spacing w:line="560" w:lineRule="exact"/>
        <w:ind w:firstLine="320" w:firstLineChars="100"/>
        <w:rPr>
          <w:rFonts w:ascii="仿宋_GB2312" w:hAnsi="仿宋_GB2312" w:eastAsia="仿宋_GB2312" w:cs="仿宋_GB2312"/>
          <w:bCs w:val="0"/>
          <w:color w:val="auto"/>
          <w:sz w:val="32"/>
          <w:szCs w:val="32"/>
          <w:highlight w:val="none"/>
          <w:u w:val="single"/>
        </w:rPr>
      </w:pPr>
      <w:r>
        <w:rPr>
          <w:rFonts w:hint="eastAsia" w:ascii="仿宋_GB2312" w:hAnsi="仿宋_GB2312" w:eastAsia="仿宋_GB2312" w:cs="仿宋_GB2312"/>
          <w:color w:val="auto"/>
          <w:sz w:val="32"/>
          <w:szCs w:val="32"/>
          <w:highlight w:val="none"/>
        </w:rPr>
        <w:t>投标人名称（公章）：</w:t>
      </w:r>
    </w:p>
    <w:p w14:paraId="4647348A">
      <w:pPr>
        <w:adjustRightInd w:val="0"/>
        <w:snapToGrid w:val="0"/>
        <w:spacing w:line="560" w:lineRule="exact"/>
        <w:ind w:firstLine="320" w:firstLineChars="100"/>
        <w:rPr>
          <w:rFonts w:ascii="仿宋_GB2312" w:hAnsi="仿宋_GB2312" w:eastAsia="仿宋_GB2312" w:cs="仿宋_GB2312"/>
          <w:color w:val="auto"/>
          <w:sz w:val="32"/>
          <w:szCs w:val="32"/>
          <w:highlight w:val="none"/>
        </w:rPr>
      </w:pPr>
    </w:p>
    <w:p w14:paraId="4DCF17B1">
      <w:pPr>
        <w:adjustRightInd w:val="0"/>
        <w:snapToGrid w:val="0"/>
        <w:spacing w:line="560" w:lineRule="exact"/>
        <w:ind w:firstLine="320" w:firstLineChars="100"/>
        <w:rPr>
          <w:rFonts w:ascii="仿宋_GB2312" w:hAnsi="仿宋_GB2312" w:eastAsia="仿宋_GB2312" w:cs="仿宋_GB2312"/>
          <w:bCs w:val="0"/>
          <w:color w:val="auto"/>
          <w:sz w:val="32"/>
          <w:szCs w:val="32"/>
          <w:highlight w:val="none"/>
        </w:rPr>
      </w:pPr>
      <w:r>
        <w:rPr>
          <w:rFonts w:hint="eastAsia" w:ascii="仿宋_GB2312" w:hAnsi="仿宋_GB2312" w:eastAsia="仿宋_GB2312" w:cs="仿宋_GB2312"/>
          <w:color w:val="auto"/>
          <w:sz w:val="32"/>
          <w:szCs w:val="32"/>
          <w:highlight w:val="none"/>
        </w:rPr>
        <w:t>法定代表人或授权代理人（签字）：</w:t>
      </w:r>
    </w:p>
    <w:p w14:paraId="73B8DB68">
      <w:pPr>
        <w:adjustRightInd w:val="0"/>
        <w:snapToGrid w:val="0"/>
        <w:spacing w:line="560" w:lineRule="exact"/>
        <w:ind w:firstLine="1600" w:firstLineChars="500"/>
        <w:rPr>
          <w:rFonts w:hint="eastAsia" w:ascii="仿宋_GB2312" w:hAnsi="仿宋_GB2312" w:eastAsia="仿宋_GB2312" w:cs="仿宋_GB2312"/>
          <w:color w:val="auto"/>
          <w:sz w:val="32"/>
          <w:szCs w:val="32"/>
          <w:highlight w:val="none"/>
        </w:rPr>
      </w:pPr>
    </w:p>
    <w:p w14:paraId="53570EF0">
      <w:pPr>
        <w:adjustRightInd w:val="0"/>
        <w:snapToGrid w:val="0"/>
        <w:spacing w:line="560" w:lineRule="exact"/>
        <w:ind w:firstLine="1600" w:firstLineChars="5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年   月   日 </w:t>
      </w:r>
    </w:p>
    <w:p w14:paraId="00BBC6D5">
      <w:pPr>
        <w:pStyle w:val="16"/>
        <w:adjustRightInd w:val="0"/>
        <w:snapToGrid w:val="0"/>
        <w:spacing w:after="0" w:line="560" w:lineRule="exact"/>
        <w:ind w:left="0" w:leftChars="0"/>
        <w:rPr>
          <w:rFonts w:ascii="仿宋_GB2312" w:hAnsi="仿宋_GB2312" w:eastAsia="仿宋_GB2312" w:cs="仿宋_GB2312"/>
          <w:color w:val="auto"/>
          <w:kern w:val="2"/>
          <w:sz w:val="32"/>
          <w:szCs w:val="32"/>
          <w:highlight w:val="none"/>
        </w:rPr>
      </w:pPr>
    </w:p>
    <w:p w14:paraId="6FA3086F">
      <w:pPr>
        <w:pStyle w:val="16"/>
        <w:adjustRightInd w:val="0"/>
        <w:snapToGrid w:val="0"/>
        <w:spacing w:after="0" w:line="560" w:lineRule="exact"/>
        <w:ind w:left="0" w:leftChars="0"/>
        <w:rPr>
          <w:rFonts w:ascii="仿宋_GB2312" w:hAnsi="仿宋_GB2312" w:eastAsia="仿宋_GB2312" w:cs="仿宋_GB2312"/>
          <w:color w:val="auto"/>
          <w:kern w:val="2"/>
          <w:sz w:val="32"/>
          <w:szCs w:val="32"/>
          <w:highlight w:val="none"/>
        </w:rPr>
      </w:pPr>
    </w:p>
    <w:bookmarkEnd w:id="84"/>
    <w:bookmarkEnd w:id="85"/>
    <w:bookmarkEnd w:id="102"/>
    <w:bookmarkEnd w:id="103"/>
    <w:p w14:paraId="5C305AEE">
      <w:pPr>
        <w:pStyle w:val="2"/>
        <w:spacing w:line="240" w:lineRule="auto"/>
        <w:rPr>
          <w:color w:val="auto"/>
          <w:highlight w:val="none"/>
        </w:rPr>
      </w:pPr>
      <w:bookmarkStart w:id="110" w:name="_Toc4812"/>
      <w:bookmarkStart w:id="111" w:name="_Toc22438"/>
      <w:r>
        <w:rPr>
          <w:rFonts w:hint="eastAsia"/>
          <w:color w:val="auto"/>
          <w:highlight w:val="none"/>
        </w:rPr>
        <w:t>封套格式</w:t>
      </w:r>
      <w:bookmarkEnd w:id="110"/>
      <w:bookmarkEnd w:id="111"/>
    </w:p>
    <w:tbl>
      <w:tblPr>
        <w:tblStyle w:val="25"/>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30792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6" w:hRule="atLeast"/>
          <w:jc w:val="center"/>
        </w:trPr>
        <w:tc>
          <w:tcPr>
            <w:tcW w:w="9080" w:type="dxa"/>
          </w:tcPr>
          <w:p w14:paraId="676DF0EA">
            <w:pPr>
              <w:pStyle w:val="14"/>
              <w:keepNext w:val="0"/>
              <w:keepLines w:val="0"/>
              <w:suppressLineNumbers w:val="0"/>
              <w:adjustRightInd w:val="0"/>
              <w:snapToGrid w:val="0"/>
              <w:spacing w:before="0" w:beforeAutospacing="0" w:after="0" w:afterAutospacing="0" w:line="560" w:lineRule="exact"/>
              <w:ind w:left="0" w:right="0" w:firstLine="0" w:firstLineChars="0"/>
              <w:rPr>
                <w:rFonts w:hint="default" w:ascii="仿宋_GB2312" w:hAnsi="仿宋_GB2312" w:eastAsia="仿宋_GB2312" w:cs="仿宋_GB2312"/>
                <w:color w:val="auto"/>
                <w:sz w:val="32"/>
                <w:szCs w:val="32"/>
                <w:highlight w:val="none"/>
              </w:rPr>
            </w:pPr>
          </w:p>
          <w:p w14:paraId="241DAA25">
            <w:pPr>
              <w:pStyle w:val="14"/>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仿宋_GB2312" w:hAnsi="仿宋_GB2312" w:eastAsia="仿宋_GB2312" w:cs="仿宋_GB2312"/>
                <w:color w:val="auto"/>
                <w:sz w:val="32"/>
                <w:szCs w:val="32"/>
                <w:highlight w:val="none"/>
              </w:rPr>
            </w:pPr>
          </w:p>
          <w:p w14:paraId="5D3BFEA6">
            <w:pPr>
              <w:pStyle w:val="14"/>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报价文件（正本/副本）</w:t>
            </w:r>
          </w:p>
          <w:p w14:paraId="4FEDEB82">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bCs w:val="0"/>
                <w:color w:val="auto"/>
                <w:sz w:val="32"/>
                <w:szCs w:val="32"/>
                <w:highlight w:val="none"/>
              </w:rPr>
            </w:pPr>
            <w:r>
              <w:rPr>
                <w:rFonts w:hint="eastAsia" w:ascii="仿宋_GB2312" w:hAnsi="仿宋_GB2312" w:eastAsia="仿宋_GB2312" w:cs="仿宋_GB2312"/>
                <w:bCs w:val="0"/>
                <w:color w:val="auto"/>
                <w:sz w:val="32"/>
                <w:szCs w:val="32"/>
                <w:highlight w:val="none"/>
              </w:rPr>
              <w:t xml:space="preserve">项目编号：      </w:t>
            </w:r>
          </w:p>
          <w:p w14:paraId="0347DBB6">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bCs w:val="0"/>
                <w:color w:val="auto"/>
                <w:sz w:val="32"/>
                <w:szCs w:val="32"/>
                <w:highlight w:val="none"/>
              </w:rPr>
            </w:pPr>
            <w:r>
              <w:rPr>
                <w:rFonts w:hint="eastAsia" w:ascii="仿宋_GB2312" w:hAnsi="仿宋_GB2312" w:eastAsia="仿宋_GB2312" w:cs="仿宋_GB2312"/>
                <w:bCs w:val="0"/>
                <w:color w:val="auto"/>
                <w:sz w:val="32"/>
                <w:szCs w:val="32"/>
                <w:highlight w:val="none"/>
              </w:rPr>
              <w:t>项目名称：</w:t>
            </w:r>
          </w:p>
          <w:p w14:paraId="0DBA1970">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bCs w:val="0"/>
                <w:color w:val="auto"/>
                <w:sz w:val="32"/>
                <w:szCs w:val="32"/>
                <w:highlight w:val="none"/>
              </w:rPr>
            </w:pPr>
            <w:r>
              <w:rPr>
                <w:rFonts w:hint="eastAsia" w:ascii="仿宋_GB2312" w:hAnsi="仿宋_GB2312" w:eastAsia="仿宋_GB2312" w:cs="仿宋_GB2312"/>
                <w:bCs w:val="0"/>
                <w:color w:val="auto"/>
                <w:sz w:val="32"/>
                <w:szCs w:val="32"/>
                <w:highlight w:val="none"/>
              </w:rPr>
              <w:t>投标人名称（公章）：</w:t>
            </w:r>
          </w:p>
          <w:p w14:paraId="2601BFE2">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bCs w:val="0"/>
                <w:color w:val="auto"/>
                <w:sz w:val="32"/>
                <w:szCs w:val="32"/>
                <w:highlight w:val="none"/>
              </w:rPr>
            </w:pPr>
            <w:r>
              <w:rPr>
                <w:rFonts w:hint="eastAsia" w:ascii="仿宋_GB2312" w:hAnsi="仿宋_GB2312" w:eastAsia="仿宋_GB2312" w:cs="仿宋_GB2312"/>
                <w:bCs w:val="0"/>
                <w:color w:val="auto"/>
                <w:sz w:val="32"/>
                <w:szCs w:val="32"/>
                <w:highlight w:val="none"/>
              </w:rPr>
              <w:t>地址：</w:t>
            </w:r>
          </w:p>
          <w:p w14:paraId="21C3FC01">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bCs w:val="0"/>
                <w:color w:val="auto"/>
                <w:sz w:val="32"/>
                <w:szCs w:val="32"/>
                <w:highlight w:val="none"/>
              </w:rPr>
            </w:pPr>
            <w:r>
              <w:rPr>
                <w:rFonts w:hint="eastAsia" w:ascii="仿宋_GB2312" w:hAnsi="仿宋_GB2312" w:eastAsia="仿宋_GB2312" w:cs="仿宋_GB2312"/>
                <w:bCs w:val="0"/>
                <w:color w:val="auto"/>
                <w:sz w:val="32"/>
                <w:szCs w:val="32"/>
                <w:highlight w:val="none"/>
              </w:rPr>
              <w:t>电话：</w:t>
            </w:r>
          </w:p>
          <w:p w14:paraId="7B9D80AE">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bCs w:val="0"/>
                <w:color w:val="auto"/>
                <w:sz w:val="32"/>
                <w:szCs w:val="32"/>
                <w:highlight w:val="none"/>
              </w:rPr>
              <w:t>传真：</w:t>
            </w:r>
          </w:p>
        </w:tc>
      </w:tr>
    </w:tbl>
    <w:p w14:paraId="270122B4">
      <w:pPr>
        <w:adjustRightInd w:val="0"/>
        <w:snapToGrid w:val="0"/>
        <w:spacing w:line="560" w:lineRule="exact"/>
        <w:rPr>
          <w:rFonts w:ascii="仿宋_GB2312" w:hAnsi="仿宋_GB2312" w:eastAsia="仿宋_GB2312" w:cs="仿宋_GB2312"/>
          <w:vanish/>
          <w:color w:val="auto"/>
          <w:sz w:val="32"/>
          <w:szCs w:val="32"/>
          <w:highlight w:val="none"/>
        </w:rPr>
      </w:pPr>
    </w:p>
    <w:p w14:paraId="48CFC1EB">
      <w:pPr>
        <w:adjustRightInd w:val="0"/>
        <w:snapToGrid w:val="0"/>
        <w:spacing w:line="560" w:lineRule="exact"/>
        <w:rPr>
          <w:rFonts w:ascii="仿宋_GB2312" w:hAnsi="仿宋_GB2312" w:eastAsia="仿宋_GB2312" w:cs="仿宋_GB2312"/>
          <w:vanish/>
          <w:color w:val="auto"/>
          <w:sz w:val="32"/>
          <w:szCs w:val="32"/>
          <w:highlight w:val="none"/>
        </w:rPr>
      </w:pPr>
    </w:p>
    <w:tbl>
      <w:tblPr>
        <w:tblStyle w:val="25"/>
        <w:tblpPr w:leftFromText="180" w:rightFromText="180" w:vertAnchor="text" w:horzAnchor="page" w:tblpX="1608" w:tblpY="9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4"/>
      </w:tblGrid>
      <w:tr w14:paraId="718C1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964" w:type="dxa"/>
            <w:tcBorders>
              <w:bottom w:val="single" w:color="auto" w:sz="4" w:space="0"/>
            </w:tcBorders>
            <w:vAlign w:val="center"/>
          </w:tcPr>
          <w:p w14:paraId="0F2AD1E4">
            <w:pPr>
              <w:pStyle w:val="14"/>
              <w:keepNext w:val="0"/>
              <w:keepLines w:val="0"/>
              <w:suppressLineNumbers w:val="0"/>
              <w:adjustRightInd w:val="0"/>
              <w:snapToGrid w:val="0"/>
              <w:spacing w:before="0" w:beforeAutospacing="0" w:after="0" w:afterAutospacing="0" w:line="560" w:lineRule="exact"/>
              <w:ind w:left="0" w:right="0" w:firstLine="0" w:firstLineChars="0"/>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………于202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   月   日    时之前不准启封………</w:t>
            </w:r>
          </w:p>
        </w:tc>
      </w:tr>
    </w:tbl>
    <w:p w14:paraId="380E60A2">
      <w:pPr>
        <w:adjustRightInd w:val="0"/>
        <w:snapToGrid w:val="0"/>
        <w:spacing w:line="560" w:lineRule="exact"/>
        <w:rPr>
          <w:rFonts w:ascii="仿宋_GB2312" w:hAnsi="仿宋_GB2312" w:eastAsia="仿宋_GB2312" w:cs="仿宋_GB2312"/>
          <w:color w:val="auto"/>
          <w:sz w:val="32"/>
          <w:szCs w:val="32"/>
          <w:highlight w:val="none"/>
        </w:rPr>
      </w:pPr>
    </w:p>
    <w:sectPr>
      <w:headerReference r:id="rId12" w:type="first"/>
      <w:headerReference r:id="rId11" w:type="default"/>
      <w:footerReference r:id="rId13" w:type="default"/>
      <w:footerReference r:id="rId14" w:type="even"/>
      <w:pgSz w:w="11907" w:h="16840"/>
      <w:pgMar w:top="1417" w:right="1587" w:bottom="1418" w:left="158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A8A2280-E944-424F-902D-022A9A29AAE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A8BEBA7A-6D7D-4387-B6D4-B279AABCBC97}"/>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方正公文小标宋">
    <w:panose1 w:val="02000500000000000000"/>
    <w:charset w:val="86"/>
    <w:family w:val="auto"/>
    <w:pitch w:val="default"/>
    <w:sig w:usb0="A00002BF" w:usb1="38CF7CFA" w:usb2="00000016" w:usb3="00000000" w:csb0="00040001" w:csb1="00000000"/>
    <w:embedRegular r:id="rId3" w:fontKey="{688EAA80-88E1-4035-BC67-01D9255AD63B}"/>
  </w:font>
  <w:font w:name="仿宋_GB2312">
    <w:altName w:val="仿宋"/>
    <w:panose1 w:val="02010609030101010101"/>
    <w:charset w:val="86"/>
    <w:family w:val="modern"/>
    <w:pitch w:val="default"/>
    <w:sig w:usb0="00000000" w:usb1="00000000" w:usb2="00000000" w:usb3="00000000" w:csb0="00040000" w:csb1="00000000"/>
    <w:embedRegular r:id="rId4" w:fontKey="{29B1FEE7-BA44-4701-A243-E4A66B1CD51F}"/>
  </w:font>
  <w:font w:name="方正公文黑体">
    <w:altName w:val="黑体"/>
    <w:panose1 w:val="02000500000000000000"/>
    <w:charset w:val="86"/>
    <w:family w:val="auto"/>
    <w:pitch w:val="default"/>
    <w:sig w:usb0="00000000" w:usb1="00000000" w:usb2="00000016" w:usb3="00000000" w:csb0="00040001" w:csb1="00000000"/>
    <w:embedRegular r:id="rId5" w:fontKey="{DC9BAD30-5952-4C7B-A9EB-581DFB78AC27}"/>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A45F2">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B4DFF2">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5B4DFF2">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BDBE7">
    <w:pPr>
      <w:pStyle w:val="17"/>
      <w:tabs>
        <w:tab w:val="center" w:pos="4426"/>
        <w:tab w:val="left" w:pos="6262"/>
      </w:tabs>
      <w:jc w:val="lef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EC17A7">
                          <w:pPr>
                            <w:pStyle w:val="1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0EC17A7">
                    <w:pPr>
                      <w:pStyle w:val="17"/>
                    </w:pPr>
                    <w:r>
                      <w:fldChar w:fldCharType="begin"/>
                    </w:r>
                    <w:r>
                      <w:instrText xml:space="preserve"> PAGE  \* MERGEFORMAT </w:instrText>
                    </w:r>
                    <w:r>
                      <w:fldChar w:fldCharType="separate"/>
                    </w:r>
                    <w:r>
                      <w:t>- 2 -</w:t>
                    </w:r>
                    <w:r>
                      <w:fldChar w:fldCharType="end"/>
                    </w:r>
                  </w:p>
                </w:txbxContent>
              </v:textbox>
            </v:shape>
          </w:pict>
        </mc:Fallback>
      </mc:AlternateContent>
    </w:r>
    <w:r>
      <w:rPr>
        <w:lang w:val="en-US"/>
      </w:rPr>
      <w:tab/>
    </w:r>
    <w:r>
      <w:rPr>
        <w:lang w:val="en-US"/>
      </w:rPr>
      <w:tab/>
    </w:r>
    <w:r>
      <w:rPr>
        <w:lang w:val="en-US"/>
      </w:rPr>
      <w:tab/>
    </w:r>
    <w:r>
      <w:rPr>
        <w:lang w:val="en-US"/>
      </w:rPr>
      <w:tab/>
    </w:r>
  </w:p>
  <w:p w14:paraId="1A512E5B">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53DB1">
    <w:pPr>
      <w:pStyle w:val="1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120C5C">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5120C5C">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887F6">
    <w:pPr>
      <w:spacing w:line="14" w:lineRule="auto"/>
      <w:rPr>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04E40B">
                          <w:pPr>
                            <w:pStyle w:val="17"/>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A04E40B">
                    <w:pPr>
                      <w:pStyle w:val="17"/>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6B540">
    <w:pPr>
      <w:pStyle w:val="17"/>
      <w:ind w:right="360" w:firstLine="4860" w:firstLineChars="270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9E492">
                          <w:pPr>
                            <w:pStyle w:val="17"/>
                          </w:pPr>
                          <w:r>
                            <w:fldChar w:fldCharType="begin"/>
                          </w:r>
                          <w:r>
                            <w:instrText xml:space="preserve"> PAGE  \* MERGEFORMAT </w:instrText>
                          </w:r>
                          <w:r>
                            <w:fldChar w:fldCharType="separate"/>
                          </w:r>
                          <w:r>
                            <w:t>- 11 -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919E492">
                    <w:pPr>
                      <w:pStyle w:val="17"/>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60613">
    <w:pPr>
      <w:pStyle w:val="17"/>
      <w:framePr w:wrap="around" w:vAnchor="text" w:hAnchor="margin" w:xAlign="center" w:y="1"/>
      <w:rPr>
        <w:rStyle w:val="29"/>
      </w:rPr>
    </w:pPr>
    <w:r>
      <w:fldChar w:fldCharType="begin"/>
    </w:r>
    <w:r>
      <w:rPr>
        <w:rStyle w:val="29"/>
      </w:rPr>
      <w:instrText xml:space="preserve">PAGE  </w:instrText>
    </w:r>
    <w:r>
      <w:fldChar w:fldCharType="separate"/>
    </w:r>
    <w:r>
      <w:rPr>
        <w:rStyle w:val="29"/>
      </w:rPr>
      <w:t>32</w:t>
    </w:r>
    <w:r>
      <w:fldChar w:fldCharType="end"/>
    </w:r>
  </w:p>
  <w:p w14:paraId="00DD0878">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EC679">
    <w:pPr>
      <w:pStyle w:val="18"/>
      <w:pBdr>
        <w:top w:val="none" w:color="auto" w:sz="0" w:space="1"/>
        <w:left w:val="none" w:color="auto" w:sz="0" w:space="4"/>
        <w:bottom w:val="none" w:color="auto" w:sz="0" w:space="0"/>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0E039">
    <w:pPr>
      <w:pStyle w:val="18"/>
      <w:pBdr>
        <w:top w:val="none" w:color="auto" w:sz="0" w:space="1"/>
        <w:left w:val="none" w:color="auto" w:sz="0" w:space="4"/>
        <w:bottom w:val="none" w:color="auto" w:sz="0" w:space="1"/>
        <w:right w:val="none" w:color="auto" w:sz="0" w:space="4"/>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183EB">
    <w:pPr>
      <w:pStyle w:val="18"/>
      <w:pBdr>
        <w:top w:val="none" w:color="auto" w:sz="0" w:space="1"/>
        <w:left w:val="none" w:color="auto" w:sz="0" w:space="4"/>
        <w:bottom w:val="none" w:color="auto" w:sz="0" w:space="0"/>
        <w:right w:val="none" w:color="auto" w:sz="0" w:space="4"/>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ED677">
    <w:pPr>
      <w:pStyle w:val="18"/>
      <w:pBdr>
        <w:top w:val="none" w:color="auto" w:sz="0" w:space="1"/>
        <w:left w:val="none" w:color="auto" w:sz="0" w:space="4"/>
        <w:bottom w:val="none" w:color="auto" w:sz="0" w:space="1"/>
        <w:right w:val="none" w:color="auto" w:sz="0" w:space="4"/>
      </w:pBdr>
      <w:ind w:right="36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BBC13">
    <w:pPr>
      <w:pStyle w:val="18"/>
      <w:pBdr>
        <w:top w:val="none" w:color="auto" w:sz="0" w:space="1"/>
        <w:left w:val="none" w:color="auto" w:sz="0" w:space="4"/>
        <w:bottom w:val="none" w:color="auto" w:sz="0" w:space="0"/>
        <w:right w:val="none" w:color="auto" w:sz="0" w:space="4"/>
      </w:pBdr>
      <w:jc w:val="both"/>
    </w:pPr>
    <w:r>
      <w:rPr>
        <w:rFonts w:hint="eastAsia" w:hAnsi="宋体"/>
        <w:sz w:val="21"/>
        <w:szCs w:val="21"/>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90A66">
    <w:pPr>
      <w:pStyle w:val="18"/>
    </w:pPr>
    <w:r>
      <w:rPr>
        <w:rFonts w:hint="eastAsia"/>
        <w:kern w:val="0"/>
        <w:szCs w:val="21"/>
      </w:rPr>
      <w:t>山东鲁育招标有限公司                                                                   SDJZ2006-11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EF798A"/>
    <w:multiLevelType w:val="singleLevel"/>
    <w:tmpl w:val="97EF798A"/>
    <w:lvl w:ilvl="0" w:tentative="0">
      <w:start w:val="1"/>
      <w:numFmt w:val="decimal"/>
      <w:lvlText w:val="%1."/>
      <w:lvlJc w:val="left"/>
      <w:pPr>
        <w:tabs>
          <w:tab w:val="left" w:pos="312"/>
        </w:tabs>
      </w:pPr>
    </w:lvl>
  </w:abstractNum>
  <w:abstractNum w:abstractNumId="1">
    <w:nsid w:val="A111BF37"/>
    <w:multiLevelType w:val="singleLevel"/>
    <w:tmpl w:val="A111BF37"/>
    <w:lvl w:ilvl="0" w:tentative="0">
      <w:start w:val="2"/>
      <w:numFmt w:val="chineseCounting"/>
      <w:suff w:val="nothing"/>
      <w:lvlText w:val="%1、"/>
      <w:lvlJc w:val="left"/>
      <w:rPr>
        <w:rFonts w:hint="eastAsia"/>
      </w:rPr>
    </w:lvl>
  </w:abstractNum>
  <w:abstractNum w:abstractNumId="2">
    <w:nsid w:val="06760612"/>
    <w:multiLevelType w:val="multilevel"/>
    <w:tmpl w:val="06760612"/>
    <w:lvl w:ilvl="0" w:tentative="0">
      <w:start w:val="1"/>
      <w:numFmt w:val="decimal"/>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pStyle w:val="7"/>
      <w:suff w:val="nothing"/>
      <w:lvlText w:val="%1.%2.%3"/>
      <w:lvlJc w:val="left"/>
      <w:pPr>
        <w:ind w:left="0" w:firstLine="0"/>
      </w:pPr>
      <w:rPr>
        <w:rFonts w:hint="eastAsia"/>
      </w:rPr>
    </w:lvl>
    <w:lvl w:ilvl="3" w:tentative="0">
      <w:start w:val="1"/>
      <w:numFmt w:val="decimal"/>
      <w:pStyle w:val="8"/>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suff w:val="space"/>
      <w:lvlText w:val="%1.%2.%3.%4.%5.%6.%7"/>
      <w:lvlJc w:val="left"/>
      <w:pPr>
        <w:ind w:left="0" w:firstLine="0"/>
      </w:pPr>
      <w:rPr>
        <w:rFonts w:hint="eastAsia"/>
      </w:rPr>
    </w:lvl>
    <w:lvl w:ilvl="7" w:tentative="0">
      <w:start w:val="1"/>
      <w:numFmt w:val="decimal"/>
      <w:suff w:val="space"/>
      <w:lvlText w:val="%1.%2.%3.%4.%5.%6.%7.%8"/>
      <w:lvlJc w:val="left"/>
      <w:pPr>
        <w:ind w:left="0" w:firstLine="0"/>
      </w:pPr>
      <w:rPr>
        <w:rFonts w:hint="eastAsia"/>
      </w:rPr>
    </w:lvl>
    <w:lvl w:ilvl="8" w:tentative="0">
      <w:start w:val="1"/>
      <w:numFmt w:val="decimal"/>
      <w:suff w:val="space"/>
      <w:lvlText w:val="%1.%2.%3.%4.%5.%6.%7.%8.%9"/>
      <w:lvlJc w:val="left"/>
      <w:pPr>
        <w:ind w:left="0" w:firstLine="0"/>
      </w:pPr>
      <w:rPr>
        <w:rFonts w:hint="eastAsia"/>
      </w:rPr>
    </w:lvl>
  </w:abstractNum>
  <w:abstractNum w:abstractNumId="3">
    <w:nsid w:val="177F6A84"/>
    <w:multiLevelType w:val="singleLevel"/>
    <w:tmpl w:val="177F6A84"/>
    <w:lvl w:ilvl="0" w:tentative="0">
      <w:start w:val="2"/>
      <w:numFmt w:val="chineseCounting"/>
      <w:suff w:val="nothing"/>
      <w:lvlText w:val="%1、"/>
      <w:lvlJc w:val="left"/>
      <w:rPr>
        <w:rFonts w:hint="eastAsia"/>
      </w:rPr>
    </w:lvl>
  </w:abstractNum>
  <w:abstractNum w:abstractNumId="4">
    <w:nsid w:val="35A95F97"/>
    <w:multiLevelType w:val="multilevel"/>
    <w:tmpl w:val="35A95F97"/>
    <w:lvl w:ilvl="0" w:tentative="0">
      <w:start w:val="1"/>
      <w:numFmt w:val="chineseCountingThousand"/>
      <w:lvlText w:val="%1、"/>
      <w:lvlJc w:val="left"/>
      <w:pPr>
        <w:ind w:left="432" w:hanging="432"/>
      </w:pPr>
      <w:rPr>
        <w:rFonts w:hint="eastAsia"/>
      </w:rPr>
    </w:lvl>
    <w:lvl w:ilvl="1" w:tentative="0">
      <w:start w:val="1"/>
      <w:numFmt w:val="decimal"/>
      <w:isLgl/>
      <w:lvlText w:val="%1.%2"/>
      <w:lvlJc w:val="left"/>
      <w:pPr>
        <w:ind w:left="576" w:hanging="576"/>
      </w:pPr>
      <w:rPr>
        <w:rFonts w:hint="default" w:ascii="Times New Roman" w:hAnsi="Times New Roman"/>
      </w:rPr>
    </w:lvl>
    <w:lvl w:ilvl="2" w:tentative="0">
      <w:start w:val="1"/>
      <w:numFmt w:val="decimal"/>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default" w:ascii="Times New Roman" w:hAnsi="Times New Roman"/>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default" w:ascii="Times New Roman" w:hAnsi="Times New Roman"/>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986C49"/>
    <w:rsid w:val="00003064"/>
    <w:rsid w:val="0002075D"/>
    <w:rsid w:val="00025991"/>
    <w:rsid w:val="000273FD"/>
    <w:rsid w:val="000613D1"/>
    <w:rsid w:val="000A6129"/>
    <w:rsid w:val="000B329A"/>
    <w:rsid w:val="000C7BD5"/>
    <w:rsid w:val="00105A68"/>
    <w:rsid w:val="001164B5"/>
    <w:rsid w:val="001351AA"/>
    <w:rsid w:val="001519E6"/>
    <w:rsid w:val="00160194"/>
    <w:rsid w:val="00171DBC"/>
    <w:rsid w:val="00181324"/>
    <w:rsid w:val="001A1B19"/>
    <w:rsid w:val="001D1DAD"/>
    <w:rsid w:val="001D3C3A"/>
    <w:rsid w:val="00237A6E"/>
    <w:rsid w:val="00243C19"/>
    <w:rsid w:val="002455C0"/>
    <w:rsid w:val="0025701E"/>
    <w:rsid w:val="002829F4"/>
    <w:rsid w:val="00282BE6"/>
    <w:rsid w:val="002B1AFF"/>
    <w:rsid w:val="002D11F7"/>
    <w:rsid w:val="003012DA"/>
    <w:rsid w:val="00307A48"/>
    <w:rsid w:val="00334CA9"/>
    <w:rsid w:val="003D295E"/>
    <w:rsid w:val="00440AD4"/>
    <w:rsid w:val="004631B8"/>
    <w:rsid w:val="00463866"/>
    <w:rsid w:val="00493632"/>
    <w:rsid w:val="00547BFA"/>
    <w:rsid w:val="00563FEF"/>
    <w:rsid w:val="005D793B"/>
    <w:rsid w:val="00614FDC"/>
    <w:rsid w:val="00640DDC"/>
    <w:rsid w:val="00643548"/>
    <w:rsid w:val="00647BFA"/>
    <w:rsid w:val="006A2E9F"/>
    <w:rsid w:val="006A627C"/>
    <w:rsid w:val="006A6581"/>
    <w:rsid w:val="006D5ACB"/>
    <w:rsid w:val="0070536A"/>
    <w:rsid w:val="00723C70"/>
    <w:rsid w:val="00785950"/>
    <w:rsid w:val="0079174A"/>
    <w:rsid w:val="007934CC"/>
    <w:rsid w:val="00845118"/>
    <w:rsid w:val="00851A1C"/>
    <w:rsid w:val="008560D3"/>
    <w:rsid w:val="008806B9"/>
    <w:rsid w:val="00932EF4"/>
    <w:rsid w:val="009848F2"/>
    <w:rsid w:val="00995A62"/>
    <w:rsid w:val="009B0D00"/>
    <w:rsid w:val="00A11BD6"/>
    <w:rsid w:val="00A13675"/>
    <w:rsid w:val="00A212B3"/>
    <w:rsid w:val="00A3539F"/>
    <w:rsid w:val="00A90DC2"/>
    <w:rsid w:val="00AA61C0"/>
    <w:rsid w:val="00AE01B1"/>
    <w:rsid w:val="00BD1B66"/>
    <w:rsid w:val="00BE6D42"/>
    <w:rsid w:val="00BF04E9"/>
    <w:rsid w:val="00C24CB0"/>
    <w:rsid w:val="00CB1EB4"/>
    <w:rsid w:val="00CE4297"/>
    <w:rsid w:val="00CF1702"/>
    <w:rsid w:val="00D13D87"/>
    <w:rsid w:val="00D31982"/>
    <w:rsid w:val="00DA35B1"/>
    <w:rsid w:val="00DC2271"/>
    <w:rsid w:val="00E27680"/>
    <w:rsid w:val="00E4733C"/>
    <w:rsid w:val="00E707D8"/>
    <w:rsid w:val="00E817E5"/>
    <w:rsid w:val="00E865C2"/>
    <w:rsid w:val="00F1031F"/>
    <w:rsid w:val="00F70E5C"/>
    <w:rsid w:val="00F73779"/>
    <w:rsid w:val="00F87360"/>
    <w:rsid w:val="00FA0DB4"/>
    <w:rsid w:val="00FA7158"/>
    <w:rsid w:val="00FF50E6"/>
    <w:rsid w:val="010E4F6E"/>
    <w:rsid w:val="013712F7"/>
    <w:rsid w:val="013C246A"/>
    <w:rsid w:val="01535BBA"/>
    <w:rsid w:val="016F7099"/>
    <w:rsid w:val="01AE10A4"/>
    <w:rsid w:val="01AF3A4F"/>
    <w:rsid w:val="01C27B77"/>
    <w:rsid w:val="01E0373D"/>
    <w:rsid w:val="02451033"/>
    <w:rsid w:val="026F7BA0"/>
    <w:rsid w:val="028C62E2"/>
    <w:rsid w:val="02D8307B"/>
    <w:rsid w:val="02EC2996"/>
    <w:rsid w:val="02FE5FA0"/>
    <w:rsid w:val="03190CB5"/>
    <w:rsid w:val="03215DBB"/>
    <w:rsid w:val="03912F41"/>
    <w:rsid w:val="03B92498"/>
    <w:rsid w:val="03BA4A14"/>
    <w:rsid w:val="03C03826"/>
    <w:rsid w:val="03E1761F"/>
    <w:rsid w:val="04210BBD"/>
    <w:rsid w:val="043A0EC2"/>
    <w:rsid w:val="048119FF"/>
    <w:rsid w:val="04BD1B14"/>
    <w:rsid w:val="04C21C5A"/>
    <w:rsid w:val="05080FE1"/>
    <w:rsid w:val="051536FE"/>
    <w:rsid w:val="0521245C"/>
    <w:rsid w:val="0524197F"/>
    <w:rsid w:val="0539563E"/>
    <w:rsid w:val="0569541C"/>
    <w:rsid w:val="05BF72F6"/>
    <w:rsid w:val="05E80E12"/>
    <w:rsid w:val="06220A34"/>
    <w:rsid w:val="063B0A20"/>
    <w:rsid w:val="063D115E"/>
    <w:rsid w:val="063D7F45"/>
    <w:rsid w:val="06515A71"/>
    <w:rsid w:val="06966A2B"/>
    <w:rsid w:val="06986394"/>
    <w:rsid w:val="069D2831"/>
    <w:rsid w:val="06B362BB"/>
    <w:rsid w:val="06CC1424"/>
    <w:rsid w:val="06E03B70"/>
    <w:rsid w:val="06E67100"/>
    <w:rsid w:val="06FF6413"/>
    <w:rsid w:val="07043A2A"/>
    <w:rsid w:val="07281BB4"/>
    <w:rsid w:val="07571DAC"/>
    <w:rsid w:val="07586296"/>
    <w:rsid w:val="076013B7"/>
    <w:rsid w:val="077417A0"/>
    <w:rsid w:val="077E558A"/>
    <w:rsid w:val="07854B6B"/>
    <w:rsid w:val="07943000"/>
    <w:rsid w:val="07AA637F"/>
    <w:rsid w:val="080203CE"/>
    <w:rsid w:val="08156C5F"/>
    <w:rsid w:val="081D4626"/>
    <w:rsid w:val="084F19EE"/>
    <w:rsid w:val="08DA0EE6"/>
    <w:rsid w:val="09542027"/>
    <w:rsid w:val="09692E5A"/>
    <w:rsid w:val="09831F2B"/>
    <w:rsid w:val="09A432A2"/>
    <w:rsid w:val="09BC4A90"/>
    <w:rsid w:val="09BE64C0"/>
    <w:rsid w:val="09FB55B8"/>
    <w:rsid w:val="0A3F0100"/>
    <w:rsid w:val="0A560A40"/>
    <w:rsid w:val="0A7B2255"/>
    <w:rsid w:val="0B04224A"/>
    <w:rsid w:val="0B16263E"/>
    <w:rsid w:val="0B443652"/>
    <w:rsid w:val="0B8B2FBA"/>
    <w:rsid w:val="0B9B2EA1"/>
    <w:rsid w:val="0BDA3067"/>
    <w:rsid w:val="0BED6A7B"/>
    <w:rsid w:val="0BF70C1C"/>
    <w:rsid w:val="0C65652A"/>
    <w:rsid w:val="0C6C07D5"/>
    <w:rsid w:val="0C8353F1"/>
    <w:rsid w:val="0C9D49EB"/>
    <w:rsid w:val="0CA5180B"/>
    <w:rsid w:val="0CB02DAF"/>
    <w:rsid w:val="0CB63A18"/>
    <w:rsid w:val="0CD143AE"/>
    <w:rsid w:val="0CF74AB8"/>
    <w:rsid w:val="0D181FDD"/>
    <w:rsid w:val="0D3D1A44"/>
    <w:rsid w:val="0D4B23B2"/>
    <w:rsid w:val="0D5648B3"/>
    <w:rsid w:val="0D5D3E94"/>
    <w:rsid w:val="0D761459"/>
    <w:rsid w:val="0D766D04"/>
    <w:rsid w:val="0E812BF3"/>
    <w:rsid w:val="0E8A515C"/>
    <w:rsid w:val="0E9733D5"/>
    <w:rsid w:val="0EB06E60"/>
    <w:rsid w:val="0EB10E23"/>
    <w:rsid w:val="0EF07055"/>
    <w:rsid w:val="0EFB1BB6"/>
    <w:rsid w:val="0F1A7048"/>
    <w:rsid w:val="0F312C7C"/>
    <w:rsid w:val="0F317386"/>
    <w:rsid w:val="0F5574D8"/>
    <w:rsid w:val="0F601A19"/>
    <w:rsid w:val="0F6C64AC"/>
    <w:rsid w:val="0F6E4136"/>
    <w:rsid w:val="0F77741D"/>
    <w:rsid w:val="0FA1275E"/>
    <w:rsid w:val="0FB76D11"/>
    <w:rsid w:val="0FD55F4E"/>
    <w:rsid w:val="0FE16FFE"/>
    <w:rsid w:val="0FE32D76"/>
    <w:rsid w:val="0FE33B06"/>
    <w:rsid w:val="0FF3288D"/>
    <w:rsid w:val="0FF705D0"/>
    <w:rsid w:val="10017FB3"/>
    <w:rsid w:val="10090BD7"/>
    <w:rsid w:val="10235B8D"/>
    <w:rsid w:val="10515328"/>
    <w:rsid w:val="1088396D"/>
    <w:rsid w:val="108B0D18"/>
    <w:rsid w:val="109567B4"/>
    <w:rsid w:val="10A73DA4"/>
    <w:rsid w:val="111700D2"/>
    <w:rsid w:val="11190C87"/>
    <w:rsid w:val="11B83D8F"/>
    <w:rsid w:val="11D67F1C"/>
    <w:rsid w:val="12270C7D"/>
    <w:rsid w:val="123A29F6"/>
    <w:rsid w:val="123E35CF"/>
    <w:rsid w:val="12450EE5"/>
    <w:rsid w:val="12490E8B"/>
    <w:rsid w:val="12724255"/>
    <w:rsid w:val="127546CF"/>
    <w:rsid w:val="12DE7825"/>
    <w:rsid w:val="12E070F9"/>
    <w:rsid w:val="12E952FB"/>
    <w:rsid w:val="131821D8"/>
    <w:rsid w:val="132A2348"/>
    <w:rsid w:val="13347445"/>
    <w:rsid w:val="133C34EE"/>
    <w:rsid w:val="133F619B"/>
    <w:rsid w:val="13551D5C"/>
    <w:rsid w:val="136C3083"/>
    <w:rsid w:val="13853604"/>
    <w:rsid w:val="138F79D2"/>
    <w:rsid w:val="13DF0BCE"/>
    <w:rsid w:val="13E0137B"/>
    <w:rsid w:val="13E56991"/>
    <w:rsid w:val="13EC5CCF"/>
    <w:rsid w:val="13F84916"/>
    <w:rsid w:val="14187963"/>
    <w:rsid w:val="145C05DA"/>
    <w:rsid w:val="1468384A"/>
    <w:rsid w:val="14793E91"/>
    <w:rsid w:val="147A2925"/>
    <w:rsid w:val="14A730DD"/>
    <w:rsid w:val="150572EB"/>
    <w:rsid w:val="15945E81"/>
    <w:rsid w:val="15AC3C0A"/>
    <w:rsid w:val="15CA407F"/>
    <w:rsid w:val="15DF7B3C"/>
    <w:rsid w:val="15FD2BBA"/>
    <w:rsid w:val="16900E36"/>
    <w:rsid w:val="16D77AEA"/>
    <w:rsid w:val="16D96054"/>
    <w:rsid w:val="17127A9D"/>
    <w:rsid w:val="17140673"/>
    <w:rsid w:val="17141B46"/>
    <w:rsid w:val="17231CAA"/>
    <w:rsid w:val="172F13BB"/>
    <w:rsid w:val="17365147"/>
    <w:rsid w:val="17417AEF"/>
    <w:rsid w:val="17617B9E"/>
    <w:rsid w:val="176C18A3"/>
    <w:rsid w:val="17710C68"/>
    <w:rsid w:val="17B531B3"/>
    <w:rsid w:val="17C50FB3"/>
    <w:rsid w:val="17EE07BE"/>
    <w:rsid w:val="18883998"/>
    <w:rsid w:val="189D5A8C"/>
    <w:rsid w:val="18C2202E"/>
    <w:rsid w:val="18C33745"/>
    <w:rsid w:val="18F31AB7"/>
    <w:rsid w:val="1901426D"/>
    <w:rsid w:val="191C10A7"/>
    <w:rsid w:val="191C2DD1"/>
    <w:rsid w:val="1925050E"/>
    <w:rsid w:val="19397563"/>
    <w:rsid w:val="197B254B"/>
    <w:rsid w:val="19A46172"/>
    <w:rsid w:val="19AF0D41"/>
    <w:rsid w:val="19C46CD8"/>
    <w:rsid w:val="19C84D8B"/>
    <w:rsid w:val="19DE010A"/>
    <w:rsid w:val="19F245C4"/>
    <w:rsid w:val="1A014E15"/>
    <w:rsid w:val="1A0A7151"/>
    <w:rsid w:val="1A18186E"/>
    <w:rsid w:val="1A2B0002"/>
    <w:rsid w:val="1A2C531A"/>
    <w:rsid w:val="1A361CF4"/>
    <w:rsid w:val="1A5361CB"/>
    <w:rsid w:val="1A5D54D3"/>
    <w:rsid w:val="1A785A33"/>
    <w:rsid w:val="1AA2382E"/>
    <w:rsid w:val="1B3A4B9B"/>
    <w:rsid w:val="1B46065D"/>
    <w:rsid w:val="1B4E306E"/>
    <w:rsid w:val="1BA50EE0"/>
    <w:rsid w:val="1BAB583C"/>
    <w:rsid w:val="1BB3C7C0"/>
    <w:rsid w:val="1BDD4B1E"/>
    <w:rsid w:val="1C146065"/>
    <w:rsid w:val="1CFA6CD7"/>
    <w:rsid w:val="1D3C1D18"/>
    <w:rsid w:val="1D726A12"/>
    <w:rsid w:val="1D863B83"/>
    <w:rsid w:val="1DD42870"/>
    <w:rsid w:val="1DD45AAC"/>
    <w:rsid w:val="1DE91A1B"/>
    <w:rsid w:val="1DF50EBD"/>
    <w:rsid w:val="1DF87FC5"/>
    <w:rsid w:val="1E122A78"/>
    <w:rsid w:val="1E2D340E"/>
    <w:rsid w:val="1E7554E1"/>
    <w:rsid w:val="1E7A7A86"/>
    <w:rsid w:val="1E804B75"/>
    <w:rsid w:val="1ED57D2E"/>
    <w:rsid w:val="1EF62324"/>
    <w:rsid w:val="1F765554"/>
    <w:rsid w:val="1F845AC6"/>
    <w:rsid w:val="1F884CCF"/>
    <w:rsid w:val="1F9B949E"/>
    <w:rsid w:val="1F9F033C"/>
    <w:rsid w:val="1FEC25BF"/>
    <w:rsid w:val="1FEF6E6E"/>
    <w:rsid w:val="20193933"/>
    <w:rsid w:val="20350AB8"/>
    <w:rsid w:val="204607B7"/>
    <w:rsid w:val="209B0A84"/>
    <w:rsid w:val="20C0056A"/>
    <w:rsid w:val="210D14B1"/>
    <w:rsid w:val="21505D92"/>
    <w:rsid w:val="21887642"/>
    <w:rsid w:val="219407F2"/>
    <w:rsid w:val="219F2875"/>
    <w:rsid w:val="21DB2A55"/>
    <w:rsid w:val="21E87D78"/>
    <w:rsid w:val="220B1CB9"/>
    <w:rsid w:val="220F3557"/>
    <w:rsid w:val="22227D34"/>
    <w:rsid w:val="22250FCC"/>
    <w:rsid w:val="224E4F75"/>
    <w:rsid w:val="225E0B1F"/>
    <w:rsid w:val="22AD2D70"/>
    <w:rsid w:val="22B366F6"/>
    <w:rsid w:val="22B660C8"/>
    <w:rsid w:val="22E6561F"/>
    <w:rsid w:val="23005595"/>
    <w:rsid w:val="23294AEC"/>
    <w:rsid w:val="232E330C"/>
    <w:rsid w:val="2330729E"/>
    <w:rsid w:val="233139A1"/>
    <w:rsid w:val="23377EE9"/>
    <w:rsid w:val="23C2284B"/>
    <w:rsid w:val="23FE7B1E"/>
    <w:rsid w:val="2412563B"/>
    <w:rsid w:val="241412F8"/>
    <w:rsid w:val="243674C1"/>
    <w:rsid w:val="2443398C"/>
    <w:rsid w:val="24963C3A"/>
    <w:rsid w:val="24D77410"/>
    <w:rsid w:val="25903244"/>
    <w:rsid w:val="25C94365"/>
    <w:rsid w:val="25CD79B1"/>
    <w:rsid w:val="25F5597A"/>
    <w:rsid w:val="263E440B"/>
    <w:rsid w:val="26924756"/>
    <w:rsid w:val="269A09F7"/>
    <w:rsid w:val="2739601D"/>
    <w:rsid w:val="27433CA3"/>
    <w:rsid w:val="27706A7D"/>
    <w:rsid w:val="2771221C"/>
    <w:rsid w:val="278136ED"/>
    <w:rsid w:val="278E3045"/>
    <w:rsid w:val="279B0C50"/>
    <w:rsid w:val="279D270A"/>
    <w:rsid w:val="27A75FE0"/>
    <w:rsid w:val="27B626C7"/>
    <w:rsid w:val="27DA0163"/>
    <w:rsid w:val="288938C1"/>
    <w:rsid w:val="28924901"/>
    <w:rsid w:val="28B3769A"/>
    <w:rsid w:val="28DD71C8"/>
    <w:rsid w:val="290F795D"/>
    <w:rsid w:val="2976189C"/>
    <w:rsid w:val="29BD4AD2"/>
    <w:rsid w:val="29C410CB"/>
    <w:rsid w:val="29CD6601"/>
    <w:rsid w:val="29E9585C"/>
    <w:rsid w:val="29F758E8"/>
    <w:rsid w:val="2A307B20"/>
    <w:rsid w:val="2A566664"/>
    <w:rsid w:val="2A701253"/>
    <w:rsid w:val="2A8274CB"/>
    <w:rsid w:val="2A8D3BB3"/>
    <w:rsid w:val="2AAF03D5"/>
    <w:rsid w:val="2AC82E3D"/>
    <w:rsid w:val="2ADF07C0"/>
    <w:rsid w:val="2AF1729B"/>
    <w:rsid w:val="2BBA5F3F"/>
    <w:rsid w:val="2BD10AFE"/>
    <w:rsid w:val="2BD501A2"/>
    <w:rsid w:val="2C301C6E"/>
    <w:rsid w:val="2C6B57EF"/>
    <w:rsid w:val="2C9454FE"/>
    <w:rsid w:val="2C9A25B7"/>
    <w:rsid w:val="2CAD22EA"/>
    <w:rsid w:val="2CB238EE"/>
    <w:rsid w:val="2CBC077F"/>
    <w:rsid w:val="2CD94552"/>
    <w:rsid w:val="2D2500D2"/>
    <w:rsid w:val="2D71156A"/>
    <w:rsid w:val="2D8A262B"/>
    <w:rsid w:val="2D947006"/>
    <w:rsid w:val="2DD732E8"/>
    <w:rsid w:val="2DE312CD"/>
    <w:rsid w:val="2DEF248E"/>
    <w:rsid w:val="2E1E55CD"/>
    <w:rsid w:val="2E3A65F9"/>
    <w:rsid w:val="2E432355"/>
    <w:rsid w:val="2E6800CC"/>
    <w:rsid w:val="2E9B79E3"/>
    <w:rsid w:val="2EB455B4"/>
    <w:rsid w:val="2ED40002"/>
    <w:rsid w:val="2EFA733D"/>
    <w:rsid w:val="2F283F03"/>
    <w:rsid w:val="2F397E65"/>
    <w:rsid w:val="2F487110"/>
    <w:rsid w:val="2F544C9F"/>
    <w:rsid w:val="2F7470EF"/>
    <w:rsid w:val="2FD44032"/>
    <w:rsid w:val="2FED7D34"/>
    <w:rsid w:val="302A5A00"/>
    <w:rsid w:val="302E54F0"/>
    <w:rsid w:val="30542A7D"/>
    <w:rsid w:val="3058256D"/>
    <w:rsid w:val="307F3D64"/>
    <w:rsid w:val="30E87D95"/>
    <w:rsid w:val="30F42AE5"/>
    <w:rsid w:val="31175F84"/>
    <w:rsid w:val="31262305"/>
    <w:rsid w:val="31327262"/>
    <w:rsid w:val="31D9148B"/>
    <w:rsid w:val="31EA4EA1"/>
    <w:rsid w:val="324F6CEB"/>
    <w:rsid w:val="325B2EC3"/>
    <w:rsid w:val="326E1087"/>
    <w:rsid w:val="327F7178"/>
    <w:rsid w:val="32986C49"/>
    <w:rsid w:val="32992B58"/>
    <w:rsid w:val="32A2020C"/>
    <w:rsid w:val="32A46599"/>
    <w:rsid w:val="32A7158A"/>
    <w:rsid w:val="32F02F31"/>
    <w:rsid w:val="32F72DCA"/>
    <w:rsid w:val="332B7EA7"/>
    <w:rsid w:val="33423678"/>
    <w:rsid w:val="33512320"/>
    <w:rsid w:val="33644F60"/>
    <w:rsid w:val="336B25B7"/>
    <w:rsid w:val="33D20888"/>
    <w:rsid w:val="33E41628"/>
    <w:rsid w:val="33EE0701"/>
    <w:rsid w:val="33FB7DDF"/>
    <w:rsid w:val="33FF6CF8"/>
    <w:rsid w:val="340C5B48"/>
    <w:rsid w:val="34131094"/>
    <w:rsid w:val="342033A2"/>
    <w:rsid w:val="343E372E"/>
    <w:rsid w:val="344828F8"/>
    <w:rsid w:val="3451508A"/>
    <w:rsid w:val="34520673"/>
    <w:rsid w:val="34607C42"/>
    <w:rsid w:val="34E268A9"/>
    <w:rsid w:val="34E44900"/>
    <w:rsid w:val="35176F31"/>
    <w:rsid w:val="351C625F"/>
    <w:rsid w:val="3529097C"/>
    <w:rsid w:val="35487054"/>
    <w:rsid w:val="356779FE"/>
    <w:rsid w:val="3579427A"/>
    <w:rsid w:val="359B6AF0"/>
    <w:rsid w:val="35B74975"/>
    <w:rsid w:val="35E52AF5"/>
    <w:rsid w:val="36405F7D"/>
    <w:rsid w:val="36591B2F"/>
    <w:rsid w:val="366A2FFA"/>
    <w:rsid w:val="3676199F"/>
    <w:rsid w:val="36A96651"/>
    <w:rsid w:val="36C42F0E"/>
    <w:rsid w:val="36D04C5A"/>
    <w:rsid w:val="36D22A64"/>
    <w:rsid w:val="36DC2DE1"/>
    <w:rsid w:val="3711707E"/>
    <w:rsid w:val="37647A49"/>
    <w:rsid w:val="379C71E3"/>
    <w:rsid w:val="37E312B6"/>
    <w:rsid w:val="37E56DDC"/>
    <w:rsid w:val="37F214F9"/>
    <w:rsid w:val="37FA5416"/>
    <w:rsid w:val="37FFE6AC"/>
    <w:rsid w:val="38691F82"/>
    <w:rsid w:val="38B13162"/>
    <w:rsid w:val="391D15F5"/>
    <w:rsid w:val="398475C6"/>
    <w:rsid w:val="3A410CD0"/>
    <w:rsid w:val="3A5F655A"/>
    <w:rsid w:val="3A7B57D6"/>
    <w:rsid w:val="3AAE7AE6"/>
    <w:rsid w:val="3AB72586"/>
    <w:rsid w:val="3B153CF8"/>
    <w:rsid w:val="3B3616FD"/>
    <w:rsid w:val="3B6E533A"/>
    <w:rsid w:val="3B7D32FB"/>
    <w:rsid w:val="3B9D352A"/>
    <w:rsid w:val="3BC4654E"/>
    <w:rsid w:val="3BFC2946"/>
    <w:rsid w:val="3C137C90"/>
    <w:rsid w:val="3C1C4D96"/>
    <w:rsid w:val="3C380806"/>
    <w:rsid w:val="3C5677D7"/>
    <w:rsid w:val="3C577B7C"/>
    <w:rsid w:val="3C6D183D"/>
    <w:rsid w:val="3CBE61C5"/>
    <w:rsid w:val="3CD15B81"/>
    <w:rsid w:val="3CE112D9"/>
    <w:rsid w:val="3D7959A4"/>
    <w:rsid w:val="3D8E3A72"/>
    <w:rsid w:val="3D98189B"/>
    <w:rsid w:val="3DBF1E7D"/>
    <w:rsid w:val="3DC120E1"/>
    <w:rsid w:val="3DDC1999"/>
    <w:rsid w:val="3DDEB4E4"/>
    <w:rsid w:val="3E6B3412"/>
    <w:rsid w:val="3E976956"/>
    <w:rsid w:val="3EC6723B"/>
    <w:rsid w:val="3ED92ACB"/>
    <w:rsid w:val="3EE85404"/>
    <w:rsid w:val="3EF721D5"/>
    <w:rsid w:val="3EFA354B"/>
    <w:rsid w:val="3F0B4E92"/>
    <w:rsid w:val="3F56236D"/>
    <w:rsid w:val="3F7A2D95"/>
    <w:rsid w:val="3F8841F5"/>
    <w:rsid w:val="3FBB2D68"/>
    <w:rsid w:val="3FCC0881"/>
    <w:rsid w:val="3FE78442"/>
    <w:rsid w:val="408D71EA"/>
    <w:rsid w:val="409F3A59"/>
    <w:rsid w:val="40AD17DF"/>
    <w:rsid w:val="40EB4D37"/>
    <w:rsid w:val="40F25411"/>
    <w:rsid w:val="411A6F63"/>
    <w:rsid w:val="419D4069"/>
    <w:rsid w:val="41A97E1E"/>
    <w:rsid w:val="41AA4BF2"/>
    <w:rsid w:val="41FF0A9A"/>
    <w:rsid w:val="42294664"/>
    <w:rsid w:val="42462B6D"/>
    <w:rsid w:val="428B4A24"/>
    <w:rsid w:val="429D17C3"/>
    <w:rsid w:val="42B40F7C"/>
    <w:rsid w:val="42B7058F"/>
    <w:rsid w:val="42F779C3"/>
    <w:rsid w:val="430B0B78"/>
    <w:rsid w:val="430F2450"/>
    <w:rsid w:val="43291B47"/>
    <w:rsid w:val="43344A35"/>
    <w:rsid w:val="437D25BE"/>
    <w:rsid w:val="438C45B0"/>
    <w:rsid w:val="43AB0A6B"/>
    <w:rsid w:val="43AF120B"/>
    <w:rsid w:val="43C81360"/>
    <w:rsid w:val="43F17F21"/>
    <w:rsid w:val="441A4EF4"/>
    <w:rsid w:val="444958B2"/>
    <w:rsid w:val="448B0D0B"/>
    <w:rsid w:val="448D4A83"/>
    <w:rsid w:val="44901E7E"/>
    <w:rsid w:val="44E64193"/>
    <w:rsid w:val="451F3201"/>
    <w:rsid w:val="45394A3E"/>
    <w:rsid w:val="456450B8"/>
    <w:rsid w:val="458012DF"/>
    <w:rsid w:val="45856265"/>
    <w:rsid w:val="45E060FE"/>
    <w:rsid w:val="45FA6FCC"/>
    <w:rsid w:val="45FF375F"/>
    <w:rsid w:val="46001216"/>
    <w:rsid w:val="46396545"/>
    <w:rsid w:val="46603AD2"/>
    <w:rsid w:val="46833C2E"/>
    <w:rsid w:val="468E6891"/>
    <w:rsid w:val="46AB11F1"/>
    <w:rsid w:val="46C155FF"/>
    <w:rsid w:val="46CE0318"/>
    <w:rsid w:val="46DB773D"/>
    <w:rsid w:val="46F506BE"/>
    <w:rsid w:val="470D4DDB"/>
    <w:rsid w:val="4743722B"/>
    <w:rsid w:val="47476ADD"/>
    <w:rsid w:val="475C073D"/>
    <w:rsid w:val="47680E90"/>
    <w:rsid w:val="476A10AC"/>
    <w:rsid w:val="47B6FF77"/>
    <w:rsid w:val="47D93B3C"/>
    <w:rsid w:val="48304052"/>
    <w:rsid w:val="483616A5"/>
    <w:rsid w:val="485458B8"/>
    <w:rsid w:val="485C6F76"/>
    <w:rsid w:val="486453C9"/>
    <w:rsid w:val="486A6E89"/>
    <w:rsid w:val="488F68F0"/>
    <w:rsid w:val="4891774B"/>
    <w:rsid w:val="48A50E28"/>
    <w:rsid w:val="48F65CAE"/>
    <w:rsid w:val="490966A2"/>
    <w:rsid w:val="49234F3A"/>
    <w:rsid w:val="494E0559"/>
    <w:rsid w:val="49935F6C"/>
    <w:rsid w:val="49C600F0"/>
    <w:rsid w:val="49EC224C"/>
    <w:rsid w:val="4A1365B8"/>
    <w:rsid w:val="4A722AB5"/>
    <w:rsid w:val="4AF2550B"/>
    <w:rsid w:val="4B1878F5"/>
    <w:rsid w:val="4B4C383A"/>
    <w:rsid w:val="4B670273"/>
    <w:rsid w:val="4B746C0F"/>
    <w:rsid w:val="4B95246F"/>
    <w:rsid w:val="4BC6087B"/>
    <w:rsid w:val="4C2966FC"/>
    <w:rsid w:val="4C51283A"/>
    <w:rsid w:val="4C581661"/>
    <w:rsid w:val="4C5E6D05"/>
    <w:rsid w:val="4C7F417C"/>
    <w:rsid w:val="4C875185"/>
    <w:rsid w:val="4C8F03ED"/>
    <w:rsid w:val="4CC3201B"/>
    <w:rsid w:val="4D4128AF"/>
    <w:rsid w:val="4D4E28D6"/>
    <w:rsid w:val="4D826A23"/>
    <w:rsid w:val="4D942C25"/>
    <w:rsid w:val="4DA91E14"/>
    <w:rsid w:val="4DA9F889"/>
    <w:rsid w:val="4E0B430A"/>
    <w:rsid w:val="4E20644E"/>
    <w:rsid w:val="4E740A62"/>
    <w:rsid w:val="4E875F10"/>
    <w:rsid w:val="4E876790"/>
    <w:rsid w:val="4EB533A9"/>
    <w:rsid w:val="4ED92673"/>
    <w:rsid w:val="4EFF657E"/>
    <w:rsid w:val="4F0C71D9"/>
    <w:rsid w:val="4F140E7E"/>
    <w:rsid w:val="4F2B26E0"/>
    <w:rsid w:val="4F604B42"/>
    <w:rsid w:val="4F610F13"/>
    <w:rsid w:val="4F716D4F"/>
    <w:rsid w:val="4F7640F5"/>
    <w:rsid w:val="4F8B2F41"/>
    <w:rsid w:val="4F93361D"/>
    <w:rsid w:val="4F9A44F8"/>
    <w:rsid w:val="4F9E0374"/>
    <w:rsid w:val="4F9E7FF4"/>
    <w:rsid w:val="4FA90414"/>
    <w:rsid w:val="4FB93147"/>
    <w:rsid w:val="4FC305DC"/>
    <w:rsid w:val="4FCD4A8E"/>
    <w:rsid w:val="4FFA9109"/>
    <w:rsid w:val="503462A6"/>
    <w:rsid w:val="507871BF"/>
    <w:rsid w:val="50BE7671"/>
    <w:rsid w:val="50D937EF"/>
    <w:rsid w:val="51142088"/>
    <w:rsid w:val="511E6A63"/>
    <w:rsid w:val="51313675"/>
    <w:rsid w:val="51501312"/>
    <w:rsid w:val="516079D1"/>
    <w:rsid w:val="516B7B44"/>
    <w:rsid w:val="51721D7C"/>
    <w:rsid w:val="52081BED"/>
    <w:rsid w:val="52131FB2"/>
    <w:rsid w:val="523D285F"/>
    <w:rsid w:val="524644C3"/>
    <w:rsid w:val="527A5F1B"/>
    <w:rsid w:val="528172AA"/>
    <w:rsid w:val="52927709"/>
    <w:rsid w:val="52990A97"/>
    <w:rsid w:val="529F7C3F"/>
    <w:rsid w:val="52A1781D"/>
    <w:rsid w:val="52A766E1"/>
    <w:rsid w:val="52CC7D2D"/>
    <w:rsid w:val="52E21FCD"/>
    <w:rsid w:val="535C6BD8"/>
    <w:rsid w:val="53852DC9"/>
    <w:rsid w:val="53876B42"/>
    <w:rsid w:val="53DF2D8E"/>
    <w:rsid w:val="53F9269E"/>
    <w:rsid w:val="53FF2B7C"/>
    <w:rsid w:val="54065CB8"/>
    <w:rsid w:val="54370568"/>
    <w:rsid w:val="544F44F7"/>
    <w:rsid w:val="5461435C"/>
    <w:rsid w:val="547B6AD0"/>
    <w:rsid w:val="549C3AA8"/>
    <w:rsid w:val="54BD29C9"/>
    <w:rsid w:val="54E57FC4"/>
    <w:rsid w:val="54F77CF7"/>
    <w:rsid w:val="551C1A85"/>
    <w:rsid w:val="555313D1"/>
    <w:rsid w:val="55684751"/>
    <w:rsid w:val="557B1097"/>
    <w:rsid w:val="5587107B"/>
    <w:rsid w:val="55AB5C7A"/>
    <w:rsid w:val="55B27534"/>
    <w:rsid w:val="55C7591B"/>
    <w:rsid w:val="55CE0A58"/>
    <w:rsid w:val="55CE3334"/>
    <w:rsid w:val="55D4285A"/>
    <w:rsid w:val="5605091D"/>
    <w:rsid w:val="5616066A"/>
    <w:rsid w:val="562211C9"/>
    <w:rsid w:val="564D6793"/>
    <w:rsid w:val="56A1616C"/>
    <w:rsid w:val="56C35CCA"/>
    <w:rsid w:val="56CA3161"/>
    <w:rsid w:val="56D45B12"/>
    <w:rsid w:val="56EE60A5"/>
    <w:rsid w:val="56FC793A"/>
    <w:rsid w:val="57FA1966"/>
    <w:rsid w:val="583D0E0B"/>
    <w:rsid w:val="585D494D"/>
    <w:rsid w:val="586B6A32"/>
    <w:rsid w:val="58B935B5"/>
    <w:rsid w:val="58CB5722"/>
    <w:rsid w:val="58D85297"/>
    <w:rsid w:val="58EC5B9C"/>
    <w:rsid w:val="58EE5808"/>
    <w:rsid w:val="590757B1"/>
    <w:rsid w:val="59581206"/>
    <w:rsid w:val="59622E18"/>
    <w:rsid w:val="59BD32BD"/>
    <w:rsid w:val="59DC36CB"/>
    <w:rsid w:val="59E5440B"/>
    <w:rsid w:val="5A6C2FE9"/>
    <w:rsid w:val="5A8838A1"/>
    <w:rsid w:val="5AA82EA1"/>
    <w:rsid w:val="5AC91B3E"/>
    <w:rsid w:val="5AD809D1"/>
    <w:rsid w:val="5ADF7B69"/>
    <w:rsid w:val="5AE34010"/>
    <w:rsid w:val="5AE57128"/>
    <w:rsid w:val="5AFAF733"/>
    <w:rsid w:val="5B2F6A01"/>
    <w:rsid w:val="5B865931"/>
    <w:rsid w:val="5BAF4A67"/>
    <w:rsid w:val="5BDF731D"/>
    <w:rsid w:val="5C421DD1"/>
    <w:rsid w:val="5C4E58CF"/>
    <w:rsid w:val="5C78796F"/>
    <w:rsid w:val="5CFD2954"/>
    <w:rsid w:val="5D351CF6"/>
    <w:rsid w:val="5D4F6922"/>
    <w:rsid w:val="5D6109F5"/>
    <w:rsid w:val="5D681792"/>
    <w:rsid w:val="5D9C027E"/>
    <w:rsid w:val="5DB03139"/>
    <w:rsid w:val="5DBFE2E4"/>
    <w:rsid w:val="5DDF7A87"/>
    <w:rsid w:val="5DE278B7"/>
    <w:rsid w:val="5E40270F"/>
    <w:rsid w:val="5E772EC1"/>
    <w:rsid w:val="5E82108D"/>
    <w:rsid w:val="5E824AD5"/>
    <w:rsid w:val="5E8E6FD6"/>
    <w:rsid w:val="5E9C71C5"/>
    <w:rsid w:val="5E9E3287"/>
    <w:rsid w:val="5ED846F5"/>
    <w:rsid w:val="5F034C6F"/>
    <w:rsid w:val="5F622211"/>
    <w:rsid w:val="5F6847A5"/>
    <w:rsid w:val="5F8F28CB"/>
    <w:rsid w:val="5FB44B2E"/>
    <w:rsid w:val="5FFD49A1"/>
    <w:rsid w:val="6019388E"/>
    <w:rsid w:val="601E16EE"/>
    <w:rsid w:val="60512F91"/>
    <w:rsid w:val="60667D3B"/>
    <w:rsid w:val="60864B16"/>
    <w:rsid w:val="608E2818"/>
    <w:rsid w:val="60D47FE9"/>
    <w:rsid w:val="613F7EC8"/>
    <w:rsid w:val="61652C49"/>
    <w:rsid w:val="617C580C"/>
    <w:rsid w:val="6192071F"/>
    <w:rsid w:val="61CB6793"/>
    <w:rsid w:val="61D45648"/>
    <w:rsid w:val="626F614B"/>
    <w:rsid w:val="62BC011C"/>
    <w:rsid w:val="62DB2A06"/>
    <w:rsid w:val="62DD0CC0"/>
    <w:rsid w:val="631D6B7A"/>
    <w:rsid w:val="632223E3"/>
    <w:rsid w:val="63527CBF"/>
    <w:rsid w:val="63604CB9"/>
    <w:rsid w:val="63B868A3"/>
    <w:rsid w:val="63D7141F"/>
    <w:rsid w:val="64040C59"/>
    <w:rsid w:val="64306D81"/>
    <w:rsid w:val="64524F4A"/>
    <w:rsid w:val="64564049"/>
    <w:rsid w:val="6479B950"/>
    <w:rsid w:val="6481138B"/>
    <w:rsid w:val="65165F77"/>
    <w:rsid w:val="655908A2"/>
    <w:rsid w:val="65666DB9"/>
    <w:rsid w:val="65723276"/>
    <w:rsid w:val="659438DB"/>
    <w:rsid w:val="65CF7132"/>
    <w:rsid w:val="65D9039F"/>
    <w:rsid w:val="668FFD52"/>
    <w:rsid w:val="66AB26EF"/>
    <w:rsid w:val="66BC351E"/>
    <w:rsid w:val="67206C39"/>
    <w:rsid w:val="673D5A3D"/>
    <w:rsid w:val="678533FB"/>
    <w:rsid w:val="67A51172"/>
    <w:rsid w:val="67B101D9"/>
    <w:rsid w:val="67CE1AEA"/>
    <w:rsid w:val="6819678B"/>
    <w:rsid w:val="685E3EBD"/>
    <w:rsid w:val="68660FC4"/>
    <w:rsid w:val="68C36416"/>
    <w:rsid w:val="68EB3277"/>
    <w:rsid w:val="68EB6A0B"/>
    <w:rsid w:val="68EF0FB9"/>
    <w:rsid w:val="6907627A"/>
    <w:rsid w:val="690E575F"/>
    <w:rsid w:val="69180D06"/>
    <w:rsid w:val="691C1682"/>
    <w:rsid w:val="692A7707"/>
    <w:rsid w:val="692C0A4C"/>
    <w:rsid w:val="6933534A"/>
    <w:rsid w:val="69336C29"/>
    <w:rsid w:val="69375D48"/>
    <w:rsid w:val="69692B1A"/>
    <w:rsid w:val="696A0640"/>
    <w:rsid w:val="69766FE4"/>
    <w:rsid w:val="698649C0"/>
    <w:rsid w:val="69951B60"/>
    <w:rsid w:val="69D77881"/>
    <w:rsid w:val="69FB573C"/>
    <w:rsid w:val="6A372C18"/>
    <w:rsid w:val="6A5D01A4"/>
    <w:rsid w:val="6AB04778"/>
    <w:rsid w:val="6AD2649C"/>
    <w:rsid w:val="6B5C045C"/>
    <w:rsid w:val="6B6F3E15"/>
    <w:rsid w:val="6B7036D0"/>
    <w:rsid w:val="6B722607"/>
    <w:rsid w:val="6B841E8D"/>
    <w:rsid w:val="6BB64010"/>
    <w:rsid w:val="6BBF2EC5"/>
    <w:rsid w:val="6BFB5EC7"/>
    <w:rsid w:val="6C066D46"/>
    <w:rsid w:val="6C07661A"/>
    <w:rsid w:val="6C3A69EF"/>
    <w:rsid w:val="6C714041"/>
    <w:rsid w:val="6C850CCB"/>
    <w:rsid w:val="6C89702F"/>
    <w:rsid w:val="6C9A748E"/>
    <w:rsid w:val="6CB31D0E"/>
    <w:rsid w:val="6D3A6E8E"/>
    <w:rsid w:val="6D8F4B19"/>
    <w:rsid w:val="6DAA3701"/>
    <w:rsid w:val="6DB17E51"/>
    <w:rsid w:val="6DBA3B2E"/>
    <w:rsid w:val="6DFD14DA"/>
    <w:rsid w:val="6E0E3C8F"/>
    <w:rsid w:val="6E2A0D69"/>
    <w:rsid w:val="6E4C2A0A"/>
    <w:rsid w:val="6E4E0530"/>
    <w:rsid w:val="6EA97E5C"/>
    <w:rsid w:val="6ED651FE"/>
    <w:rsid w:val="6F467505"/>
    <w:rsid w:val="6F5150BD"/>
    <w:rsid w:val="702F68EB"/>
    <w:rsid w:val="70453800"/>
    <w:rsid w:val="70AD748E"/>
    <w:rsid w:val="70BB1F0C"/>
    <w:rsid w:val="70DB235B"/>
    <w:rsid w:val="71092E34"/>
    <w:rsid w:val="711E68DF"/>
    <w:rsid w:val="714874B8"/>
    <w:rsid w:val="71897AFB"/>
    <w:rsid w:val="728A3B01"/>
    <w:rsid w:val="72AE2727"/>
    <w:rsid w:val="72C72CA2"/>
    <w:rsid w:val="7309650C"/>
    <w:rsid w:val="731627D3"/>
    <w:rsid w:val="733A7699"/>
    <w:rsid w:val="737A5923"/>
    <w:rsid w:val="737F118B"/>
    <w:rsid w:val="73BC418E"/>
    <w:rsid w:val="73CA207F"/>
    <w:rsid w:val="73F70C5C"/>
    <w:rsid w:val="740D083A"/>
    <w:rsid w:val="741E10D9"/>
    <w:rsid w:val="744877CF"/>
    <w:rsid w:val="745213E3"/>
    <w:rsid w:val="748A31AB"/>
    <w:rsid w:val="74A72748"/>
    <w:rsid w:val="74AB2123"/>
    <w:rsid w:val="74CE23CA"/>
    <w:rsid w:val="74DC4AE7"/>
    <w:rsid w:val="751853F4"/>
    <w:rsid w:val="753955FE"/>
    <w:rsid w:val="756923C9"/>
    <w:rsid w:val="75705230"/>
    <w:rsid w:val="759E1D9D"/>
    <w:rsid w:val="759E7FEF"/>
    <w:rsid w:val="75FE7BC6"/>
    <w:rsid w:val="76171B4F"/>
    <w:rsid w:val="767F0AB9"/>
    <w:rsid w:val="76FF717E"/>
    <w:rsid w:val="77035C3C"/>
    <w:rsid w:val="77313CD6"/>
    <w:rsid w:val="77334767"/>
    <w:rsid w:val="77790089"/>
    <w:rsid w:val="77D43766"/>
    <w:rsid w:val="77FA1D1D"/>
    <w:rsid w:val="781F1BE1"/>
    <w:rsid w:val="783E3DBF"/>
    <w:rsid w:val="7847671C"/>
    <w:rsid w:val="78873B38"/>
    <w:rsid w:val="78A376CA"/>
    <w:rsid w:val="78AB4366"/>
    <w:rsid w:val="78C23FF4"/>
    <w:rsid w:val="793A221E"/>
    <w:rsid w:val="79F47917"/>
    <w:rsid w:val="79F521A7"/>
    <w:rsid w:val="79F71A7C"/>
    <w:rsid w:val="79FF4DD4"/>
    <w:rsid w:val="7A6705D1"/>
    <w:rsid w:val="7AAC0AB8"/>
    <w:rsid w:val="7AAFEAD9"/>
    <w:rsid w:val="7ABB208A"/>
    <w:rsid w:val="7AD65B35"/>
    <w:rsid w:val="7AEC35AA"/>
    <w:rsid w:val="7AEF8F0A"/>
    <w:rsid w:val="7B164E20"/>
    <w:rsid w:val="7B252618"/>
    <w:rsid w:val="7B5B24DE"/>
    <w:rsid w:val="7B5F5B2A"/>
    <w:rsid w:val="7B7729FD"/>
    <w:rsid w:val="7BA6A1BC"/>
    <w:rsid w:val="7BA94FF8"/>
    <w:rsid w:val="7BDA78A7"/>
    <w:rsid w:val="7BDD5915"/>
    <w:rsid w:val="7C077AC2"/>
    <w:rsid w:val="7C375D2D"/>
    <w:rsid w:val="7C496298"/>
    <w:rsid w:val="7C5633CB"/>
    <w:rsid w:val="7C727ADF"/>
    <w:rsid w:val="7C8141C6"/>
    <w:rsid w:val="7CC14D89"/>
    <w:rsid w:val="7CC53F58"/>
    <w:rsid w:val="7D083FA0"/>
    <w:rsid w:val="7D0C3A90"/>
    <w:rsid w:val="7D567401"/>
    <w:rsid w:val="7D627B54"/>
    <w:rsid w:val="7D6903CE"/>
    <w:rsid w:val="7D7A4E9D"/>
    <w:rsid w:val="7D822BDD"/>
    <w:rsid w:val="7DBD489D"/>
    <w:rsid w:val="7DE60D6B"/>
    <w:rsid w:val="7DEF6F7A"/>
    <w:rsid w:val="7DF6029C"/>
    <w:rsid w:val="7DFA0FA7"/>
    <w:rsid w:val="7E097FCF"/>
    <w:rsid w:val="7E1A2770"/>
    <w:rsid w:val="7E1D19FF"/>
    <w:rsid w:val="7EB77A2B"/>
    <w:rsid w:val="7ECF5C04"/>
    <w:rsid w:val="7ED76320"/>
    <w:rsid w:val="7EDBB46D"/>
    <w:rsid w:val="7EEF7932"/>
    <w:rsid w:val="7EF96031"/>
    <w:rsid w:val="7F17C953"/>
    <w:rsid w:val="7F385010"/>
    <w:rsid w:val="7F47478E"/>
    <w:rsid w:val="7F547970"/>
    <w:rsid w:val="7F7F3ECC"/>
    <w:rsid w:val="7F8A5218"/>
    <w:rsid w:val="7FB44005"/>
    <w:rsid w:val="7FBA5628"/>
    <w:rsid w:val="7FC1463E"/>
    <w:rsid w:val="7FE42AA2"/>
    <w:rsid w:val="7FF1D104"/>
    <w:rsid w:val="7FFF02C2"/>
    <w:rsid w:val="7FFF7290"/>
    <w:rsid w:val="89FFE25E"/>
    <w:rsid w:val="8E77A75C"/>
    <w:rsid w:val="8FAEDAF7"/>
    <w:rsid w:val="9C6695D8"/>
    <w:rsid w:val="9F1DF5B6"/>
    <w:rsid w:val="9FC7D7A0"/>
    <w:rsid w:val="9FEBD47A"/>
    <w:rsid w:val="9FFB1BB0"/>
    <w:rsid w:val="B3FA7BD4"/>
    <w:rsid w:val="BBDC010C"/>
    <w:rsid w:val="BD6FC866"/>
    <w:rsid w:val="C5EEC2B8"/>
    <w:rsid w:val="CD769B72"/>
    <w:rsid w:val="CFF75846"/>
    <w:rsid w:val="D02E98C1"/>
    <w:rsid w:val="D39F11C1"/>
    <w:rsid w:val="D75B3E5F"/>
    <w:rsid w:val="D9FBD706"/>
    <w:rsid w:val="DDBA2C75"/>
    <w:rsid w:val="DDD7B5A2"/>
    <w:rsid w:val="DEF0A3FE"/>
    <w:rsid w:val="DF79B985"/>
    <w:rsid w:val="DFE907B8"/>
    <w:rsid w:val="E6B5B3F0"/>
    <w:rsid w:val="E6DD95A2"/>
    <w:rsid w:val="EBD94E16"/>
    <w:rsid w:val="EBFB2486"/>
    <w:rsid w:val="EBFF9917"/>
    <w:rsid w:val="EF5DC7F0"/>
    <w:rsid w:val="F7BF9ABD"/>
    <w:rsid w:val="F99E4C4B"/>
    <w:rsid w:val="FC74C654"/>
    <w:rsid w:val="FC9444D8"/>
    <w:rsid w:val="FD5F2E8F"/>
    <w:rsid w:val="FDEFA17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iPriority="9" w:semiHidden="0" w:name="heading 4"/>
    <w:lsdException w:qFormat="1" w:unhideWhenUsed="0" w:uiPriority="0" w:semiHidden="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bCs/>
      <w:kern w:val="2"/>
      <w:sz w:val="28"/>
      <w:szCs w:val="24"/>
      <w:lang w:val="en-US" w:eastAsia="zh-CN" w:bidi="ar-SA"/>
    </w:rPr>
  </w:style>
  <w:style w:type="paragraph" w:styleId="2">
    <w:name w:val="heading 1"/>
    <w:basedOn w:val="1"/>
    <w:next w:val="1"/>
    <w:link w:val="31"/>
    <w:qFormat/>
    <w:uiPriority w:val="0"/>
    <w:pPr>
      <w:keepNext/>
      <w:keepLines/>
      <w:spacing w:line="360" w:lineRule="auto"/>
      <w:jc w:val="center"/>
      <w:outlineLvl w:val="0"/>
    </w:pPr>
    <w:rPr>
      <w:b/>
      <w:kern w:val="44"/>
      <w:sz w:val="36"/>
      <w:szCs w:val="44"/>
    </w:rPr>
  </w:style>
  <w:style w:type="paragraph" w:styleId="3">
    <w:name w:val="heading 2"/>
    <w:basedOn w:val="1"/>
    <w:next w:val="1"/>
    <w:qFormat/>
    <w:uiPriority w:val="0"/>
    <w:pPr>
      <w:widowControl/>
      <w:spacing w:before="50" w:beforeLines="50"/>
      <w:jc w:val="left"/>
      <w:outlineLvl w:val="1"/>
    </w:pPr>
    <w:rPr>
      <w:rFonts w:hAnsi="宋体" w:cs="宋体"/>
      <w:b/>
      <w:kern w:val="0"/>
      <w:sz w:val="36"/>
      <w:szCs w:val="36"/>
    </w:rPr>
  </w:style>
  <w:style w:type="paragraph" w:styleId="4">
    <w:name w:val="heading 3"/>
    <w:basedOn w:val="1"/>
    <w:next w:val="1"/>
    <w:qFormat/>
    <w:uiPriority w:val="1"/>
    <w:pPr>
      <w:outlineLvl w:val="2"/>
    </w:pPr>
    <w:rPr>
      <w:rFonts w:ascii="仿宋" w:hAnsi="仿宋" w:eastAsia="仿宋"/>
      <w:b/>
      <w:sz w:val="32"/>
      <w:szCs w:val="32"/>
    </w:rPr>
  </w:style>
  <w:style w:type="paragraph" w:styleId="5">
    <w:name w:val="heading 4"/>
    <w:basedOn w:val="1"/>
    <w:next w:val="6"/>
    <w:unhideWhenUsed/>
    <w:qFormat/>
    <w:uiPriority w:val="9"/>
    <w:pPr>
      <w:keepNext/>
      <w:keepLines/>
      <w:numPr>
        <w:ilvl w:val="3"/>
        <w:numId w:val="1"/>
      </w:numPr>
      <w:spacing w:line="377" w:lineRule="auto"/>
      <w:outlineLvl w:val="3"/>
    </w:pPr>
    <w:rPr>
      <w:rFonts w:asciiTheme="majorHAnsi" w:hAnsiTheme="majorHAnsi" w:cstheme="majorBidi"/>
      <w:b/>
      <w:szCs w:val="28"/>
    </w:rPr>
  </w:style>
  <w:style w:type="paragraph" w:styleId="7">
    <w:name w:val="heading 5"/>
    <w:basedOn w:val="1"/>
    <w:next w:val="1"/>
    <w:qFormat/>
    <w:uiPriority w:val="0"/>
    <w:pPr>
      <w:keepNext/>
      <w:keepLines/>
      <w:numPr>
        <w:ilvl w:val="2"/>
        <w:numId w:val="2"/>
      </w:numPr>
      <w:tabs>
        <w:tab w:val="left" w:pos="1260"/>
      </w:tabs>
      <w:spacing w:before="156" w:after="156" w:line="377" w:lineRule="auto"/>
      <w:outlineLvl w:val="4"/>
    </w:pPr>
    <w:rPr>
      <w:rFonts w:hAnsi="宋体"/>
      <w:b/>
      <w:color w:val="000000"/>
      <w:szCs w:val="21"/>
      <w:lang w:val="zh-CN"/>
    </w:rPr>
  </w:style>
  <w:style w:type="paragraph" w:styleId="8">
    <w:name w:val="heading 6"/>
    <w:basedOn w:val="1"/>
    <w:next w:val="1"/>
    <w:unhideWhenUsed/>
    <w:qFormat/>
    <w:uiPriority w:val="9"/>
    <w:pPr>
      <w:keepNext/>
      <w:keepLines/>
      <w:numPr>
        <w:ilvl w:val="3"/>
        <w:numId w:val="2"/>
      </w:numPr>
      <w:spacing w:before="240" w:after="64" w:line="320" w:lineRule="auto"/>
      <w:outlineLvl w:val="5"/>
    </w:pPr>
    <w:rPr>
      <w:rFonts w:ascii="等线 Light" w:hAnsi="等线 Light" w:eastAsia="等线 Light"/>
      <w:b/>
      <w:sz w:val="24"/>
    </w:rPr>
  </w:style>
  <w:style w:type="character" w:default="1" w:styleId="27">
    <w:name w:val="Default Paragraph Font"/>
    <w:semiHidden/>
    <w:unhideWhenUsed/>
    <w:qFormat/>
    <w:uiPriority w:val="1"/>
  </w:style>
  <w:style w:type="table" w:default="1" w:styleId="2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6">
    <w:name w:val="方案正文"/>
    <w:basedOn w:val="1"/>
    <w:qFormat/>
    <w:uiPriority w:val="0"/>
    <w:pPr>
      <w:spacing w:line="360" w:lineRule="auto"/>
      <w:ind w:firstLine="200" w:firstLineChars="200"/>
    </w:pPr>
    <w:rPr>
      <w:sz w:val="24"/>
    </w:rPr>
  </w:style>
  <w:style w:type="paragraph" w:styleId="9">
    <w:name w:val="Normal Indent"/>
    <w:basedOn w:val="1"/>
    <w:qFormat/>
    <w:uiPriority w:val="0"/>
    <w:pPr>
      <w:autoSpaceDE w:val="0"/>
      <w:autoSpaceDN w:val="0"/>
      <w:ind w:left="181" w:firstLine="420"/>
    </w:pPr>
    <w:rPr>
      <w:szCs w:val="20"/>
    </w:rPr>
  </w:style>
  <w:style w:type="paragraph" w:styleId="10">
    <w:name w:val="caption"/>
    <w:basedOn w:val="1"/>
    <w:next w:val="1"/>
    <w:qFormat/>
    <w:uiPriority w:val="0"/>
    <w:pPr>
      <w:spacing w:before="152" w:after="160"/>
    </w:pPr>
    <w:rPr>
      <w:rFonts w:ascii="Arial" w:hAnsi="Arial" w:eastAsia="黑体" w:cs="Arial"/>
      <w:bCs w:val="0"/>
      <w:sz w:val="20"/>
      <w:szCs w:val="20"/>
    </w:rPr>
  </w:style>
  <w:style w:type="paragraph" w:styleId="11">
    <w:name w:val="annotation text"/>
    <w:basedOn w:val="1"/>
    <w:qFormat/>
    <w:uiPriority w:val="0"/>
    <w:pPr>
      <w:jc w:val="left"/>
    </w:pPr>
  </w:style>
  <w:style w:type="paragraph" w:styleId="12">
    <w:name w:val="Salutation"/>
    <w:basedOn w:val="1"/>
    <w:next w:val="1"/>
    <w:qFormat/>
    <w:uiPriority w:val="0"/>
    <w:rPr>
      <w:rFonts w:ascii="Calibri" w:hAnsi="Calibri"/>
      <w:szCs w:val="20"/>
    </w:rPr>
  </w:style>
  <w:style w:type="paragraph" w:styleId="13">
    <w:name w:val="Body Text"/>
    <w:basedOn w:val="1"/>
    <w:qFormat/>
    <w:uiPriority w:val="0"/>
    <w:rPr>
      <w:rFonts w:hAnsi="宋体"/>
      <w:sz w:val="32"/>
      <w:szCs w:val="20"/>
    </w:rPr>
  </w:style>
  <w:style w:type="paragraph" w:styleId="14">
    <w:name w:val="Body Text Indent"/>
    <w:basedOn w:val="1"/>
    <w:next w:val="15"/>
    <w:qFormat/>
    <w:uiPriority w:val="0"/>
    <w:pPr>
      <w:spacing w:line="480" w:lineRule="exact"/>
      <w:ind w:firstLine="538" w:firstLineChars="192"/>
      <w:jc w:val="left"/>
    </w:pPr>
    <w:rPr>
      <w:bCs w:val="0"/>
    </w:rPr>
  </w:style>
  <w:style w:type="paragraph" w:styleId="15">
    <w:name w:val="envelope return"/>
    <w:basedOn w:val="1"/>
    <w:qFormat/>
    <w:uiPriority w:val="0"/>
    <w:pPr>
      <w:adjustRightInd w:val="0"/>
      <w:snapToGrid w:val="0"/>
      <w:spacing w:after="200"/>
    </w:pPr>
    <w:rPr>
      <w:rFonts w:ascii="Arial" w:hAnsi="Arial" w:eastAsia="微软雅黑"/>
      <w:kern w:val="0"/>
      <w:sz w:val="22"/>
    </w:rPr>
  </w:style>
  <w:style w:type="paragraph" w:styleId="16">
    <w:name w:val="Body Text Indent 2"/>
    <w:basedOn w:val="1"/>
    <w:qFormat/>
    <w:uiPriority w:val="0"/>
    <w:pPr>
      <w:spacing w:after="120" w:line="480" w:lineRule="auto"/>
      <w:ind w:left="420" w:leftChars="200"/>
    </w:pPr>
    <w:rPr>
      <w:kern w:val="0"/>
      <w:sz w:val="20"/>
    </w:rPr>
  </w:style>
  <w:style w:type="paragraph" w:styleId="17">
    <w:name w:val="footer"/>
    <w:basedOn w:val="1"/>
    <w:unhideWhenUsed/>
    <w:qFormat/>
    <w:uiPriority w:val="99"/>
    <w:pPr>
      <w:tabs>
        <w:tab w:val="center" w:pos="4153"/>
        <w:tab w:val="right" w:pos="8306"/>
      </w:tabs>
      <w:snapToGrid w:val="0"/>
      <w:jc w:val="left"/>
    </w:pPr>
    <w:rPr>
      <w:sz w:val="18"/>
      <w:szCs w:val="18"/>
    </w:rPr>
  </w:style>
  <w:style w:type="paragraph" w:styleId="1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style>
  <w:style w:type="paragraph" w:styleId="20">
    <w:name w:val="toc 2"/>
    <w:basedOn w:val="1"/>
    <w:next w:val="1"/>
    <w:qFormat/>
    <w:uiPriority w:val="0"/>
    <w:pPr>
      <w:ind w:left="420" w:leftChars="200"/>
    </w:pPr>
  </w:style>
  <w:style w:type="paragraph" w:styleId="21">
    <w:name w:val="Body Text 2"/>
    <w:basedOn w:val="1"/>
    <w:qFormat/>
    <w:uiPriority w:val="0"/>
    <w:pPr>
      <w:spacing w:after="120" w:line="480" w:lineRule="auto"/>
    </w:pPr>
  </w:style>
  <w:style w:type="paragraph" w:styleId="22">
    <w:name w:val="Normal (Web)"/>
    <w:basedOn w:val="1"/>
    <w:qFormat/>
    <w:uiPriority w:val="99"/>
    <w:pPr>
      <w:spacing w:before="100" w:beforeAutospacing="1" w:after="100" w:afterAutospacing="1"/>
    </w:pPr>
    <w:rPr>
      <w:kern w:val="0"/>
    </w:rPr>
  </w:style>
  <w:style w:type="paragraph" w:styleId="23">
    <w:name w:val="Title"/>
    <w:basedOn w:val="1"/>
    <w:next w:val="1"/>
    <w:qFormat/>
    <w:uiPriority w:val="99"/>
    <w:pPr>
      <w:spacing w:before="240" w:after="60"/>
      <w:jc w:val="left"/>
      <w:outlineLvl w:val="0"/>
    </w:pPr>
    <w:rPr>
      <w:rFonts w:ascii="Cambria" w:hAnsi="Cambria"/>
      <w:b/>
      <w:szCs w:val="32"/>
    </w:rPr>
  </w:style>
  <w:style w:type="paragraph" w:styleId="24">
    <w:name w:val="Body Text First Indent 2"/>
    <w:basedOn w:val="14"/>
    <w:next w:val="13"/>
    <w:unhideWhenUsed/>
    <w:qFormat/>
    <w:uiPriority w:val="99"/>
    <w:pPr>
      <w:ind w:firstLine="420" w:firstLineChars="200"/>
    </w:pPr>
    <w:rPr>
      <w:rFonts w:ascii="Arial" w:hAnsi="Arial"/>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basedOn w:val="27"/>
    <w:qFormat/>
    <w:uiPriority w:val="0"/>
  </w:style>
  <w:style w:type="character" w:styleId="30">
    <w:name w:val="annotation reference"/>
    <w:qFormat/>
    <w:uiPriority w:val="0"/>
    <w:rPr>
      <w:sz w:val="21"/>
      <w:szCs w:val="21"/>
    </w:rPr>
  </w:style>
  <w:style w:type="character" w:customStyle="1" w:styleId="31">
    <w:name w:val="标题 1 字符"/>
    <w:link w:val="2"/>
    <w:qFormat/>
    <w:uiPriority w:val="0"/>
    <w:rPr>
      <w:b/>
      <w:kern w:val="44"/>
      <w:sz w:val="36"/>
      <w:szCs w:val="44"/>
    </w:rPr>
  </w:style>
  <w:style w:type="paragraph" w:styleId="32">
    <w:name w:val="List Paragraph"/>
    <w:basedOn w:val="1"/>
    <w:qFormat/>
    <w:uiPriority w:val="99"/>
    <w:pPr>
      <w:ind w:firstLine="420" w:firstLineChars="200"/>
    </w:pPr>
    <w:rPr>
      <w:rFonts w:ascii="Times New Roman"/>
      <w:bCs w:val="0"/>
      <w:sz w:val="21"/>
      <w:szCs w:val="20"/>
    </w:rPr>
  </w:style>
  <w:style w:type="character" w:customStyle="1" w:styleId="33">
    <w:name w:val="样式 仿宋"/>
    <w:qFormat/>
    <w:uiPriority w:val="0"/>
    <w:rPr>
      <w:rFonts w:ascii="仿宋" w:hAnsi="仿宋" w:eastAsia="仿宋"/>
      <w:kern w:val="1"/>
    </w:rPr>
  </w:style>
  <w:style w:type="table" w:customStyle="1" w:styleId="34">
    <w:name w:val="网格型1"/>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5">
    <w:name w:val="D正文"/>
    <w:basedOn w:val="24"/>
    <w:qFormat/>
    <w:uiPriority w:val="0"/>
    <w:pPr>
      <w:spacing w:before="100" w:beforeAutospacing="1" w:after="100" w:afterAutospacing="1"/>
    </w:pPr>
  </w:style>
  <w:style w:type="paragraph" w:customStyle="1" w:styleId="36">
    <w:name w:val="0正文"/>
    <w:basedOn w:val="1"/>
    <w:qFormat/>
    <w:uiPriority w:val="0"/>
    <w:pPr>
      <w:adjustRightInd w:val="0"/>
      <w:ind w:firstLine="480" w:firstLineChars="200"/>
      <w:textAlignment w:val="baseline"/>
    </w:pPr>
    <w:rPr>
      <w:rFonts w:ascii="Verdana" w:hAnsi="Verdana" w:eastAsia="华文中宋"/>
      <w:color w:val="FF0000"/>
    </w:rPr>
  </w:style>
  <w:style w:type="paragraph" w:customStyle="1" w:styleId="37">
    <w:name w:val="列表段落1"/>
    <w:basedOn w:val="1"/>
    <w:qFormat/>
    <w:uiPriority w:val="34"/>
    <w:pPr>
      <w:adjustRightInd w:val="0"/>
      <w:snapToGrid w:val="0"/>
    </w:pPr>
    <w:rPr>
      <w:rFonts w:hAnsi="宋体"/>
    </w:rPr>
  </w:style>
  <w:style w:type="paragraph" w:customStyle="1" w:styleId="38">
    <w:name w:val="列出段落1"/>
    <w:basedOn w:val="1"/>
    <w:qFormat/>
    <w:uiPriority w:val="99"/>
    <w:pPr>
      <w:ind w:firstLine="420" w:firstLineChars="200"/>
    </w:pPr>
  </w:style>
  <w:style w:type="paragraph" w:customStyle="1" w:styleId="39">
    <w:name w:val="石墨文档正文"/>
    <w:qFormat/>
    <w:uiPriority w:val="0"/>
    <w:rPr>
      <w:rFonts w:ascii="微软雅黑" w:hAnsi="微软雅黑" w:eastAsia="微软雅黑" w:cs="微软雅黑"/>
      <w:sz w:val="24"/>
      <w:szCs w:val="24"/>
      <w:lang w:val="en-US" w:eastAsia="zh-CN" w:bidi="ar-SA"/>
    </w:rPr>
  </w:style>
  <w:style w:type="character" w:customStyle="1" w:styleId="40">
    <w:name w:val="font11"/>
    <w:basedOn w:val="27"/>
    <w:qFormat/>
    <w:uiPriority w:val="0"/>
    <w:rPr>
      <w:rFonts w:hint="eastAsia" w:ascii="宋体" w:hAnsi="宋体" w:eastAsia="宋体" w:cs="宋体"/>
      <w:color w:val="000008"/>
      <w:sz w:val="22"/>
      <w:szCs w:val="22"/>
      <w:u w:val="none"/>
    </w:rPr>
  </w:style>
  <w:style w:type="paragraph" w:customStyle="1" w:styleId="41">
    <w:name w:val="List Paragraph_7694705a-c3a6-41bb-8515-e14ae0fd478f"/>
    <w:basedOn w:val="1"/>
    <w:qFormat/>
    <w:uiPriority w:val="99"/>
    <w:pPr>
      <w:ind w:firstLine="420" w:firstLineChars="200"/>
    </w:pPr>
  </w:style>
  <w:style w:type="paragraph" w:customStyle="1" w:styleId="42">
    <w:name w:val="列出段落2"/>
    <w:basedOn w:val="1"/>
    <w:qFormat/>
    <w:uiPriority w:val="99"/>
    <w:pPr>
      <w:ind w:firstLine="420" w:firstLineChars="200"/>
    </w:pPr>
  </w:style>
  <w:style w:type="paragraph" w:customStyle="1" w:styleId="43">
    <w:name w:val="无间隔1"/>
    <w:qFormat/>
    <w:uiPriority w:val="1"/>
    <w:rPr>
      <w:rFonts w:ascii="Georgia" w:hAnsi="Georgia" w:eastAsia="宋体" w:cs="Times New Roman"/>
      <w:sz w:val="22"/>
      <w:szCs w:val="22"/>
      <w:lang w:val="en-US" w:eastAsia="zh-CN" w:bidi="ar-SA"/>
    </w:rPr>
  </w:style>
  <w:style w:type="paragraph" w:customStyle="1" w:styleId="44">
    <w:name w:val="Table Paragraph"/>
    <w:basedOn w:val="1"/>
    <w:qFormat/>
    <w:uiPriority w:val="1"/>
  </w:style>
  <w:style w:type="paragraph" w:customStyle="1" w:styleId="45">
    <w:name w:val="my正文"/>
    <w:basedOn w:val="1"/>
    <w:qFormat/>
    <w:uiPriority w:val="0"/>
    <w:pPr>
      <w:spacing w:line="360" w:lineRule="auto"/>
      <w:ind w:firstLine="48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40</Pages>
  <Words>13095</Words>
  <Characters>13574</Characters>
  <Lines>177</Lines>
  <Paragraphs>49</Paragraphs>
  <TotalTime>0</TotalTime>
  <ScaleCrop>false</ScaleCrop>
  <LinksUpToDate>false</LinksUpToDate>
  <CharactersWithSpaces>14449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2024-12-12T20:17:00Z</dcterms:created>
  <dc:creator>水岸听涛</dc:creator>
  <cp:lastModifiedBy>15103004526</cp:lastModifiedBy>
  <cp:lastPrinted>2025-07-18T00:03:00Z</cp:lastPrinted>
  <dcterms:modified xsi:type="dcterms:W3CDTF">2026-05-20T07:30:23Z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4C01EB37458F24F126A79A680E091C3D_43</vt:lpwstr>
  </property>
  <property fmtid="{D5CDD505-2E9C-101B-9397-08002B2CF9AE}" pid="4" name="KSOTemplateDocerSaveRecord">
    <vt:lpwstr>eyJoZGlkIjoiYWY3MWJhMWRkZWU5MDA3MzBlOGQyOTZlN2I0NDVkOTUiLCJ1c2VySWQiOiI3NTE2MzkyOTIifQ==</vt:lpwstr>
  </property>
</Properties>
</file>