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9EB7D">
      <w:pPr>
        <w:spacing w:line="600" w:lineRule="exact"/>
        <w:rPr>
          <w:rFonts w:ascii="方正公文小标宋" w:hAnsi="方正公文小标宋" w:eastAsia="方正公文小标宋" w:cs="方正公文小标宋"/>
          <w:color w:val="auto"/>
          <w:highlight w:val="none"/>
        </w:rPr>
      </w:pPr>
      <w:r>
        <w:rPr>
          <w:rFonts w:hint="eastAsia" w:ascii="方正公文小标宋" w:hAnsi="方正公文小标宋" w:eastAsia="方正公文小标宋" w:cs="方正公文小标宋"/>
          <w:color w:val="auto"/>
          <w:highlight w:val="none"/>
        </w:rPr>
        <w:t xml:space="preserve"> </w:t>
      </w:r>
    </w:p>
    <w:p w14:paraId="04541392">
      <w:pPr>
        <w:adjustRightInd w:val="0"/>
        <w:snapToGrid w:val="0"/>
        <w:spacing w:line="560" w:lineRule="exact"/>
        <w:jc w:val="center"/>
        <w:rPr>
          <w:rFonts w:asciiTheme="minorEastAsia" w:hAnsiTheme="minorEastAsia" w:eastAsiaTheme="minorEastAsia" w:cstheme="minorEastAsia"/>
          <w:b/>
          <w:bCs w:val="0"/>
          <w:color w:val="auto"/>
          <w:sz w:val="44"/>
          <w:szCs w:val="44"/>
          <w:highlight w:val="none"/>
        </w:rPr>
      </w:pPr>
      <w:bookmarkStart w:id="0" w:name="_Toc415058575"/>
      <w:bookmarkStart w:id="1" w:name="_Toc415058499"/>
      <w:bookmarkStart w:id="2" w:name="_Toc375561633"/>
    </w:p>
    <w:p w14:paraId="588FEFCC">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Theme="majorEastAsia" w:hAnsiTheme="majorEastAsia" w:eastAsiaTheme="majorEastAsia" w:cstheme="majorEastAsia"/>
          <w:b/>
          <w:color w:val="auto"/>
          <w:sz w:val="52"/>
          <w:szCs w:val="52"/>
          <w:highlight w:val="none"/>
          <w:lang w:val="en-US" w:eastAsia="zh-CN"/>
        </w:rPr>
      </w:pPr>
      <w:r>
        <w:rPr>
          <w:rFonts w:hint="eastAsia" w:asciiTheme="majorEastAsia" w:hAnsiTheme="majorEastAsia" w:eastAsiaTheme="majorEastAsia" w:cstheme="majorEastAsia"/>
          <w:b/>
          <w:color w:val="auto"/>
          <w:sz w:val="52"/>
          <w:szCs w:val="52"/>
          <w:highlight w:val="none"/>
          <w:lang w:val="en-US" w:eastAsia="zh-CN"/>
        </w:rPr>
        <w:t>海南卫生健康职业学院</w:t>
      </w:r>
    </w:p>
    <w:p w14:paraId="1BAC44B8">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Theme="majorEastAsia" w:hAnsiTheme="majorEastAsia" w:eastAsiaTheme="majorEastAsia" w:cstheme="majorEastAsia"/>
          <w:b/>
          <w:color w:val="auto"/>
          <w:sz w:val="52"/>
          <w:szCs w:val="52"/>
          <w:highlight w:val="none"/>
          <w:lang w:val="en-US" w:eastAsia="zh-CN"/>
        </w:rPr>
      </w:pPr>
      <w:r>
        <w:rPr>
          <w:rFonts w:hint="eastAsia" w:asciiTheme="majorEastAsia" w:hAnsiTheme="majorEastAsia" w:eastAsiaTheme="majorEastAsia" w:cstheme="majorEastAsia"/>
          <w:b/>
          <w:color w:val="auto"/>
          <w:sz w:val="52"/>
          <w:szCs w:val="52"/>
          <w:highlight w:val="none"/>
          <w:lang w:val="en-US" w:eastAsia="zh-CN"/>
        </w:rPr>
        <w:t>2026年学生消防应急疏散与灭火演练项目</w:t>
      </w:r>
    </w:p>
    <w:p w14:paraId="30831E8D">
      <w:pPr>
        <w:rPr>
          <w:color w:val="auto"/>
          <w:highlight w:val="none"/>
        </w:rPr>
      </w:pPr>
    </w:p>
    <w:p w14:paraId="6EA1EE21">
      <w:pPr>
        <w:pageBreakBefore w:val="0"/>
        <w:kinsoku/>
        <w:wordWrap/>
        <w:overflowPunct/>
        <w:topLinePunct w:val="0"/>
        <w:autoSpaceDE/>
        <w:autoSpaceDN/>
        <w:bidi w:val="0"/>
        <w:adjustRightInd w:val="0"/>
        <w:snapToGrid w:val="0"/>
        <w:spacing w:line="420" w:lineRule="auto"/>
        <w:ind w:left="0" w:leftChars="0"/>
        <w:jc w:val="center"/>
        <w:rPr>
          <w:rFonts w:hint="eastAsia" w:asciiTheme="minorEastAsia" w:hAnsiTheme="minorEastAsia" w:eastAsiaTheme="minorEastAsia" w:cstheme="minorEastAsia"/>
          <w:bCs w:val="0"/>
          <w:color w:val="auto"/>
          <w:sz w:val="36"/>
          <w:szCs w:val="36"/>
          <w:highlight w:val="none"/>
        </w:rPr>
      </w:pPr>
    </w:p>
    <w:p w14:paraId="48622F36">
      <w:pPr>
        <w:adjustRightInd w:val="0"/>
        <w:snapToGrid w:val="0"/>
        <w:spacing w:line="560" w:lineRule="exact"/>
        <w:ind w:firstLine="720" w:firstLineChars="200"/>
        <w:jc w:val="center"/>
        <w:rPr>
          <w:rFonts w:hint="eastAsia" w:asciiTheme="minorEastAsia" w:hAnsiTheme="minorEastAsia" w:eastAsiaTheme="minorEastAsia" w:cstheme="minorEastAsia"/>
          <w:b/>
          <w:bCs w:val="0"/>
          <w:color w:val="auto"/>
          <w:spacing w:val="40"/>
          <w:sz w:val="36"/>
          <w:szCs w:val="36"/>
          <w:highlight w:val="none"/>
          <w:lang w:val="en-US" w:eastAsia="zh-CN"/>
        </w:rPr>
      </w:pPr>
      <w:r>
        <w:rPr>
          <w:rFonts w:hint="eastAsia" w:asciiTheme="minorEastAsia" w:hAnsiTheme="minorEastAsia" w:eastAsiaTheme="minorEastAsia" w:cstheme="minorEastAsia"/>
          <w:bCs w:val="0"/>
          <w:color w:val="auto"/>
          <w:sz w:val="36"/>
          <w:szCs w:val="36"/>
          <w:highlight w:val="none"/>
        </w:rPr>
        <w:t>项目编号：HNWJY-FW202600</w:t>
      </w:r>
      <w:r>
        <w:rPr>
          <w:rFonts w:hint="eastAsia" w:asciiTheme="minorEastAsia" w:hAnsiTheme="minorEastAsia" w:eastAsiaTheme="minorEastAsia" w:cstheme="minorEastAsia"/>
          <w:bCs w:val="0"/>
          <w:color w:val="auto"/>
          <w:sz w:val="36"/>
          <w:szCs w:val="36"/>
          <w:highlight w:val="none"/>
          <w:lang w:val="en-US" w:eastAsia="zh-CN"/>
        </w:rPr>
        <w:t>5</w:t>
      </w:r>
    </w:p>
    <w:p w14:paraId="7C4D8536">
      <w:pPr>
        <w:adjustRightInd w:val="0"/>
        <w:snapToGrid w:val="0"/>
        <w:spacing w:line="420" w:lineRule="auto"/>
        <w:jc w:val="center"/>
        <w:rPr>
          <w:rFonts w:hint="eastAsia" w:asciiTheme="minorEastAsia" w:hAnsiTheme="minorEastAsia" w:eastAsiaTheme="minorEastAsia" w:cstheme="minorEastAsia"/>
          <w:bCs w:val="0"/>
          <w:color w:val="auto"/>
          <w:sz w:val="36"/>
          <w:szCs w:val="36"/>
          <w:highlight w:val="none"/>
          <w:shd w:val="clear" w:color="auto" w:fill="FFFF00"/>
          <w:lang w:val="en-US" w:eastAsia="zh-CN"/>
        </w:rPr>
      </w:pPr>
    </w:p>
    <w:p w14:paraId="7DCF9AE8">
      <w:pPr>
        <w:adjustRightInd w:val="0"/>
        <w:snapToGrid w:val="0"/>
        <w:spacing w:line="420" w:lineRule="auto"/>
        <w:rPr>
          <w:rFonts w:asciiTheme="minorEastAsia" w:hAnsiTheme="minorEastAsia" w:eastAsiaTheme="minorEastAsia" w:cstheme="minorEastAsia"/>
          <w:b/>
          <w:bCs w:val="0"/>
          <w:color w:val="auto"/>
          <w:spacing w:val="40"/>
          <w:sz w:val="36"/>
          <w:szCs w:val="36"/>
          <w:highlight w:val="none"/>
        </w:rPr>
      </w:pPr>
    </w:p>
    <w:bookmarkEnd w:id="0"/>
    <w:bookmarkEnd w:id="1"/>
    <w:bookmarkEnd w:id="2"/>
    <w:p w14:paraId="05215993">
      <w:pPr>
        <w:spacing w:line="360" w:lineRule="auto"/>
        <w:ind w:firstLine="723" w:firstLineChars="100"/>
        <w:jc w:val="center"/>
        <w:rPr>
          <w:rFonts w:hAnsi="宋体"/>
          <w:b/>
          <w:color w:val="auto"/>
          <w:sz w:val="72"/>
          <w:szCs w:val="72"/>
          <w:highlight w:val="none"/>
        </w:rPr>
      </w:pPr>
      <w:bookmarkStart w:id="3" w:name="_Toc325446794"/>
      <w:bookmarkStart w:id="4" w:name="_Toc325731733"/>
      <w:bookmarkStart w:id="5" w:name="_Toc326783408"/>
    </w:p>
    <w:p w14:paraId="33788060">
      <w:pPr>
        <w:spacing w:line="360" w:lineRule="auto"/>
        <w:ind w:firstLine="723" w:firstLineChars="100"/>
        <w:jc w:val="center"/>
        <w:rPr>
          <w:rFonts w:hAnsi="宋体"/>
          <w:b/>
          <w:color w:val="auto"/>
          <w:sz w:val="72"/>
          <w:szCs w:val="72"/>
          <w:highlight w:val="none"/>
        </w:rPr>
      </w:pPr>
      <w:r>
        <w:rPr>
          <w:rFonts w:hint="eastAsia" w:hAnsi="宋体"/>
          <w:b/>
          <w:sz w:val="72"/>
          <w:szCs w:val="72"/>
          <w:lang w:eastAsia="zh-CN"/>
        </w:rPr>
        <w:t>校内</w:t>
      </w:r>
      <w:r>
        <w:rPr>
          <w:rFonts w:hint="eastAsia" w:hAnsi="宋体"/>
          <w:b/>
          <w:color w:val="auto"/>
          <w:sz w:val="72"/>
          <w:szCs w:val="72"/>
          <w:highlight w:val="none"/>
        </w:rPr>
        <w:t>竞争性磋商文件</w:t>
      </w:r>
    </w:p>
    <w:p w14:paraId="46A55FB3">
      <w:pPr>
        <w:rPr>
          <w:color w:val="auto"/>
          <w:highlight w:val="none"/>
        </w:rPr>
      </w:pPr>
    </w:p>
    <w:bookmarkEnd w:id="3"/>
    <w:bookmarkEnd w:id="4"/>
    <w:bookmarkEnd w:id="5"/>
    <w:p w14:paraId="58F25A44">
      <w:pPr>
        <w:rPr>
          <w:color w:val="auto"/>
          <w:highlight w:val="none"/>
        </w:rPr>
      </w:pPr>
    </w:p>
    <w:p w14:paraId="429C1DBA">
      <w:pPr>
        <w:rPr>
          <w:color w:val="auto"/>
          <w:highlight w:val="none"/>
        </w:rPr>
      </w:pPr>
    </w:p>
    <w:p w14:paraId="3CD6068A">
      <w:pPr>
        <w:rPr>
          <w:color w:val="auto"/>
          <w:highlight w:val="none"/>
        </w:rPr>
      </w:pPr>
    </w:p>
    <w:p w14:paraId="0240D67A">
      <w:pPr>
        <w:rPr>
          <w:color w:val="auto"/>
          <w:highlight w:val="none"/>
        </w:rPr>
      </w:pPr>
    </w:p>
    <w:p w14:paraId="5358E844">
      <w:pPr>
        <w:adjustRightInd w:val="0"/>
        <w:snapToGrid w:val="0"/>
        <w:spacing w:line="560" w:lineRule="exact"/>
        <w:rPr>
          <w:rFonts w:asciiTheme="minorEastAsia" w:hAnsiTheme="minorEastAsia" w:eastAsiaTheme="minorEastAsia" w:cstheme="minorEastAsia"/>
          <w:b/>
          <w:color w:val="auto"/>
          <w:sz w:val="36"/>
          <w:szCs w:val="36"/>
          <w:highlight w:val="none"/>
        </w:rPr>
      </w:pPr>
    </w:p>
    <w:p w14:paraId="4B5FCC18">
      <w:pPr>
        <w:adjustRightInd w:val="0"/>
        <w:snapToGrid w:val="0"/>
        <w:spacing w:line="560" w:lineRule="exact"/>
        <w:jc w:val="center"/>
        <w:rPr>
          <w:rFonts w:asciiTheme="minorEastAsia" w:hAnsiTheme="minorEastAsia" w:eastAsiaTheme="minorEastAsia" w:cstheme="minorEastAsia"/>
          <w:b/>
          <w:bCs w:val="0"/>
          <w:color w:val="auto"/>
          <w:sz w:val="36"/>
          <w:szCs w:val="36"/>
          <w:highlight w:val="none"/>
        </w:rPr>
      </w:pPr>
      <w:r>
        <w:rPr>
          <w:rFonts w:hint="eastAsia" w:asciiTheme="minorEastAsia" w:hAnsiTheme="minorEastAsia" w:eastAsiaTheme="minorEastAsia" w:cstheme="minorEastAsia"/>
          <w:b/>
          <w:color w:val="auto"/>
          <w:sz w:val="36"/>
          <w:szCs w:val="36"/>
          <w:highlight w:val="none"/>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400050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6pt;margin-top:31.5pt;height:0pt;width:0.05pt;z-index:251660288;mso-width-relative:page;mso-height-relative:page;" filled="f" stroked="t" coordsize="21600,21600" o:gfxdata="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CznTm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hint="eastAsia" w:asciiTheme="minorEastAsia" w:hAnsiTheme="minorEastAsia" w:eastAsiaTheme="minorEastAsia" w:cstheme="minorEastAsia"/>
          <w:b/>
          <w:color w:val="auto"/>
          <w:sz w:val="36"/>
          <w:szCs w:val="36"/>
          <w:highlight w:val="none"/>
        </w:rPr>
        <w:t>采购</w:t>
      </w:r>
      <w:r>
        <w:rPr>
          <w:rFonts w:hint="eastAsia" w:asciiTheme="minorEastAsia" w:hAnsiTheme="minorEastAsia" w:eastAsiaTheme="minorEastAsia" w:cstheme="minorEastAsia"/>
          <w:b/>
          <w:bCs w:val="0"/>
          <w:color w:val="auto"/>
          <w:sz w:val="36"/>
          <w:szCs w:val="36"/>
          <w:highlight w:val="none"/>
        </w:rPr>
        <w:t>单位：海南卫生健康职业学院</w:t>
      </w:r>
    </w:p>
    <w:p w14:paraId="7C956E99">
      <w:pPr>
        <w:adjustRightInd w:val="0"/>
        <w:snapToGrid w:val="0"/>
        <w:spacing w:line="560" w:lineRule="exact"/>
        <w:jc w:val="center"/>
        <w:rPr>
          <w:rFonts w:hint="eastAsia" w:asciiTheme="minorEastAsia" w:hAnsiTheme="minorEastAsia" w:eastAsiaTheme="minorEastAsia" w:cstheme="minorEastAsia"/>
          <w:b/>
          <w:bCs w:val="0"/>
          <w:color w:val="auto"/>
          <w:sz w:val="36"/>
          <w:szCs w:val="36"/>
          <w:highlight w:val="none"/>
        </w:rPr>
        <w:sectPr>
          <w:headerReference r:id="rId4" w:type="first"/>
          <w:headerReference r:id="rId3" w:type="default"/>
          <w:footerReference r:id="rId5" w:type="default"/>
          <w:pgSz w:w="11907" w:h="16840"/>
          <w:pgMar w:top="1417" w:right="1587" w:bottom="1418" w:left="1587" w:header="851" w:footer="851" w:gutter="0"/>
          <w:pgNumType w:fmt="numberInDash"/>
          <w:cols w:space="720" w:num="1"/>
          <w:docGrid w:linePitch="381" w:charSpace="-3931"/>
        </w:sectPr>
      </w:pPr>
      <w:r>
        <w:rPr>
          <w:rFonts w:hint="eastAsia" w:asciiTheme="minorEastAsia" w:hAnsiTheme="minorEastAsia" w:eastAsiaTheme="minorEastAsia" w:cstheme="minorEastAsia"/>
          <w:b/>
          <w:bCs w:val="0"/>
          <w:color w:val="auto"/>
          <w:sz w:val="36"/>
          <w:szCs w:val="36"/>
          <w:highlight w:val="none"/>
        </w:rPr>
        <w:t>编制时间：202</w:t>
      </w:r>
      <w:r>
        <w:rPr>
          <w:rFonts w:hint="eastAsia" w:asciiTheme="minorEastAsia" w:hAnsiTheme="minorEastAsia" w:eastAsiaTheme="minorEastAsia" w:cstheme="minorEastAsia"/>
          <w:b/>
          <w:bCs w:val="0"/>
          <w:color w:val="auto"/>
          <w:sz w:val="36"/>
          <w:szCs w:val="36"/>
          <w:highlight w:val="none"/>
          <w:lang w:val="en-US" w:eastAsia="zh-CN"/>
        </w:rPr>
        <w:t>6</w:t>
      </w:r>
      <w:r>
        <w:rPr>
          <w:rFonts w:hint="eastAsia" w:asciiTheme="minorEastAsia" w:hAnsiTheme="minorEastAsia" w:eastAsiaTheme="minorEastAsia" w:cstheme="minorEastAsia"/>
          <w:b/>
          <w:bCs w:val="0"/>
          <w:color w:val="auto"/>
          <w:sz w:val="36"/>
          <w:szCs w:val="36"/>
          <w:highlight w:val="none"/>
        </w:rPr>
        <w:t>年</w:t>
      </w:r>
      <w:r>
        <w:rPr>
          <w:rFonts w:hint="eastAsia" w:asciiTheme="minorEastAsia" w:hAnsiTheme="minorEastAsia" w:eastAsiaTheme="minorEastAsia" w:cstheme="minorEastAsia"/>
          <w:b/>
          <w:bCs w:val="0"/>
          <w:color w:val="auto"/>
          <w:sz w:val="36"/>
          <w:szCs w:val="36"/>
          <w:highlight w:val="none"/>
          <w:lang w:val="en-US" w:eastAsia="zh-CN"/>
        </w:rPr>
        <w:t>5</w:t>
      </w:r>
      <w:r>
        <w:rPr>
          <w:rFonts w:hint="eastAsia" w:asciiTheme="minorEastAsia" w:hAnsiTheme="minorEastAsia" w:eastAsiaTheme="minorEastAsia" w:cstheme="minorEastAsia"/>
          <w:b/>
          <w:bCs w:val="0"/>
          <w:color w:val="auto"/>
          <w:sz w:val="36"/>
          <w:szCs w:val="36"/>
          <w:highlight w:val="none"/>
        </w:rPr>
        <w:t>月</w:t>
      </w:r>
      <w:r>
        <w:rPr>
          <w:rFonts w:hint="eastAsia" w:asciiTheme="minorEastAsia" w:hAnsiTheme="minorEastAsia" w:eastAsiaTheme="minorEastAsia" w:cstheme="minorEastAsia"/>
          <w:b/>
          <w:bCs w:val="0"/>
          <w:color w:val="auto"/>
          <w:sz w:val="36"/>
          <w:szCs w:val="36"/>
          <w:highlight w:val="none"/>
          <w:lang w:val="en-US" w:eastAsia="zh-CN"/>
        </w:rPr>
        <w:t>6</w:t>
      </w:r>
      <w:r>
        <w:rPr>
          <w:rFonts w:hint="eastAsia" w:asciiTheme="minorEastAsia" w:hAnsiTheme="minorEastAsia" w:eastAsiaTheme="minorEastAsia" w:cstheme="minorEastAsia"/>
          <w:b/>
          <w:bCs w:val="0"/>
          <w:color w:val="auto"/>
          <w:sz w:val="36"/>
          <w:szCs w:val="36"/>
          <w:highlight w:val="none"/>
        </w:rPr>
        <w:t>日</w:t>
      </w:r>
    </w:p>
    <w:p w14:paraId="3FC8C581">
      <w:pPr>
        <w:pStyle w:val="19"/>
        <w:tabs>
          <w:tab w:val="right" w:leader="dot" w:pos="9746"/>
        </w:tabs>
        <w:jc w:val="center"/>
        <w:rPr>
          <w:rStyle w:val="31"/>
          <w:rFonts w:asciiTheme="minorEastAsia" w:hAnsiTheme="minorEastAsia" w:eastAsiaTheme="minorEastAsia" w:cstheme="minorEastAsia"/>
          <w:color w:val="auto"/>
          <w:sz w:val="32"/>
          <w:szCs w:val="32"/>
          <w:highlight w:val="none"/>
        </w:rPr>
      </w:pPr>
      <w:bookmarkStart w:id="6" w:name="_Toc9970"/>
      <w:bookmarkStart w:id="7" w:name="_Toc356491305"/>
      <w:bookmarkStart w:id="8" w:name="_Toc40089788"/>
    </w:p>
    <w:p w14:paraId="1FC996C9">
      <w:pPr>
        <w:pStyle w:val="19"/>
        <w:tabs>
          <w:tab w:val="right" w:leader="dot" w:pos="9746"/>
        </w:tabs>
        <w:jc w:val="center"/>
        <w:rPr>
          <w:rStyle w:val="31"/>
          <w:rFonts w:asciiTheme="minorEastAsia" w:hAnsiTheme="minorEastAsia" w:eastAsiaTheme="minorEastAsia" w:cstheme="minorEastAsia"/>
          <w:color w:val="auto"/>
          <w:sz w:val="32"/>
          <w:szCs w:val="32"/>
          <w:highlight w:val="none"/>
        </w:rPr>
      </w:pPr>
      <w:bookmarkStart w:id="9" w:name="_Toc20015"/>
      <w:r>
        <w:rPr>
          <w:rStyle w:val="31"/>
          <w:rFonts w:hint="eastAsia" w:asciiTheme="minorEastAsia" w:hAnsiTheme="minorEastAsia" w:eastAsiaTheme="minorEastAsia" w:cstheme="minorEastAsia"/>
          <w:color w:val="auto"/>
          <w:sz w:val="32"/>
          <w:szCs w:val="32"/>
          <w:highlight w:val="none"/>
        </w:rPr>
        <w:t>目  录</w:t>
      </w:r>
    </w:p>
    <w:bookmarkEnd w:id="6"/>
    <w:bookmarkEnd w:id="9"/>
    <w:p w14:paraId="595FBFAC">
      <w:pPr>
        <w:pStyle w:val="19"/>
        <w:tabs>
          <w:tab w:val="right" w:leader="dot" w:pos="8732"/>
        </w:tabs>
        <w:rPr>
          <w:rFonts w:hint="eastAsia" w:ascii="仿宋" w:hAnsi="仿宋" w:eastAsia="仿宋" w:cs="仿宋"/>
          <w:color w:val="auto"/>
          <w:sz w:val="32"/>
          <w:szCs w:val="32"/>
          <w:highlight w:val="none"/>
        </w:rPr>
      </w:pPr>
      <w:r>
        <w:rPr>
          <w:rStyle w:val="31"/>
          <w:rFonts w:hint="eastAsia" w:ascii="仿宋" w:hAnsi="仿宋" w:eastAsia="仿宋" w:cs="仿宋"/>
          <w:color w:val="auto"/>
          <w:sz w:val="32"/>
          <w:szCs w:val="32"/>
          <w:highlight w:val="none"/>
        </w:rPr>
        <w:fldChar w:fldCharType="begin"/>
      </w:r>
      <w:r>
        <w:rPr>
          <w:rStyle w:val="31"/>
          <w:rFonts w:hint="eastAsia" w:ascii="仿宋" w:hAnsi="仿宋" w:eastAsia="仿宋" w:cs="仿宋"/>
          <w:color w:val="auto"/>
          <w:sz w:val="32"/>
          <w:szCs w:val="32"/>
          <w:highlight w:val="none"/>
        </w:rPr>
        <w:instrText xml:space="preserve">TOC \o "1-2" \h \u </w:instrText>
      </w:r>
      <w:r>
        <w:rPr>
          <w:rStyle w:val="31"/>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_Toc20015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目  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_Toc20015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- 1 -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15D6A5C0">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_Toc19324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第一部分 竞争性磋商公告</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_Toc19324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- 1 -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7282CF4C">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_Toc22920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第二部分 供应商须知</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_Toc22920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- 5 -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259122A8">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_Toc19325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第三部分 评审办法</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_Toc19325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- 11 -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0A53D31A">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_Toc22407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第四部分 授予合同</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_Toc22407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- 15 -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8DECAD5">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_Toc11038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第五部分 项目需求</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_Toc11038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- 18 -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61F11772">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_Toc12517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第六部分 报价文件格式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_Toc12517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- 26 -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0569A0CB">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_Toc9943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一、商务部分</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_Toc9943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- 29 -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2286DDB0">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_Toc21595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二、 资信部分</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_Toc21595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- 35 -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126038B">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_Toc28212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三、 技术部分</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_Toc28212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- 36 -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1C7CDD3C">
      <w:pPr>
        <w:pStyle w:val="19"/>
        <w:tabs>
          <w:tab w:val="right" w:leader="dot" w:pos="8732"/>
        </w:tabs>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_Toc2093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四、报价部分</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_Toc2093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- 38 -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08E7DCEF">
      <w:pPr>
        <w:pStyle w:val="19"/>
        <w:tabs>
          <w:tab w:val="right" w:leader="dot" w:pos="8732"/>
        </w:tabs>
        <w:rPr>
          <w:color w:val="auto"/>
          <w:highlight w:val="none"/>
        </w:rPr>
      </w:pP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HYPERLINK \l _Toc22438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封套格式</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PAGEREF _Toc22438 \h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t>- 39 -</w:t>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fldChar w:fldCharType="end"/>
      </w:r>
    </w:p>
    <w:p w14:paraId="5CF51A03">
      <w:pPr>
        <w:rPr>
          <w:rFonts w:hint="eastAsia" w:ascii="仿宋" w:hAnsi="仿宋" w:eastAsia="仿宋" w:cs="仿宋"/>
          <w:color w:val="auto"/>
          <w:szCs w:val="32"/>
          <w:highlight w:val="none"/>
        </w:rPr>
      </w:pPr>
      <w:r>
        <w:rPr>
          <w:rFonts w:hint="eastAsia" w:ascii="仿宋" w:hAnsi="仿宋" w:eastAsia="仿宋" w:cs="仿宋"/>
          <w:color w:val="auto"/>
          <w:szCs w:val="32"/>
          <w:highlight w:val="none"/>
        </w:rPr>
        <w:fldChar w:fldCharType="end"/>
      </w:r>
      <w:bookmarkStart w:id="10" w:name="_Toc19324"/>
    </w:p>
    <w:p w14:paraId="15E3DC44">
      <w:pPr>
        <w:rPr>
          <w:rFonts w:hint="eastAsia" w:ascii="仿宋" w:hAnsi="仿宋" w:eastAsia="仿宋" w:cs="仿宋"/>
          <w:color w:val="auto"/>
          <w:szCs w:val="32"/>
          <w:highlight w:val="none"/>
        </w:rPr>
      </w:pPr>
    </w:p>
    <w:p w14:paraId="22E885E9">
      <w:pPr>
        <w:rPr>
          <w:rFonts w:hint="eastAsia" w:ascii="仿宋" w:hAnsi="仿宋" w:eastAsia="仿宋" w:cs="仿宋"/>
          <w:color w:val="auto"/>
          <w:szCs w:val="32"/>
          <w:highlight w:val="none"/>
        </w:rPr>
      </w:pPr>
    </w:p>
    <w:p w14:paraId="1615B747">
      <w:pPr>
        <w:rPr>
          <w:rFonts w:hint="eastAsia" w:ascii="仿宋" w:hAnsi="仿宋" w:eastAsia="仿宋" w:cs="仿宋"/>
          <w:color w:val="auto"/>
          <w:szCs w:val="32"/>
          <w:highlight w:val="none"/>
        </w:rPr>
      </w:pPr>
    </w:p>
    <w:p w14:paraId="2E3D7195">
      <w:pPr>
        <w:rPr>
          <w:rFonts w:hint="eastAsia" w:ascii="仿宋" w:hAnsi="仿宋" w:eastAsia="仿宋" w:cs="仿宋"/>
          <w:color w:val="auto"/>
          <w:szCs w:val="32"/>
          <w:highlight w:val="none"/>
        </w:rPr>
      </w:pPr>
    </w:p>
    <w:p w14:paraId="2DDBC6C9">
      <w:pPr>
        <w:rPr>
          <w:rFonts w:hint="eastAsia" w:ascii="仿宋" w:hAnsi="仿宋" w:eastAsia="仿宋" w:cs="仿宋"/>
          <w:color w:val="auto"/>
          <w:szCs w:val="32"/>
          <w:highlight w:val="none"/>
        </w:rPr>
      </w:pPr>
    </w:p>
    <w:p w14:paraId="454FA314">
      <w:pPr>
        <w:rPr>
          <w:rStyle w:val="31"/>
          <w:rFonts w:hint="eastAsia" w:eastAsia="仿宋" w:asciiTheme="minorEastAsia" w:hAnsiTheme="minorEastAsia" w:cstheme="minorEastAsia"/>
          <w:b/>
          <w:color w:val="auto"/>
          <w:sz w:val="44"/>
          <w:highlight w:val="none"/>
          <w:lang w:val="en-US" w:eastAsia="zh-CN"/>
        </w:rPr>
      </w:pPr>
    </w:p>
    <w:p w14:paraId="512BACA2">
      <w:pPr>
        <w:pStyle w:val="2"/>
        <w:jc w:val="center"/>
        <w:rPr>
          <w:color w:val="auto"/>
          <w:highlight w:val="none"/>
        </w:rPr>
      </w:pPr>
      <w:r>
        <w:rPr>
          <w:rStyle w:val="31"/>
          <w:rFonts w:hint="eastAsia" w:asciiTheme="minorEastAsia" w:hAnsiTheme="minorEastAsia" w:eastAsiaTheme="minorEastAsia" w:cstheme="minorEastAsia"/>
          <w:b/>
          <w:color w:val="auto"/>
          <w:sz w:val="44"/>
          <w:highlight w:val="none"/>
        </w:rPr>
        <w:t xml:space="preserve">第一部分 </w:t>
      </w:r>
      <w:bookmarkEnd w:id="7"/>
      <w:bookmarkEnd w:id="8"/>
      <w:r>
        <w:rPr>
          <w:rStyle w:val="31"/>
          <w:rFonts w:hint="eastAsia" w:asciiTheme="minorEastAsia" w:hAnsiTheme="minorEastAsia" w:eastAsiaTheme="minorEastAsia" w:cstheme="minorEastAsia"/>
          <w:b/>
          <w:color w:val="auto"/>
          <w:sz w:val="44"/>
          <w:highlight w:val="none"/>
        </w:rPr>
        <w:t>竞争性磋商公告</w:t>
      </w:r>
      <w:bookmarkEnd w:id="10"/>
      <w:bookmarkStart w:id="11" w:name="_Toc325582066"/>
      <w:bookmarkStart w:id="12" w:name="_Toc325582571"/>
      <w:bookmarkStart w:id="13" w:name="_Toc325620702"/>
    </w:p>
    <w:p w14:paraId="09617736">
      <w:pPr>
        <w:adjustRightInd w:val="0"/>
        <w:snapToGrid w:val="0"/>
        <w:spacing w:line="560" w:lineRule="exact"/>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一、采购项目名称</w:t>
      </w:r>
    </w:p>
    <w:p w14:paraId="476FD575">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2026年学生消防应急疏散与灭火演练项目</w:t>
      </w:r>
    </w:p>
    <w:p w14:paraId="6F553F5F">
      <w:pPr>
        <w:adjustRightInd w:val="0"/>
        <w:snapToGrid w:val="0"/>
        <w:spacing w:line="560" w:lineRule="exact"/>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二、采购项目编号</w:t>
      </w:r>
    </w:p>
    <w:p w14:paraId="697A0C71">
      <w:pPr>
        <w:adjustRightInd w:val="0"/>
        <w:snapToGrid w:val="0"/>
        <w:spacing w:line="560" w:lineRule="exact"/>
        <w:ind w:firstLine="640" w:firstLineChars="200"/>
        <w:jc w:val="left"/>
        <w:rPr>
          <w:rFonts w:hint="default"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eastAsia="zh-CN"/>
        </w:rPr>
        <w:t>HNWJY-FW202600</w:t>
      </w:r>
      <w:r>
        <w:rPr>
          <w:rFonts w:hint="eastAsia" w:ascii="仿宋" w:hAnsi="仿宋" w:eastAsia="仿宋" w:cs="仿宋"/>
          <w:b w:val="0"/>
          <w:bCs/>
          <w:color w:val="auto"/>
          <w:sz w:val="32"/>
          <w:szCs w:val="32"/>
          <w:highlight w:val="none"/>
          <w:lang w:val="en-US" w:eastAsia="zh-CN"/>
        </w:rPr>
        <w:t>5</w:t>
      </w:r>
    </w:p>
    <w:p w14:paraId="3EC4863A">
      <w:pPr>
        <w:adjustRightInd w:val="0"/>
        <w:snapToGrid w:val="0"/>
        <w:spacing w:line="560" w:lineRule="exact"/>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三、采购项目</w:t>
      </w:r>
    </w:p>
    <w:tbl>
      <w:tblPr>
        <w:tblStyle w:val="25"/>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8"/>
        <w:gridCol w:w="7135"/>
        <w:gridCol w:w="1519"/>
      </w:tblGrid>
      <w:tr w14:paraId="06037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378" w:type="dxa"/>
            <w:vAlign w:val="center"/>
          </w:tcPr>
          <w:p w14:paraId="26CC8221">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项目</w:t>
            </w:r>
          </w:p>
          <w:p w14:paraId="027B6C8C">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名称</w:t>
            </w:r>
          </w:p>
        </w:tc>
        <w:tc>
          <w:tcPr>
            <w:tcW w:w="7135" w:type="dxa"/>
            <w:vAlign w:val="center"/>
          </w:tcPr>
          <w:p w14:paraId="3B2A4AAB">
            <w:pPr>
              <w:keepNext w:val="0"/>
              <w:keepLines w:val="0"/>
              <w:suppressLineNumbers w:val="0"/>
              <w:adjustRightInd w:val="0"/>
              <w:snapToGrid w:val="0"/>
              <w:spacing w:before="0" w:beforeAutospacing="0" w:after="0" w:afterAutospacing="0" w:line="520" w:lineRule="exact"/>
              <w:ind w:left="0" w:right="0" w:firstLine="640" w:firstLineChars="20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供应商资格要求</w:t>
            </w:r>
          </w:p>
        </w:tc>
        <w:tc>
          <w:tcPr>
            <w:tcW w:w="1519" w:type="dxa"/>
            <w:vAlign w:val="center"/>
          </w:tcPr>
          <w:p w14:paraId="0346D9C0">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预算金额(元)</w:t>
            </w:r>
          </w:p>
        </w:tc>
      </w:tr>
      <w:tr w14:paraId="5BAC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1378" w:type="dxa"/>
            <w:vAlign w:val="center"/>
          </w:tcPr>
          <w:p w14:paraId="78BA0F92">
            <w:pPr>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p>
          <w:p w14:paraId="4CD983D1">
            <w:pPr>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p>
          <w:p w14:paraId="036D865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20" w:lineRule="exact"/>
              <w:ind w:left="0" w:right="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2026年学生消防应急疏散与灭火演练项目</w:t>
            </w:r>
          </w:p>
          <w:p w14:paraId="4BEA3955">
            <w:pPr>
              <w:keepNext w:val="0"/>
              <w:keepLines w:val="0"/>
              <w:suppressLineNumbers w:val="0"/>
              <w:adjustRightInd w:val="0"/>
              <w:snapToGrid w:val="0"/>
              <w:spacing w:before="0" w:beforeAutospacing="0" w:after="0" w:afterAutospacing="0" w:line="520" w:lineRule="exact"/>
              <w:ind w:left="0" w:right="0"/>
              <w:jc w:val="center"/>
              <w:textAlignment w:val="center"/>
              <w:rPr>
                <w:rFonts w:hint="default" w:ascii="仿宋" w:hAnsi="仿宋" w:eastAsia="仿宋" w:cs="仿宋"/>
                <w:color w:val="auto"/>
                <w:kern w:val="0"/>
                <w:sz w:val="32"/>
                <w:szCs w:val="32"/>
                <w:highlight w:val="none"/>
              </w:rPr>
            </w:pPr>
          </w:p>
        </w:tc>
        <w:tc>
          <w:tcPr>
            <w:tcW w:w="7135" w:type="dxa"/>
            <w:vAlign w:val="center"/>
          </w:tcPr>
          <w:p w14:paraId="1F34FED1">
            <w:pPr>
              <w:pStyle w:val="32"/>
              <w:keepNext w:val="0"/>
              <w:keepLines w:val="0"/>
              <w:widowControl/>
              <w:numPr>
                <w:ilvl w:val="0"/>
                <w:numId w:val="3"/>
              </w:numPr>
              <w:suppressLineNumbers w:val="0"/>
              <w:adjustRightInd w:val="0"/>
              <w:snapToGrid w:val="0"/>
              <w:spacing w:before="0" w:beforeAutospacing="0" w:after="0" w:afterAutospacing="0" w:line="500" w:lineRule="exact"/>
              <w:ind w:left="0" w:leftChars="0" w:right="0" w:rightChars="0" w:firstLine="0" w:firstLineChars="0"/>
              <w:jc w:val="left"/>
              <w:textAlignment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符合《中华人民共和国政府采购法》第二十二条规定，在中国境内注册，具有独立承担民事责任能力的法人、其他组织或者自然人。供应商须提供有效的营业执照（法人或其他组织）</w:t>
            </w:r>
          </w:p>
          <w:p w14:paraId="023CD5D7">
            <w:pPr>
              <w:pStyle w:val="32"/>
              <w:keepNext w:val="0"/>
              <w:keepLines w:val="0"/>
              <w:widowControl/>
              <w:numPr>
                <w:ilvl w:val="0"/>
                <w:numId w:val="0"/>
              </w:numPr>
              <w:suppressLineNumbers w:val="0"/>
              <w:adjustRightInd w:val="0"/>
              <w:snapToGrid w:val="0"/>
              <w:spacing w:before="0" w:beforeAutospacing="0" w:after="0" w:afterAutospacing="0" w:line="500" w:lineRule="exact"/>
              <w:ind w:left="0" w:leftChars="0" w:right="0" w:rightChars="0"/>
              <w:jc w:val="left"/>
              <w:textAlignment w:val="center"/>
              <w:rPr>
                <w:rFonts w:hint="default" w:ascii="仿宋" w:hAnsi="仿宋" w:eastAsia="仿宋" w:cs="仿宋"/>
                <w:color w:val="auto"/>
                <w:kern w:val="0"/>
                <w:sz w:val="32"/>
                <w:szCs w:val="32"/>
                <w:highlight w:val="none"/>
              </w:rPr>
            </w:pPr>
            <w:r>
              <w:rPr>
                <w:rFonts w:hint="eastAsia" w:ascii="仿宋" w:hAnsi="仿宋" w:eastAsia="仿宋" w:cs="仿宋"/>
                <w:bCs w:val="0"/>
                <w:color w:val="auto"/>
                <w:kern w:val="0"/>
                <w:sz w:val="32"/>
                <w:szCs w:val="32"/>
                <w:highlight w:val="none"/>
                <w:lang w:val="en-US" w:eastAsia="zh-CN" w:bidi="ar-SA"/>
              </w:rPr>
              <w:t>2</w:t>
            </w:r>
            <w:r>
              <w:rPr>
                <w:rFonts w:hint="default" w:ascii="仿宋" w:hAnsi="仿宋" w:eastAsia="仿宋" w:cs="仿宋"/>
                <w:bCs w:val="0"/>
                <w:color w:val="auto"/>
                <w:kern w:val="0"/>
                <w:sz w:val="32"/>
                <w:szCs w:val="32"/>
                <w:highlight w:val="none"/>
                <w:lang w:val="en-US" w:eastAsia="zh-CN" w:bidi="ar-SA"/>
              </w:rPr>
              <w:t>.</w:t>
            </w:r>
            <w:r>
              <w:rPr>
                <w:rFonts w:hint="eastAsia" w:ascii="仿宋" w:hAnsi="仿宋" w:eastAsia="仿宋" w:cs="仿宋"/>
                <w:color w:val="auto"/>
                <w:kern w:val="0"/>
                <w:sz w:val="32"/>
                <w:szCs w:val="32"/>
                <w:highlight w:val="none"/>
              </w:rPr>
              <w:t>近三年内（成立时间不足三年的、自成立时间起），在经营活动中没有重大违法记录，提供声明函原件（详见附件3，重大违法记录是指供应商因违法经营受到刑事处罚或责令停产停业、吊销许可证或者执照、较大数额等行政处罚）。</w:t>
            </w:r>
          </w:p>
          <w:p w14:paraId="356023C5">
            <w:pPr>
              <w:pStyle w:val="32"/>
              <w:keepNext w:val="0"/>
              <w:keepLines w:val="0"/>
              <w:widowControl/>
              <w:suppressLineNumbers w:val="0"/>
              <w:adjustRightInd w:val="0"/>
              <w:snapToGrid w:val="0"/>
              <w:spacing w:before="0" w:beforeAutospacing="0" w:after="0" w:afterAutospacing="0" w:line="500" w:lineRule="exact"/>
              <w:ind w:left="0" w:right="0" w:firstLine="0" w:firstLineChars="0"/>
              <w:jc w:val="left"/>
              <w:textAlignment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未被“信用中国”网站。（www.creditchina.gov.cn）列入失信被执行人、重大税收违法案件当事人名单、政府采购严重失信行为记录名单或信用报告（提供网上截图</w:t>
            </w:r>
            <w:r>
              <w:rPr>
                <w:rFonts w:hint="eastAsia" w:ascii="仿宋" w:hAnsi="仿宋" w:eastAsia="仿宋" w:cs="仿宋"/>
                <w:color w:val="auto"/>
                <w:sz w:val="31"/>
                <w:szCs w:val="31"/>
                <w:highlight w:val="none"/>
                <w:shd w:val="clear" w:color="auto" w:fill="FFFFFF"/>
              </w:rPr>
              <w:t>加盖公章</w:t>
            </w:r>
            <w:r>
              <w:rPr>
                <w:rFonts w:hint="eastAsia" w:ascii="仿宋" w:hAnsi="仿宋" w:eastAsia="仿宋" w:cs="仿宋"/>
                <w:color w:val="auto"/>
                <w:kern w:val="0"/>
                <w:sz w:val="32"/>
                <w:szCs w:val="32"/>
                <w:highlight w:val="none"/>
              </w:rPr>
              <w:t>）。</w:t>
            </w:r>
          </w:p>
          <w:p w14:paraId="34DF5B82">
            <w:pPr>
              <w:pStyle w:val="32"/>
              <w:keepNext w:val="0"/>
              <w:keepLines w:val="0"/>
              <w:widowControl/>
              <w:suppressLineNumbers w:val="0"/>
              <w:adjustRightInd w:val="0"/>
              <w:snapToGrid w:val="0"/>
              <w:spacing w:before="0" w:beforeAutospacing="0" w:after="0" w:afterAutospacing="0" w:line="500" w:lineRule="exact"/>
              <w:ind w:left="0" w:right="0" w:firstLine="0" w:firstLineChars="0"/>
              <w:jc w:val="left"/>
              <w:textAlignment w:val="center"/>
              <w:rPr>
                <w:rFonts w:hint="default"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4</w:t>
            </w:r>
            <w:r>
              <w:rPr>
                <w:rFonts w:hint="eastAsia" w:ascii="仿宋" w:hAnsi="仿宋" w:eastAsia="仿宋" w:cs="仿宋"/>
                <w:color w:val="auto"/>
                <w:kern w:val="0"/>
                <w:sz w:val="32"/>
                <w:szCs w:val="32"/>
                <w:highlight w:val="none"/>
              </w:rPr>
              <w:t>.本项目不接受联合体参与报价，成交后不允许转包，提交承诺函。</w:t>
            </w:r>
          </w:p>
        </w:tc>
        <w:tc>
          <w:tcPr>
            <w:tcW w:w="1519" w:type="dxa"/>
            <w:vAlign w:val="center"/>
          </w:tcPr>
          <w:p w14:paraId="21544877">
            <w:pPr>
              <w:keepNext w:val="0"/>
              <w:keepLines w:val="0"/>
              <w:suppressLineNumbers w:val="0"/>
              <w:adjustRightInd w:val="0"/>
              <w:snapToGrid w:val="0"/>
              <w:spacing w:before="0" w:beforeAutospacing="0" w:after="0" w:afterAutospacing="0" w:line="52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000.00元</w:t>
            </w:r>
          </w:p>
        </w:tc>
      </w:tr>
    </w:tbl>
    <w:p w14:paraId="552E8ABC">
      <w:pPr>
        <w:bidi w:val="0"/>
        <w:rPr>
          <w:color w:val="auto"/>
          <w:highlight w:val="none"/>
        </w:rPr>
        <w:sectPr>
          <w:headerReference r:id="rId7" w:type="first"/>
          <w:footerReference r:id="rId9" w:type="first"/>
          <w:headerReference r:id="rId6" w:type="default"/>
          <w:footerReference r:id="rId8" w:type="default"/>
          <w:pgSz w:w="11906" w:h="16838"/>
          <w:pgMar w:top="1440" w:right="1587" w:bottom="1440" w:left="1587" w:header="851" w:footer="992" w:gutter="0"/>
          <w:pgNumType w:fmt="numberInDash" w:start="1"/>
          <w:cols w:space="425" w:num="1"/>
          <w:titlePg/>
          <w:docGrid w:type="lines" w:linePitch="312" w:charSpace="0"/>
        </w:sectPr>
      </w:pPr>
    </w:p>
    <w:p w14:paraId="27B6C29C">
      <w:pPr>
        <w:adjustRightInd w:val="0"/>
        <w:snapToGrid w:val="0"/>
        <w:spacing w:line="56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四、投标人须知</w:t>
      </w:r>
    </w:p>
    <w:p w14:paraId="3F38FDFA">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1.报名时间：202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分至202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17</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30</w:t>
      </w:r>
      <w:r>
        <w:rPr>
          <w:rFonts w:hint="eastAsia" w:ascii="仿宋" w:hAnsi="仿宋" w:eastAsia="仿宋" w:cs="仿宋"/>
          <w:color w:val="auto"/>
          <w:sz w:val="32"/>
          <w:szCs w:val="32"/>
          <w:highlight w:val="none"/>
        </w:rPr>
        <w:t>分（北京时间，法定节假日除外），逾期不再受理。</w:t>
      </w:r>
    </w:p>
    <w:p w14:paraId="32CED5C4">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报名方式：本次采购采用邮件报名。报名时需提供以下加盖供应商公章的扫描件一套：报名表（自行下载）、营业执照、法定代表人身份证复印件或授权委托书及委托代理人身份证。相关文件的扫描件发送至联系人邮箱，并注意查收个人邮箱收件箱确认报名信息。</w:t>
      </w:r>
    </w:p>
    <w:p w14:paraId="1E143FA5">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3.采购文件获取方式：海南卫生健康职业学院官方网站（https://www.hnhvc.edu.cn/1036/list.htm）自行下载。</w:t>
      </w:r>
    </w:p>
    <w:p w14:paraId="2177E976">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4.递交报价文件时间及地点：</w:t>
      </w:r>
    </w:p>
    <w:p w14:paraId="44338B49">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4.1 时间：报价文件递交截止时间202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上</w:t>
      </w:r>
      <w:r>
        <w:rPr>
          <w:rFonts w:hint="eastAsia" w:ascii="仿宋" w:hAnsi="仿宋" w:eastAsia="仿宋" w:cs="仿宋"/>
          <w:color w:val="auto"/>
          <w:sz w:val="32"/>
          <w:szCs w:val="32"/>
          <w:highlight w:val="none"/>
        </w:rPr>
        <w:t>午</w:t>
      </w:r>
      <w:r>
        <w:rPr>
          <w:rFonts w:hint="eastAsia" w:ascii="仿宋" w:hAnsi="仿宋" w:eastAsia="仿宋" w:cs="仿宋"/>
          <w:color w:val="auto"/>
          <w:sz w:val="32"/>
          <w:szCs w:val="32"/>
          <w:highlight w:val="none"/>
          <w:lang w:val="en-US" w:eastAsia="zh-CN"/>
        </w:rPr>
        <w:t xml:space="preserve">9 </w:t>
      </w:r>
      <w:r>
        <w:rPr>
          <w:rFonts w:hint="eastAsia" w:ascii="仿宋" w:hAnsi="仿宋" w:eastAsia="仿宋" w:cs="仿宋"/>
          <w:color w:val="auto"/>
          <w:sz w:val="32"/>
          <w:szCs w:val="32"/>
          <w:highlight w:val="none"/>
        </w:rPr>
        <w:t>时</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分前（北京时间），逾期未提交报价文件者视为自动放弃本项目报价资格。</w:t>
      </w:r>
    </w:p>
    <w:p w14:paraId="12D2EBF4">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4.2 地址：</w:t>
      </w:r>
      <w:r>
        <w:rPr>
          <w:rFonts w:hint="eastAsia" w:ascii="仿宋" w:hAnsi="仿宋" w:eastAsia="仿宋" w:cs="仿宋"/>
          <w:color w:val="auto"/>
          <w:sz w:val="32"/>
          <w:szCs w:val="32"/>
          <w:highlight w:val="none"/>
          <w:lang w:val="en-US" w:eastAsia="zh-CN"/>
        </w:rPr>
        <w:t>海口市秀英区秀华路32号海南卫生健康职业学院教职工之家-职工书屋（靠近学校西门）</w:t>
      </w:r>
      <w:r>
        <w:rPr>
          <w:rFonts w:hint="eastAsia" w:ascii="仿宋" w:hAnsi="仿宋" w:eastAsia="仿宋" w:cs="仿宋"/>
          <w:color w:val="auto"/>
          <w:sz w:val="32"/>
          <w:szCs w:val="32"/>
          <w:highlight w:val="none"/>
        </w:rPr>
        <w:t>。</w:t>
      </w:r>
    </w:p>
    <w:p w14:paraId="58BAC079">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5.开标时间及地点：</w:t>
      </w:r>
    </w:p>
    <w:p w14:paraId="28ABCC8F">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5.1 时间：202</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bookmarkStart w:id="112" w:name="_GoBack"/>
      <w:bookmarkEnd w:id="112"/>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eastAsia="zh-CN"/>
        </w:rPr>
        <w:t>上</w:t>
      </w:r>
      <w:r>
        <w:rPr>
          <w:rFonts w:hint="eastAsia" w:ascii="仿宋" w:hAnsi="仿宋" w:eastAsia="仿宋" w:cs="仿宋"/>
          <w:color w:val="auto"/>
          <w:sz w:val="32"/>
          <w:szCs w:val="32"/>
          <w:highlight w:val="none"/>
        </w:rPr>
        <w:t>午</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时分</w:t>
      </w:r>
      <w:r>
        <w:rPr>
          <w:rFonts w:hint="eastAsia" w:ascii="仿宋" w:hAnsi="仿宋" w:eastAsia="仿宋" w:cs="仿宋"/>
          <w:color w:val="auto"/>
          <w:sz w:val="32"/>
          <w:szCs w:val="32"/>
          <w:highlight w:val="none"/>
          <w:lang w:val="en-US" w:eastAsia="zh-CN"/>
        </w:rPr>
        <w:t>00</w:t>
      </w:r>
      <w:r>
        <w:rPr>
          <w:rFonts w:hint="eastAsia" w:ascii="仿宋" w:hAnsi="仿宋" w:eastAsia="仿宋" w:cs="仿宋"/>
          <w:color w:val="auto"/>
          <w:sz w:val="32"/>
          <w:szCs w:val="32"/>
          <w:highlight w:val="none"/>
        </w:rPr>
        <w:t>前（北京时间）；</w:t>
      </w:r>
    </w:p>
    <w:p w14:paraId="2E925504">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5.2 地点：</w:t>
      </w:r>
      <w:r>
        <w:rPr>
          <w:rFonts w:hint="eastAsia" w:ascii="仿宋" w:hAnsi="仿宋" w:eastAsia="仿宋" w:cs="仿宋"/>
          <w:color w:val="auto"/>
          <w:sz w:val="32"/>
          <w:szCs w:val="32"/>
          <w:highlight w:val="none"/>
          <w:lang w:val="en-US" w:eastAsia="zh-CN"/>
        </w:rPr>
        <w:t>海口市秀英区秀华路32号海南卫生健康职业学院教职工之家-职工书屋（靠近学校西门）</w:t>
      </w:r>
      <w:r>
        <w:rPr>
          <w:rFonts w:hint="eastAsia" w:ascii="仿宋" w:hAnsi="仿宋" w:eastAsia="仿宋" w:cs="仿宋"/>
          <w:color w:val="auto"/>
          <w:sz w:val="32"/>
          <w:szCs w:val="32"/>
          <w:highlight w:val="none"/>
        </w:rPr>
        <w:t>。</w:t>
      </w:r>
    </w:p>
    <w:p w14:paraId="2D0B2EED">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6.报价要求及成交原则：</w:t>
      </w:r>
    </w:p>
    <w:p w14:paraId="456E0D44">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6.1报价的供应商向采购人做出一次性书面报价（单价、总价）（均按人民币进行报价）</w:t>
      </w:r>
      <w:r>
        <w:rPr>
          <w:rFonts w:hint="eastAsia" w:ascii="仿宋" w:hAnsi="仿宋" w:eastAsia="仿宋" w:cs="仿宋"/>
          <w:color w:val="auto"/>
          <w:sz w:val="32"/>
          <w:szCs w:val="32"/>
          <w:highlight w:val="none"/>
          <w:lang w:eastAsia="zh-CN"/>
        </w:rPr>
        <w:t>（本项目需要二次报价）</w:t>
      </w:r>
      <w:r>
        <w:rPr>
          <w:rFonts w:hint="eastAsia" w:ascii="仿宋" w:hAnsi="仿宋" w:eastAsia="仿宋" w:cs="仿宋"/>
          <w:color w:val="auto"/>
          <w:sz w:val="32"/>
          <w:szCs w:val="32"/>
          <w:highlight w:val="none"/>
        </w:rPr>
        <w:t>。</w:t>
      </w:r>
    </w:p>
    <w:p w14:paraId="63EDACE0">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6.2 成交原则：在符合本项目采购需求、质量和服务的前提下，综合得分最高的供应商为第一成交候选供应商,允许现场二次报价，供应商报价和承诺一经认可，即为成交的合同价。中标结果请关注学校官方网站。</w:t>
      </w:r>
    </w:p>
    <w:p w14:paraId="450F0776">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6.3供应商如对本项目报价，即不可撤回。否则，该供应商在今后一年内不得参与本单位的采购活动。</w:t>
      </w:r>
    </w:p>
    <w:p w14:paraId="285DA281">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7.报价文件编制要求：</w:t>
      </w:r>
    </w:p>
    <w:p w14:paraId="44338E3C">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7.1 本项目相关的资质证明材料；</w:t>
      </w:r>
    </w:p>
    <w:p w14:paraId="3A80ADA6">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7.2 近三年内，在经营活动中没有重大违法记录的声明原件；</w:t>
      </w:r>
    </w:p>
    <w:p w14:paraId="2A8F5EA2">
      <w:pPr>
        <w:adjustRightInd w:val="0"/>
        <w:snapToGrid w:val="0"/>
        <w:spacing w:line="560" w:lineRule="exact"/>
        <w:ind w:firstLine="640" w:firstLineChars="200"/>
        <w:rPr>
          <w:rFonts w:ascii="仿宋" w:hAnsi="仿宋" w:cs="仿宋"/>
          <w:color w:val="auto"/>
          <w:sz w:val="32"/>
          <w:szCs w:val="32"/>
          <w:highlight w:val="none"/>
        </w:rPr>
      </w:pPr>
      <w:r>
        <w:rPr>
          <w:rFonts w:hint="eastAsia" w:ascii="仿宋" w:hAnsi="仿宋" w:eastAsia="仿宋" w:cs="仿宋"/>
          <w:color w:val="auto"/>
          <w:sz w:val="32"/>
          <w:szCs w:val="32"/>
          <w:highlight w:val="none"/>
        </w:rPr>
        <w:t>7.3报价文件应用不褪色的材料书写或打印。并由供应商法定代表人或其授权代表在响应文件相应位置签字及加盖公章，正本须逐页/面盖章，副本可以是正本的复印件，正本及副本胶装成册后均加盖骑缝章。响应文件未密封完好，签署、盖章不符合磋商文件的要求，采购人有权按无效响应处理。磋商现场供应商代表需携带本人身份证件原件以核验身份。</w:t>
      </w:r>
    </w:p>
    <w:p w14:paraId="5AC142B8">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7.4报价文件一式三份（包含相应材料，须胶装打印）电子文档1份（U盘或光盘），其中正本壹份、副本贰份（正本、副本和电子文档一起密封），“正本”和“副本”之间如有差异，以正本为准。在封面上注明项目名称、编号、盖章密封后递交采购人。</w:t>
      </w:r>
    </w:p>
    <w:p w14:paraId="098C5219">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 xml:space="preserve">五、联系方式 </w:t>
      </w:r>
      <w:r>
        <w:rPr>
          <w:rFonts w:hint="eastAsia" w:ascii="仿宋" w:hAnsi="仿宋" w:eastAsia="仿宋" w:cs="仿宋"/>
          <w:color w:val="auto"/>
          <w:sz w:val="32"/>
          <w:szCs w:val="32"/>
          <w:highlight w:val="none"/>
        </w:rPr>
        <w:t xml:space="preserve">  </w:t>
      </w:r>
    </w:p>
    <w:p w14:paraId="065AAC6E">
      <w:pPr>
        <w:adjustRightInd w:val="0"/>
        <w:snapToGrid w:val="0"/>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联系人：凌老师</w:t>
      </w:r>
    </w:p>
    <w:p w14:paraId="12A9905B">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电话：0898-68642247、0898-68662169   </w:t>
      </w:r>
    </w:p>
    <w:p w14:paraId="47DBE17C">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邮箱：hnwjy0898@163.com</w:t>
      </w:r>
    </w:p>
    <w:p w14:paraId="7EBB48D3">
      <w:pPr>
        <w:adjustRightInd w:val="0"/>
        <w:snapToGrid w:val="0"/>
        <w:spacing w:line="54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地址：海南卫生健康职业学院校长办公室(海口市秀英区秀华路32号行政办公楼3楼305办公室)</w:t>
      </w:r>
    </w:p>
    <w:p w14:paraId="3F53A3AF">
      <w:pPr>
        <w:rPr>
          <w:rFonts w:ascii="仿宋" w:hAnsi="仿宋" w:eastAsia="仿宋" w:cs="仿宋"/>
          <w:color w:val="auto"/>
          <w:sz w:val="44"/>
          <w:szCs w:val="44"/>
          <w:highlight w:val="none"/>
        </w:rPr>
      </w:pPr>
      <w:bookmarkStart w:id="14" w:name="_Toc356491306"/>
      <w:r>
        <w:rPr>
          <w:rFonts w:hint="eastAsia" w:ascii="仿宋" w:hAnsi="仿宋" w:eastAsia="仿宋" w:cs="仿宋"/>
          <w:color w:val="auto"/>
          <w:highlight w:val="none"/>
        </w:rPr>
        <w:br w:type="page"/>
      </w:r>
      <w:bookmarkStart w:id="15" w:name="_Toc40089789"/>
      <w:bookmarkStart w:id="16" w:name="_Toc29613"/>
    </w:p>
    <w:p w14:paraId="5BED84C6">
      <w:pPr>
        <w:pStyle w:val="2"/>
        <w:adjustRightInd w:val="0"/>
        <w:snapToGrid w:val="0"/>
        <w:spacing w:line="560" w:lineRule="exact"/>
        <w:rPr>
          <w:rFonts w:ascii="仿宋" w:hAnsi="仿宋" w:eastAsia="仿宋" w:cs="仿宋"/>
          <w:color w:val="auto"/>
          <w:sz w:val="44"/>
          <w:highlight w:val="none"/>
        </w:rPr>
      </w:pPr>
      <w:bookmarkStart w:id="17" w:name="_Toc22920"/>
      <w:r>
        <w:rPr>
          <w:rFonts w:hint="eastAsia" w:ascii="仿宋" w:hAnsi="仿宋" w:eastAsia="仿宋" w:cs="仿宋"/>
          <w:color w:val="auto"/>
          <w:sz w:val="44"/>
          <w:highlight w:val="none"/>
        </w:rPr>
        <w:t>第二部分 供应商须知</w:t>
      </w:r>
      <w:bookmarkEnd w:id="17"/>
    </w:p>
    <w:p w14:paraId="57905A59">
      <w:pPr>
        <w:adjustRightInd w:val="0"/>
        <w:snapToGrid w:val="0"/>
        <w:spacing w:line="560" w:lineRule="exact"/>
        <w:ind w:firstLine="640" w:firstLineChars="200"/>
        <w:rPr>
          <w:rFonts w:ascii="仿宋" w:hAnsi="仿宋" w:eastAsia="仿宋" w:cs="仿宋"/>
          <w:color w:val="auto"/>
          <w:sz w:val="32"/>
          <w:szCs w:val="32"/>
          <w:highlight w:val="none"/>
        </w:rPr>
      </w:pPr>
      <w:bookmarkStart w:id="18" w:name="_Toc325620714"/>
      <w:bookmarkStart w:id="19" w:name="_Toc332979555"/>
      <w:bookmarkStart w:id="20" w:name="_Toc29040"/>
      <w:r>
        <w:rPr>
          <w:rFonts w:hint="eastAsia" w:ascii="仿宋" w:hAnsi="仿宋" w:eastAsia="仿宋" w:cs="仿宋"/>
          <w:color w:val="auto"/>
          <w:sz w:val="32"/>
          <w:szCs w:val="32"/>
          <w:highlight w:val="none"/>
        </w:rPr>
        <w:t>一、开标</w:t>
      </w:r>
      <w:bookmarkEnd w:id="18"/>
      <w:bookmarkEnd w:id="19"/>
      <w:bookmarkEnd w:id="20"/>
    </w:p>
    <w:p w14:paraId="35F159BE">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1.按照磋商文件规定的时间、地点开标。开标由采购人主持，供应商和有关方面的代表参加。供应商法定代表人或其授权代理人应参加并签名报到以证明其出席。</w:t>
      </w:r>
    </w:p>
    <w:p w14:paraId="0D8E1BF5">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2.开标时，由供应商或者其推选的代表检查响应文件的密封情况。</w:t>
      </w:r>
    </w:p>
    <w:p w14:paraId="3906C604">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3.工作人员当众拆封，宣读供应商名称、投标价格和响应文件的其他主要内容。采购人在磋商文件要求提交响应文件的截止时间前收到的所有响应文件，开标时当众予以拆封、宣读。</w:t>
      </w:r>
    </w:p>
    <w:p w14:paraId="3D23537B">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4.记录员将唱价内容记录并由供应商法定代表人或授权代理人签字确认。</w:t>
      </w:r>
    </w:p>
    <w:p w14:paraId="6032492E">
      <w:pPr>
        <w:adjustRightInd w:val="0"/>
        <w:snapToGrid w:val="0"/>
        <w:spacing w:line="560" w:lineRule="exact"/>
        <w:ind w:firstLine="640" w:firstLineChars="200"/>
        <w:rPr>
          <w:rFonts w:ascii="仿宋" w:hAnsi="仿宋" w:eastAsia="仿宋" w:cs="仿宋"/>
          <w:color w:val="auto"/>
          <w:sz w:val="32"/>
          <w:szCs w:val="32"/>
          <w:highlight w:val="none"/>
        </w:rPr>
      </w:pPr>
      <w:bookmarkStart w:id="21" w:name="_Toc325620715"/>
      <w:bookmarkStart w:id="22" w:name="_Toc332979556"/>
      <w:bookmarkStart w:id="23" w:name="_Toc27176"/>
      <w:r>
        <w:rPr>
          <w:rFonts w:hint="eastAsia" w:ascii="仿宋" w:hAnsi="仿宋" w:eastAsia="仿宋" w:cs="仿宋"/>
          <w:color w:val="auto"/>
          <w:sz w:val="32"/>
          <w:szCs w:val="32"/>
          <w:highlight w:val="none"/>
        </w:rPr>
        <w:t>二、</w:t>
      </w:r>
      <w:bookmarkEnd w:id="21"/>
      <w:bookmarkEnd w:id="22"/>
      <w:bookmarkEnd w:id="23"/>
      <w:r>
        <w:rPr>
          <w:rFonts w:hint="eastAsia" w:ascii="仿宋" w:hAnsi="仿宋" w:eastAsia="仿宋" w:cs="仿宋"/>
          <w:color w:val="auto"/>
          <w:sz w:val="32"/>
          <w:szCs w:val="32"/>
          <w:highlight w:val="none"/>
        </w:rPr>
        <w:t>磋商小组</w:t>
      </w:r>
    </w:p>
    <w:p w14:paraId="1043205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本项目将根据项目特点组成磋商小组，其成员由学校推荐专家、采购人代表、法务等组成，磋商小组负责对响应文件进行审查、质疑、评审，推荐成交候选供应商。</w:t>
      </w:r>
    </w:p>
    <w:p w14:paraId="09743D8F">
      <w:pPr>
        <w:adjustRightInd w:val="0"/>
        <w:snapToGrid w:val="0"/>
        <w:spacing w:line="560" w:lineRule="exact"/>
        <w:ind w:firstLine="640" w:firstLineChars="200"/>
        <w:rPr>
          <w:rFonts w:ascii="仿宋" w:hAnsi="仿宋" w:eastAsia="仿宋" w:cs="仿宋"/>
          <w:color w:val="auto"/>
          <w:sz w:val="32"/>
          <w:szCs w:val="32"/>
          <w:highlight w:val="none"/>
        </w:rPr>
      </w:pPr>
      <w:bookmarkStart w:id="24" w:name="_Toc27961"/>
      <w:bookmarkStart w:id="25" w:name="_Toc325620716"/>
      <w:bookmarkStart w:id="26" w:name="_Toc332979557"/>
      <w:r>
        <w:rPr>
          <w:rFonts w:hint="eastAsia" w:ascii="仿宋" w:hAnsi="仿宋" w:eastAsia="仿宋" w:cs="仿宋"/>
          <w:color w:val="auto"/>
          <w:sz w:val="32"/>
          <w:szCs w:val="32"/>
          <w:highlight w:val="none"/>
        </w:rPr>
        <w:t>三、评审原则</w:t>
      </w:r>
      <w:bookmarkEnd w:id="24"/>
      <w:bookmarkEnd w:id="25"/>
      <w:bookmarkEnd w:id="26"/>
    </w:p>
    <w:p w14:paraId="3BB4DA90">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“公平、公正、择优、效益”为本次招标的基本原则，磋商小组按照这一原则的要求，公正、平等地对待各供应商。同时，在评审过程中恪守以下原则：</w:t>
      </w:r>
    </w:p>
    <w:p w14:paraId="537C11F1">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1.客观性原则：磋商小组将严格按照磋商文件要求的内容，对供应商的响应文件进行认真评审；磋商小组对响应文件的评审仅依据响应文件本身，而不依靠响应文件以外的任何因素；</w:t>
      </w:r>
    </w:p>
    <w:p w14:paraId="2EB2C939">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2.统一性原则：磋商小组将按照统一的原则和方法，对各供应商的响应文件进行评审；</w:t>
      </w:r>
    </w:p>
    <w:p w14:paraId="6BEB820A">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3.独立性原则：评标工作在磋商小组内部独立进行，不受外界任何因素的干扰和影响，磋商小组成员对出具的专家意见承担个人责任；</w:t>
      </w:r>
    </w:p>
    <w:p w14:paraId="1581D48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4.保密性原则：磋商小组成员及有关工作人员将保守供应商的商业秘密；</w:t>
      </w:r>
    </w:p>
    <w:p w14:paraId="69C18287">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5.综合性原则：磋商小组将综合分析评审供应商的各项指标，而不以单项指标的优劣评定中标人；</w:t>
      </w:r>
    </w:p>
    <w:p w14:paraId="7E5A74AB">
      <w:pPr>
        <w:adjustRightInd w:val="0"/>
        <w:snapToGrid w:val="0"/>
        <w:spacing w:line="560" w:lineRule="exact"/>
        <w:ind w:firstLine="640" w:firstLineChars="200"/>
        <w:rPr>
          <w:rFonts w:ascii="仿宋" w:hAnsi="仿宋" w:eastAsia="仿宋" w:cs="仿宋"/>
          <w:color w:val="auto"/>
          <w:sz w:val="32"/>
          <w:szCs w:val="32"/>
          <w:highlight w:val="none"/>
        </w:rPr>
      </w:pPr>
      <w:bookmarkStart w:id="27" w:name="_Toc332979558"/>
      <w:bookmarkStart w:id="28" w:name="_Toc325620717"/>
      <w:bookmarkStart w:id="29" w:name="_Toc9800"/>
      <w:r>
        <w:rPr>
          <w:rFonts w:hint="eastAsia" w:ascii="仿宋" w:hAnsi="仿宋" w:eastAsia="仿宋" w:cs="仿宋"/>
          <w:color w:val="auto"/>
          <w:sz w:val="32"/>
          <w:szCs w:val="32"/>
          <w:highlight w:val="none"/>
        </w:rPr>
        <w:t>四、</w:t>
      </w:r>
      <w:bookmarkEnd w:id="27"/>
      <w:bookmarkEnd w:id="28"/>
      <w:bookmarkEnd w:id="29"/>
      <w:r>
        <w:rPr>
          <w:rFonts w:hint="eastAsia" w:ascii="仿宋" w:hAnsi="仿宋" w:eastAsia="仿宋" w:cs="仿宋"/>
          <w:color w:val="auto"/>
          <w:sz w:val="32"/>
          <w:szCs w:val="32"/>
          <w:highlight w:val="none"/>
        </w:rPr>
        <w:t>磋商程序</w:t>
      </w:r>
    </w:p>
    <w:p w14:paraId="22CD6F7B">
      <w:pPr>
        <w:adjustRightInd w:val="0"/>
        <w:snapToGrid w:val="0"/>
        <w:spacing w:line="560" w:lineRule="exact"/>
        <w:ind w:firstLine="640" w:firstLineChars="200"/>
        <w:rPr>
          <w:rFonts w:ascii="仿宋" w:hAnsi="仿宋" w:eastAsia="仿宋" w:cs="仿宋"/>
          <w:color w:val="auto"/>
          <w:sz w:val="32"/>
          <w:szCs w:val="32"/>
          <w:highlight w:val="none"/>
        </w:rPr>
      </w:pPr>
      <w:bookmarkStart w:id="30" w:name="_Toc325620718"/>
      <w:r>
        <w:rPr>
          <w:rFonts w:hint="eastAsia" w:ascii="仿宋" w:hAnsi="仿宋" w:eastAsia="仿宋" w:cs="仿宋"/>
          <w:color w:val="auto"/>
          <w:sz w:val="32"/>
          <w:szCs w:val="32"/>
          <w:highlight w:val="none"/>
        </w:rPr>
        <w:t>1.公开内容：采购人将对所有参与磋商的供应商的资料内容进行公开唱标（不包括报价）。</w:t>
      </w:r>
    </w:p>
    <w:p w14:paraId="44913F0C">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资格审查：磋商小组对供应商进行资格审查、审查供应商是否按磋商文件要求提供资质证件及有无效报价的情形，发现存在无效报价的情形存在将不再进入下一步评审和报价。供应商有下列情形之一，其报价将被视为无效报价，采购人将严格按照《中华人民共和国政府采购法》及相关法律、法规及规章制度的规定行使权利。供应商给采购人造成损失的，采购人有索赔的权利，供应商应予以赔偿。</w:t>
      </w:r>
    </w:p>
    <w:p w14:paraId="2FF7C19E">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（1）供应商提供的有关资格、资质证明文件不真实或提供虚假材料；</w:t>
      </w:r>
    </w:p>
    <w:p w14:paraId="277BE21C">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（2）供应商未按磋商文件要求装订的；</w:t>
      </w:r>
    </w:p>
    <w:p w14:paraId="4BEEF811">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（3）在整个磋商过程中，供应商有企图影响采购结果公正性的任何活动；</w:t>
      </w:r>
    </w:p>
    <w:p w14:paraId="7B9D5944">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（4）供应商以任何方式诋毁其他供应商；</w:t>
      </w:r>
    </w:p>
    <w:p w14:paraId="2A7FE047">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（5）供应商串通报价；</w:t>
      </w:r>
    </w:p>
    <w:p w14:paraId="510B46F3">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（6）以他人名义报价或者以其他方式弄虚作假，骗取成交；</w:t>
      </w:r>
    </w:p>
    <w:p w14:paraId="2C02FC58">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（7）成交供应商不按要求签订合同；</w:t>
      </w:r>
    </w:p>
    <w:p w14:paraId="5DF1373C">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（8）提供多个报价方案的；</w:t>
      </w:r>
    </w:p>
    <w:p w14:paraId="5D195579">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（9）供应商必须明确所报产品的品牌、型号及规格参数，描述不清楚的视为无效报价；</w:t>
      </w:r>
    </w:p>
    <w:p w14:paraId="05B42F5D">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（10）法律、法规规定的其他情况。</w:t>
      </w:r>
    </w:p>
    <w:p w14:paraId="03531A94">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资格审查合格供应商按照报名顺序或签到顺序确定磋商顺序。</w:t>
      </w:r>
    </w:p>
    <w:p w14:paraId="079438A5">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磋商：磋商小组所有成员集中与单一供应商进行一对一的报价。在磋商中，报价的任何一方不得透露与报价有关的其他供应商的技术资料、价格和其他信息。响应文件有实质性变动时（仅包括采购需求中的技术、服务要求以及合同草案条款），磋商小组以书面形式通知所有参加磋商的供应商。</w:t>
      </w:r>
    </w:p>
    <w:p w14:paraId="6EADC9E6">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在报价范围及技术要求不变的前提下，最终报价不得高于初始报价，否则按照无效报价处理。磋商重点：主要针对供应商所投货物性能特点、质量等是否满足采购人的要求进行报价。</w:t>
      </w:r>
    </w:p>
    <w:p w14:paraId="04DAFE58">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（1）供应商所报货物的性能特点、质量；</w:t>
      </w:r>
    </w:p>
    <w:p w14:paraId="769BFBD8">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（2）商务条款的陈述；</w:t>
      </w:r>
    </w:p>
    <w:p w14:paraId="01FA3F90">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（3）专家针对各供应商响应文件对磋商文件的响应情况提问；</w:t>
      </w:r>
    </w:p>
    <w:p w14:paraId="5D017134">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磋商结束后，磋商小组要求所有参加报价的供应商在规定的时间内进行最后报价及有关承诺。如果报价过程未对文件做实质性变动，供应商的最后报价不得高于其初始报价。</w:t>
      </w:r>
    </w:p>
    <w:p w14:paraId="4F9D71BA">
      <w:pPr>
        <w:numPr>
          <w:ilvl w:val="0"/>
          <w:numId w:val="0"/>
        </w:numPr>
        <w:adjustRightInd w:val="0"/>
        <w:snapToGrid w:val="0"/>
        <w:spacing w:line="560" w:lineRule="exact"/>
        <w:ind w:firstLine="320" w:firstLineChars="100"/>
        <w:rPr>
          <w:rFonts w:hint="eastAsia" w:ascii="仿宋" w:hAnsi="仿宋" w:eastAsia="仿宋" w:cs="仿宋"/>
          <w:color w:val="auto"/>
          <w:sz w:val="32"/>
          <w:szCs w:val="32"/>
          <w:highlight w:val="none"/>
        </w:rPr>
      </w:pPr>
      <w:r>
        <w:rPr>
          <w:rFonts w:hint="eastAsia" w:ascii="仿宋" w:hAnsi="仿宋" w:eastAsia="仿宋" w:cs="仿宋"/>
          <w:bCs/>
          <w:color w:val="auto"/>
          <w:kern w:val="2"/>
          <w:sz w:val="32"/>
          <w:szCs w:val="32"/>
          <w:lang w:val="en-US" w:eastAsia="zh-CN" w:bidi="ar-SA"/>
        </w:rPr>
        <w:t>（4）</w:t>
      </w:r>
      <w:r>
        <w:rPr>
          <w:rFonts w:hint="eastAsia" w:ascii="仿宋" w:hAnsi="仿宋" w:eastAsia="仿宋" w:cs="仿宋"/>
          <w:color w:val="auto"/>
          <w:sz w:val="32"/>
          <w:szCs w:val="32"/>
          <w:highlight w:val="none"/>
        </w:rPr>
        <w:t>如出现</w:t>
      </w:r>
      <w:r>
        <w:rPr>
          <w:rFonts w:hint="eastAsia" w:ascii="仿宋" w:hAnsi="仿宋" w:eastAsia="仿宋" w:cs="仿宋"/>
          <w:color w:val="auto"/>
          <w:sz w:val="32"/>
          <w:szCs w:val="32"/>
          <w:highlight w:val="none"/>
          <w:lang w:val="en-US" w:eastAsia="zh-CN"/>
        </w:rPr>
        <w:t>投标单位不足三家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项目流标，为了项目能够顺利进行下去，项目有两家单位的投标符合要求，招标项目仍按计划继续进行。</w:t>
      </w:r>
    </w:p>
    <w:p w14:paraId="1C0C9590">
      <w:pPr>
        <w:numPr>
          <w:ilvl w:val="0"/>
          <w:numId w:val="0"/>
        </w:num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）禁止供应商相互串通报价：</w:t>
      </w:r>
    </w:p>
    <w:p w14:paraId="0450EDD9">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有下列情形之一的，属于供应商相互串通报价：</w:t>
      </w:r>
    </w:p>
    <w:p w14:paraId="6C1EE5D5">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1）供应商之间协商报价等响应文件的实质性内容；</w:t>
      </w:r>
    </w:p>
    <w:p w14:paraId="64581D81">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2）供应商之间约定成交供应商；</w:t>
      </w:r>
    </w:p>
    <w:p w14:paraId="1BAE6DBF">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3）供应商之间约定部分供应商放弃报价或者成交；</w:t>
      </w:r>
    </w:p>
    <w:p w14:paraId="53735C3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4）属于同一集团、协会、商会等组织成员的供应商按照该组织要求协同报价；</w:t>
      </w:r>
    </w:p>
    <w:p w14:paraId="3AF5D129">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5）供应商之间为谋取成交或者排斥特定供应商而采取的其他联合行动。</w:t>
      </w:r>
    </w:p>
    <w:p w14:paraId="76AB3114">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）有下列情形之一的，视为供应商相互串通报价：</w:t>
      </w:r>
    </w:p>
    <w:p w14:paraId="4A9D54A4">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1）不同供应商的响应文件由同一单位或者个人编制；</w:t>
      </w:r>
    </w:p>
    <w:p w14:paraId="048943D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2）不同供应商委托同一单位或者个人办理报价事宜；</w:t>
      </w:r>
    </w:p>
    <w:p w14:paraId="26152BEC">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3）不同供应商的响应文件载明的项目管理成员为同一人；</w:t>
      </w:r>
    </w:p>
    <w:p w14:paraId="13F0F41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4）不同供应商的响应文件异常一致或者报价呈规律性差异；</w:t>
      </w:r>
    </w:p>
    <w:p w14:paraId="129045BE">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5）不同供应商的响应文件相互混装；</w:t>
      </w:r>
    </w:p>
    <w:p w14:paraId="1F2EB692">
      <w:pPr>
        <w:adjustRightInd w:val="0"/>
        <w:snapToGrid w:val="0"/>
        <w:spacing w:line="560" w:lineRule="exact"/>
        <w:ind w:firstLine="320" w:firstLineChars="1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）弄虚作假的行为：</w:t>
      </w:r>
    </w:p>
    <w:p w14:paraId="74BA4028">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使用通过受让或者租借等方式获取资格、资质证书报价的。</w:t>
      </w:r>
    </w:p>
    <w:p w14:paraId="34ED685E">
      <w:pPr>
        <w:adjustRightInd w:val="0"/>
        <w:snapToGrid w:val="0"/>
        <w:spacing w:line="560" w:lineRule="exac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以其他方式弄虚作假的行为：</w:t>
      </w:r>
    </w:p>
    <w:p w14:paraId="044051F8">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1）使用伪造、变造的许可证件；</w:t>
      </w:r>
    </w:p>
    <w:p w14:paraId="4F2D9E5E">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2）提供虚假的财务状况或者业绩；</w:t>
      </w:r>
    </w:p>
    <w:p w14:paraId="5A3C67A8">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3）提供虚假的项目负责人或者主要技术人员简历、劳动关系证明；</w:t>
      </w:r>
    </w:p>
    <w:p w14:paraId="77C2D73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4）提供虚假的信用状况；</w:t>
      </w:r>
    </w:p>
    <w:p w14:paraId="0906C0E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5）其他弄虚作假的行为。</w:t>
      </w:r>
    </w:p>
    <w:p w14:paraId="4BAC7E20">
      <w:pPr>
        <w:adjustRightInd w:val="0"/>
        <w:snapToGrid w:val="0"/>
        <w:spacing w:line="560" w:lineRule="exact"/>
        <w:ind w:firstLine="640" w:firstLineChars="200"/>
        <w:rPr>
          <w:rFonts w:ascii="仿宋" w:hAnsi="仿宋" w:eastAsia="仿宋" w:cs="仿宋"/>
          <w:color w:val="auto"/>
          <w:sz w:val="32"/>
          <w:szCs w:val="32"/>
          <w:highlight w:val="none"/>
        </w:rPr>
      </w:pPr>
      <w:bookmarkStart w:id="31" w:name="_Toc332979559"/>
      <w:bookmarkStart w:id="32" w:name="_Toc22147"/>
      <w:r>
        <w:rPr>
          <w:rFonts w:hint="eastAsia" w:ascii="仿宋" w:hAnsi="仿宋" w:eastAsia="仿宋" w:cs="仿宋"/>
          <w:color w:val="auto"/>
          <w:sz w:val="32"/>
          <w:szCs w:val="32"/>
          <w:highlight w:val="none"/>
        </w:rPr>
        <w:t>五、废标</w:t>
      </w:r>
      <w:bookmarkEnd w:id="30"/>
      <w:bookmarkEnd w:id="31"/>
      <w:bookmarkEnd w:id="32"/>
    </w:p>
    <w:p w14:paraId="2282C3D2">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在招标采购中，出现下列情形之一的，应予废标：</w:t>
      </w:r>
    </w:p>
    <w:p w14:paraId="7745AA12">
      <w:pPr>
        <w:adjustRightInd w:val="0"/>
        <w:snapToGrid w:val="0"/>
        <w:spacing w:line="560" w:lineRule="exact"/>
        <w:ind w:firstLine="640" w:firstLineChars="2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1.符合专业条件的供应商或者对磋商文件作实质响应的供应商不足三家的；</w:t>
      </w:r>
    </w:p>
    <w:p w14:paraId="070AD190">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2.出现影响采购公正的违法、违规行为的；</w:t>
      </w:r>
    </w:p>
    <w:p w14:paraId="27F52213">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3.供应商的报价均超过了预算金额（备注：设定最高限价的，本项内容改为最高限价），招标人不能支付的；</w:t>
      </w:r>
    </w:p>
    <w:p w14:paraId="369E4250">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4.因重大变故，采购任务取消的；</w:t>
      </w:r>
    </w:p>
    <w:p w14:paraId="75C22973">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在开标后如发现一方直接或者间接持有另一方的股份总和达到25%以上的，双方直接或者间接同为第三方所持有的股份达到25%以上的，一律按否决其投标处理；或双方存在持股关系或者同为第三方持股，虽持股比例未达到25%以上，但一方的购买、销售、接受劳务、提供劳务等经营活动由另一方控制的，一律按否决其投标处理。</w:t>
      </w:r>
    </w:p>
    <w:p w14:paraId="0BE2E850">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6.不同单位的法定代表人、负责人、董事或监事有夫妻、直系血亲关系、其他抚养或赡养关系的，应主动向招标人告知，否则事后一经查实，一律视投标人在投标中弄虚作假，已经中标的则取消中标资格并承担相应法律责任。</w:t>
      </w:r>
    </w:p>
    <w:p w14:paraId="00C6EDC1">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7.供应商（投标人）之间存在关联关系采购人有权根据学校采购有关规定取消其投标（或取消其提交响应文件），由此产生的一切后果均由相关供应商（投标人）承担。</w:t>
      </w:r>
    </w:p>
    <w:p w14:paraId="1B7FE59A">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8.法律、法规规定的其他情况。</w:t>
      </w:r>
    </w:p>
    <w:p w14:paraId="2487D121">
      <w:pPr>
        <w:adjustRightInd w:val="0"/>
        <w:snapToGrid w:val="0"/>
        <w:spacing w:line="560" w:lineRule="exact"/>
        <w:ind w:firstLine="640" w:firstLineChars="200"/>
        <w:rPr>
          <w:rFonts w:ascii="仿宋" w:hAnsi="仿宋" w:eastAsia="仿宋" w:cs="仿宋"/>
          <w:color w:val="auto"/>
          <w:sz w:val="32"/>
          <w:szCs w:val="32"/>
          <w:highlight w:val="none"/>
        </w:rPr>
      </w:pPr>
      <w:bookmarkStart w:id="33" w:name="_Toc332979560"/>
      <w:bookmarkStart w:id="34" w:name="_Toc3341"/>
      <w:bookmarkStart w:id="35" w:name="_Toc325620719"/>
      <w:r>
        <w:rPr>
          <w:rFonts w:hint="eastAsia" w:ascii="仿宋" w:hAnsi="仿宋" w:eastAsia="仿宋" w:cs="仿宋"/>
          <w:color w:val="auto"/>
          <w:sz w:val="32"/>
          <w:szCs w:val="32"/>
          <w:highlight w:val="none"/>
        </w:rPr>
        <w:t>六、中标通知书</w:t>
      </w:r>
      <w:bookmarkEnd w:id="33"/>
      <w:bookmarkEnd w:id="34"/>
      <w:bookmarkEnd w:id="35"/>
    </w:p>
    <w:p w14:paraId="34EFCE20">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1.评标结束后，由采购人即日向中标人签发《中标通知书》。</w:t>
      </w:r>
    </w:p>
    <w:p w14:paraId="7C19F1EA">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2.中标人收到中标通知书后，应于指定的时间、地点与招标人签订采购合同。</w:t>
      </w:r>
    </w:p>
    <w:p w14:paraId="46D0F2CD">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3.磋商文件及其补充、中标人的报价文件及澄清文件等，均为签订合同的依据。</w:t>
      </w:r>
    </w:p>
    <w:p w14:paraId="45C3BEBD">
      <w:pPr>
        <w:adjustRightInd w:val="0"/>
        <w:snapToGrid w:val="0"/>
        <w:spacing w:line="560" w:lineRule="exact"/>
        <w:ind w:firstLine="640" w:firstLineChars="200"/>
        <w:rPr>
          <w:rFonts w:ascii="仿宋" w:hAnsi="仿宋" w:eastAsia="仿宋" w:cs="仿宋"/>
          <w:color w:val="auto"/>
          <w:sz w:val="32"/>
          <w:szCs w:val="32"/>
          <w:highlight w:val="none"/>
        </w:rPr>
      </w:pPr>
      <w:bookmarkStart w:id="36" w:name="_Toc18290"/>
      <w:bookmarkStart w:id="37" w:name="_Toc332979561"/>
      <w:r>
        <w:rPr>
          <w:rFonts w:hint="eastAsia" w:ascii="仿宋" w:hAnsi="仿宋" w:eastAsia="仿宋" w:cs="仿宋"/>
          <w:color w:val="auto"/>
          <w:sz w:val="32"/>
          <w:szCs w:val="32"/>
          <w:highlight w:val="none"/>
        </w:rPr>
        <w:t>七、初步评审</w:t>
      </w:r>
    </w:p>
    <w:p w14:paraId="34C41328">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635A1E70">
      <w:pPr>
        <w:adjustRightInd w:val="0"/>
        <w:snapToGrid w:val="0"/>
        <w:spacing w:line="560" w:lineRule="exact"/>
        <w:ind w:firstLine="640" w:firstLineChars="200"/>
        <w:rPr>
          <w:rFonts w:hint="eastAsia" w:ascii="仿宋" w:hAnsi="仿宋" w:eastAsia="仿宋" w:cs="仿宋"/>
          <w:color w:val="auto"/>
          <w:sz w:val="32"/>
          <w:szCs w:val="32"/>
          <w:highlight w:val="none"/>
        </w:rPr>
      </w:pPr>
    </w:p>
    <w:p w14:paraId="3E095059">
      <w:pPr>
        <w:adjustRightInd w:val="0"/>
        <w:snapToGrid w:val="0"/>
        <w:spacing w:line="560" w:lineRule="exact"/>
        <w:ind w:firstLine="640" w:firstLineChars="2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八、决标办法</w:t>
      </w:r>
    </w:p>
    <w:p w14:paraId="3BBE5768">
      <w:pPr>
        <w:pStyle w:val="13"/>
        <w:spacing w:line="560" w:lineRule="exact"/>
        <w:ind w:firstLine="559"/>
        <w:rPr>
          <w:color w:val="auto"/>
          <w:sz w:val="32"/>
          <w:szCs w:val="32"/>
          <w:highlight w:val="none"/>
        </w:rPr>
        <w:sectPr>
          <w:footerReference r:id="rId10" w:type="default"/>
          <w:pgSz w:w="11910" w:h="16840"/>
          <w:pgMar w:top="1000" w:right="1160" w:bottom="840" w:left="1300" w:header="566" w:footer="654" w:gutter="0"/>
          <w:pgNumType w:fmt="numberInDash"/>
          <w:cols w:space="720" w:num="1"/>
        </w:sectPr>
      </w:pPr>
      <w:r>
        <w:rPr>
          <w:rFonts w:hint="eastAsia" w:ascii="仿宋" w:hAnsi="仿宋" w:eastAsia="仿宋" w:cs="仿宋"/>
          <w:color w:val="auto"/>
          <w:szCs w:val="32"/>
          <w:highlight w:val="none"/>
          <w:lang w:val="en-US" w:eastAsia="zh-CN"/>
        </w:rPr>
        <w:t>1.</w:t>
      </w:r>
      <w:r>
        <w:rPr>
          <w:rFonts w:hint="eastAsia" w:ascii="仿宋" w:hAnsi="仿宋" w:eastAsia="仿宋" w:cs="仿宋"/>
          <w:color w:val="auto"/>
          <w:szCs w:val="32"/>
          <w:highlight w:val="none"/>
        </w:rPr>
        <w:t>本项目为磋商项目，由磋商小组采用综合评分法对所有服务商的响应文件进行综合评分，综合得分最高的供应商为第一成交候选供应商，综合得分次高的供应商为第二成交候选供应商，以此类推。</w:t>
      </w:r>
    </w:p>
    <w:p w14:paraId="48D34EAE">
      <w:pPr>
        <w:pStyle w:val="2"/>
        <w:adjustRightInd w:val="0"/>
        <w:snapToGrid w:val="0"/>
        <w:spacing w:line="560" w:lineRule="exact"/>
        <w:jc w:val="center"/>
        <w:rPr>
          <w:rFonts w:ascii="仿宋" w:hAnsi="仿宋" w:eastAsia="仿宋" w:cs="仿宋"/>
          <w:color w:val="auto"/>
          <w:sz w:val="44"/>
          <w:highlight w:val="none"/>
        </w:rPr>
      </w:pPr>
      <w:bookmarkStart w:id="38" w:name="_Toc137754580"/>
      <w:bookmarkStart w:id="39" w:name="_Toc19325"/>
      <w:r>
        <w:rPr>
          <w:rFonts w:hint="eastAsia" w:ascii="仿宋" w:hAnsi="仿宋" w:eastAsia="仿宋" w:cs="仿宋"/>
          <w:color w:val="auto"/>
          <w:sz w:val="44"/>
          <w:highlight w:val="none"/>
        </w:rPr>
        <w:t>第三部分 评审办法</w:t>
      </w:r>
      <w:bookmarkEnd w:id="38"/>
      <w:bookmarkEnd w:id="39"/>
    </w:p>
    <w:p w14:paraId="07568A9F">
      <w:pPr>
        <w:rPr>
          <w:color w:val="auto"/>
          <w:sz w:val="24"/>
          <w:szCs w:val="22"/>
          <w:highlight w:val="none"/>
        </w:rPr>
      </w:pPr>
    </w:p>
    <w:p w14:paraId="2F31E70B">
      <w:pPr>
        <w:widowControl/>
        <w:adjustRightInd w:val="0"/>
        <w:snapToGrid w:val="0"/>
        <w:spacing w:line="560" w:lineRule="exact"/>
        <w:ind w:firstLine="640" w:firstLineChars="200"/>
        <w:jc w:val="left"/>
        <w:rPr>
          <w:rFonts w:ascii="黑体" w:hAnsi="黑体" w:eastAsia="黑体" w:cs="黑体"/>
          <w:bCs w:val="0"/>
          <w:color w:val="auto"/>
          <w:sz w:val="32"/>
          <w:szCs w:val="32"/>
          <w:highlight w:val="none"/>
        </w:rPr>
      </w:pPr>
      <w:r>
        <w:rPr>
          <w:rFonts w:hint="eastAsia" w:ascii="黑体" w:hAnsi="黑体" w:eastAsia="黑体" w:cs="黑体"/>
          <w:bCs w:val="0"/>
          <w:color w:val="auto"/>
          <w:sz w:val="32"/>
          <w:szCs w:val="32"/>
          <w:highlight w:val="none"/>
        </w:rPr>
        <w:t>一、初步评审</w:t>
      </w:r>
    </w:p>
    <w:p w14:paraId="7802B1B8">
      <w:pPr>
        <w:adjustRightInd w:val="0"/>
        <w:snapToGrid w:val="0"/>
        <w:spacing w:line="560" w:lineRule="exact"/>
        <w:ind w:firstLine="640" w:firstLineChars="200"/>
        <w:rPr>
          <w:rFonts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进入评审程序后，磋商小组先对服务商的响应文件进行初步评审。磋商小组将根据评审办法的规定和“初步审查表”对响应文件的资格性和符合性进行评审，只有对“初步审查表”（详见初步审查表）所列各项作出实质性响应的响应文件才能通过初步评审。对是否实质性响应磋商文件的要求有争议的内容，评选委员会将以记名方式表决，得票超过半数的服务商（参与本次磋商的服务商）有资格进入下一阶段的评审，否则将被淘汰。</w:t>
      </w:r>
    </w:p>
    <w:p w14:paraId="611D4449">
      <w:pPr>
        <w:widowControl/>
        <w:adjustRightInd w:val="0"/>
        <w:snapToGrid w:val="0"/>
        <w:spacing w:line="560" w:lineRule="exact"/>
        <w:ind w:firstLine="640" w:firstLineChars="200"/>
        <w:jc w:val="left"/>
        <w:rPr>
          <w:rFonts w:ascii="黑体" w:hAnsi="黑体" w:eastAsia="黑体" w:cs="黑体"/>
          <w:bCs w:val="0"/>
          <w:color w:val="auto"/>
          <w:sz w:val="32"/>
          <w:szCs w:val="32"/>
          <w:highlight w:val="none"/>
        </w:rPr>
      </w:pPr>
      <w:r>
        <w:rPr>
          <w:rFonts w:hint="eastAsia" w:ascii="黑体" w:hAnsi="黑体" w:eastAsia="黑体" w:cs="黑体"/>
          <w:bCs w:val="0"/>
          <w:color w:val="auto"/>
          <w:sz w:val="32"/>
          <w:szCs w:val="32"/>
          <w:highlight w:val="none"/>
        </w:rPr>
        <w:t>二、详细评审</w:t>
      </w:r>
    </w:p>
    <w:p w14:paraId="2C2ED42B">
      <w:pPr>
        <w:pStyle w:val="13"/>
        <w:adjustRightInd w:val="0"/>
        <w:snapToGrid w:val="0"/>
        <w:spacing w:line="560" w:lineRule="exact"/>
        <w:ind w:firstLine="559"/>
        <w:rPr>
          <w:rFonts w:ascii="仿宋" w:hAnsi="仿宋" w:eastAsia="仿宋" w:cs="仿宋"/>
          <w:color w:val="auto"/>
          <w:szCs w:val="32"/>
          <w:highlight w:val="none"/>
        </w:rPr>
      </w:pPr>
      <w:r>
        <w:rPr>
          <w:rFonts w:hint="eastAsia" w:ascii="仿宋" w:hAnsi="仿宋" w:eastAsia="仿宋" w:cs="仿宋"/>
          <w:color w:val="auto"/>
          <w:spacing w:val="2"/>
          <w:szCs w:val="32"/>
          <w:highlight w:val="none"/>
        </w:rPr>
        <w:t>（一）评标委员会根据评审办法对通过初步评审的响应文件进行详细评</w:t>
      </w:r>
      <w:r>
        <w:rPr>
          <w:rFonts w:hint="eastAsia" w:ascii="仿宋" w:hAnsi="仿宋" w:eastAsia="仿宋" w:cs="仿宋"/>
          <w:color w:val="auto"/>
          <w:spacing w:val="24"/>
          <w:szCs w:val="32"/>
          <w:highlight w:val="none"/>
        </w:rPr>
        <w:t xml:space="preserve"> </w:t>
      </w:r>
      <w:r>
        <w:rPr>
          <w:rFonts w:hint="eastAsia" w:ascii="仿宋" w:hAnsi="仿宋" w:eastAsia="仿宋" w:cs="仿宋"/>
          <w:color w:val="auto"/>
          <w:spacing w:val="-2"/>
          <w:szCs w:val="32"/>
          <w:highlight w:val="none"/>
        </w:rPr>
        <w:t>审，并进行技术和商务的评审打分。</w:t>
      </w:r>
    </w:p>
    <w:p w14:paraId="6862382B">
      <w:pPr>
        <w:pStyle w:val="13"/>
        <w:adjustRightInd w:val="0"/>
        <w:snapToGrid w:val="0"/>
        <w:spacing w:line="560" w:lineRule="exact"/>
        <w:ind w:firstLine="632" w:firstLineChars="200"/>
        <w:jc w:val="left"/>
        <w:rPr>
          <w:rFonts w:ascii="仿宋" w:hAnsi="仿宋" w:eastAsia="仿宋" w:cs="仿宋"/>
          <w:color w:val="auto"/>
          <w:spacing w:val="-1"/>
          <w:szCs w:val="32"/>
          <w:highlight w:val="none"/>
        </w:rPr>
      </w:pPr>
      <w:r>
        <w:rPr>
          <w:rFonts w:hint="eastAsia" w:ascii="仿宋" w:hAnsi="仿宋" w:eastAsia="仿宋" w:cs="仿宋"/>
          <w:color w:val="auto"/>
          <w:spacing w:val="-2"/>
          <w:szCs w:val="32"/>
          <w:highlight w:val="none"/>
        </w:rPr>
        <w:t>（二）技术、商务评分：具体评审的内容详见（附表</w:t>
      </w:r>
      <w:r>
        <w:rPr>
          <w:rFonts w:hint="eastAsia" w:ascii="仿宋" w:hAnsi="仿宋" w:eastAsia="仿宋" w:cs="仿宋"/>
          <w:color w:val="auto"/>
          <w:spacing w:val="-71"/>
          <w:szCs w:val="32"/>
          <w:highlight w:val="none"/>
        </w:rPr>
        <w:t xml:space="preserve"> </w:t>
      </w:r>
      <w:r>
        <w:rPr>
          <w:rFonts w:hint="eastAsia" w:ascii="仿宋" w:hAnsi="仿宋" w:eastAsia="仿宋" w:cs="仿宋"/>
          <w:color w:val="auto"/>
          <w:spacing w:val="-1"/>
          <w:szCs w:val="32"/>
          <w:highlight w:val="none"/>
        </w:rPr>
        <w:t>2）；</w:t>
      </w:r>
    </w:p>
    <w:p w14:paraId="3D887FC6">
      <w:pPr>
        <w:pStyle w:val="13"/>
        <w:adjustRightInd w:val="0"/>
        <w:snapToGrid w:val="0"/>
        <w:spacing w:line="560" w:lineRule="exact"/>
        <w:ind w:firstLine="380" w:firstLineChars="100"/>
        <w:jc w:val="left"/>
        <w:rPr>
          <w:rFonts w:ascii="仿宋" w:hAnsi="仿宋" w:eastAsia="仿宋" w:cs="仿宋"/>
          <w:color w:val="auto"/>
          <w:szCs w:val="32"/>
          <w:highlight w:val="none"/>
        </w:rPr>
      </w:pPr>
      <w:r>
        <w:rPr>
          <w:rFonts w:hint="eastAsia" w:ascii="仿宋" w:hAnsi="仿宋" w:eastAsia="仿宋" w:cs="仿宋"/>
          <w:color w:val="auto"/>
          <w:spacing w:val="30"/>
          <w:szCs w:val="32"/>
          <w:highlight w:val="none"/>
        </w:rPr>
        <w:t xml:space="preserve"> </w:t>
      </w:r>
      <w:r>
        <w:rPr>
          <w:rFonts w:hint="eastAsia" w:ascii="仿宋" w:hAnsi="仿宋" w:eastAsia="仿宋" w:cs="仿宋"/>
          <w:color w:val="auto"/>
          <w:spacing w:val="2"/>
          <w:szCs w:val="32"/>
          <w:highlight w:val="none"/>
        </w:rPr>
        <w:t>（三）价格分统一采用低价优先法计算，将通过初步评审的所有供应商的投标价格，即满足竞争性磋商文件要求且价格最低的投标价为基准价，</w:t>
      </w:r>
      <w:r>
        <w:rPr>
          <w:rFonts w:hint="eastAsia" w:ascii="仿宋" w:hAnsi="仿宋" w:eastAsia="仿宋" w:cs="仿宋"/>
          <w:color w:val="auto"/>
          <w:spacing w:val="-2"/>
          <w:szCs w:val="32"/>
          <w:highlight w:val="none"/>
        </w:rPr>
        <w:t>其价格分为满分。其他供应商的价格分统一按照下列公式计算：</w:t>
      </w:r>
    </w:p>
    <w:p w14:paraId="13C7B752">
      <w:pPr>
        <w:adjustRightInd w:val="0"/>
        <w:snapToGrid w:val="0"/>
        <w:spacing w:line="560" w:lineRule="exact"/>
        <w:jc w:val="left"/>
        <w:rPr>
          <w:rFonts w:ascii="仿宋" w:hAnsi="仿宋" w:eastAsia="仿宋" w:cs="仿宋"/>
          <w:b/>
          <w:color w:val="auto"/>
          <w:spacing w:val="35"/>
          <w:w w:val="99"/>
          <w:sz w:val="32"/>
          <w:szCs w:val="32"/>
          <w:highlight w:val="none"/>
        </w:rPr>
      </w:pPr>
      <w:r>
        <w:rPr>
          <w:rFonts w:hint="eastAsia" w:ascii="仿宋" w:hAnsi="仿宋" w:eastAsia="仿宋" w:cs="仿宋"/>
          <w:b/>
          <w:color w:val="auto"/>
          <w:spacing w:val="-1"/>
          <w:sz w:val="32"/>
          <w:szCs w:val="32"/>
          <w:highlight w:val="none"/>
        </w:rPr>
        <w:t>磋商报价得分=(基准价／最终报价)×价格权值×100</w:t>
      </w:r>
      <w:r>
        <w:rPr>
          <w:rFonts w:hint="eastAsia" w:ascii="仿宋" w:hAnsi="仿宋" w:eastAsia="仿宋" w:cs="仿宋"/>
          <w:b/>
          <w:color w:val="auto"/>
          <w:spacing w:val="35"/>
          <w:w w:val="99"/>
          <w:sz w:val="32"/>
          <w:szCs w:val="32"/>
          <w:highlight w:val="none"/>
        </w:rPr>
        <w:t xml:space="preserve"> </w:t>
      </w:r>
    </w:p>
    <w:p w14:paraId="05A23BB3">
      <w:pPr>
        <w:adjustRightInd w:val="0"/>
        <w:snapToGrid w:val="0"/>
        <w:spacing w:line="560" w:lineRule="exact"/>
        <w:ind w:firstLine="632" w:firstLineChars="200"/>
        <w:jc w:val="left"/>
        <w:rPr>
          <w:rFonts w:ascii="黑体" w:hAnsi="黑体" w:eastAsia="黑体" w:cs="黑体"/>
          <w:color w:val="auto"/>
          <w:sz w:val="32"/>
          <w:szCs w:val="32"/>
          <w:highlight w:val="none"/>
        </w:rPr>
      </w:pPr>
      <w:r>
        <w:rPr>
          <w:rFonts w:hint="eastAsia" w:ascii="黑体" w:hAnsi="黑体" w:eastAsia="黑体" w:cs="黑体"/>
          <w:color w:val="auto"/>
          <w:spacing w:val="-2"/>
          <w:sz w:val="32"/>
          <w:szCs w:val="32"/>
          <w:highlight w:val="none"/>
        </w:rPr>
        <w:t>三、技术、商务及价格权重分配</w:t>
      </w:r>
    </w:p>
    <w:tbl>
      <w:tblPr>
        <w:tblStyle w:val="25"/>
        <w:tblW w:w="0" w:type="auto"/>
        <w:jc w:val="center"/>
        <w:tblLayout w:type="fixed"/>
        <w:tblCellMar>
          <w:top w:w="0" w:type="dxa"/>
          <w:left w:w="0" w:type="dxa"/>
          <w:bottom w:w="0" w:type="dxa"/>
          <w:right w:w="0" w:type="dxa"/>
        </w:tblCellMar>
      </w:tblPr>
      <w:tblGrid>
        <w:gridCol w:w="2490"/>
        <w:gridCol w:w="3660"/>
        <w:gridCol w:w="2925"/>
      </w:tblGrid>
      <w:tr w14:paraId="72F5A905">
        <w:tblPrEx>
          <w:tblCellMar>
            <w:top w:w="0" w:type="dxa"/>
            <w:left w:w="0" w:type="dxa"/>
            <w:bottom w:w="0" w:type="dxa"/>
            <w:right w:w="0" w:type="dxa"/>
          </w:tblCellMar>
        </w:tblPrEx>
        <w:trPr>
          <w:trHeight w:val="657" w:hRule="exact"/>
          <w:jc w:val="center"/>
        </w:trPr>
        <w:tc>
          <w:tcPr>
            <w:tcW w:w="2490" w:type="dxa"/>
            <w:tcBorders>
              <w:top w:val="single" w:color="000000" w:sz="4" w:space="0"/>
              <w:left w:val="single" w:color="000000" w:sz="4" w:space="0"/>
              <w:bottom w:val="single" w:color="000000" w:sz="4" w:space="0"/>
              <w:right w:val="single" w:color="000000" w:sz="4" w:space="0"/>
            </w:tcBorders>
          </w:tcPr>
          <w:p w14:paraId="1D03B282">
            <w:pPr>
              <w:pStyle w:val="44"/>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评分项目</w:t>
            </w:r>
          </w:p>
        </w:tc>
        <w:tc>
          <w:tcPr>
            <w:tcW w:w="3660" w:type="dxa"/>
            <w:tcBorders>
              <w:top w:val="single" w:color="000000" w:sz="4" w:space="0"/>
              <w:left w:val="single" w:color="000000" w:sz="4" w:space="0"/>
              <w:bottom w:val="single" w:color="000000" w:sz="4" w:space="0"/>
              <w:right w:val="single" w:color="000000" w:sz="4" w:space="0"/>
            </w:tcBorders>
          </w:tcPr>
          <w:p w14:paraId="25C8AAF7">
            <w:pPr>
              <w:pStyle w:val="44"/>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技术/商务评审项</w:t>
            </w:r>
          </w:p>
        </w:tc>
        <w:tc>
          <w:tcPr>
            <w:tcW w:w="2925" w:type="dxa"/>
            <w:tcBorders>
              <w:top w:val="single" w:color="000000" w:sz="4" w:space="0"/>
              <w:left w:val="single" w:color="000000" w:sz="4" w:space="0"/>
              <w:bottom w:val="single" w:color="000000" w:sz="4" w:space="0"/>
              <w:right w:val="single" w:color="000000" w:sz="4" w:space="0"/>
            </w:tcBorders>
          </w:tcPr>
          <w:p w14:paraId="4F060480">
            <w:pPr>
              <w:pStyle w:val="44"/>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pacing w:val="-2"/>
                <w:sz w:val="32"/>
                <w:szCs w:val="32"/>
                <w:highlight w:val="none"/>
              </w:rPr>
              <w:t>价格项</w:t>
            </w:r>
          </w:p>
        </w:tc>
      </w:tr>
      <w:tr w14:paraId="0720DF35">
        <w:tblPrEx>
          <w:tblCellMar>
            <w:top w:w="0" w:type="dxa"/>
            <w:left w:w="0" w:type="dxa"/>
            <w:bottom w:w="0" w:type="dxa"/>
            <w:right w:w="0" w:type="dxa"/>
          </w:tblCellMar>
        </w:tblPrEx>
        <w:trPr>
          <w:trHeight w:val="595" w:hRule="exact"/>
          <w:jc w:val="center"/>
        </w:trPr>
        <w:tc>
          <w:tcPr>
            <w:tcW w:w="2490" w:type="dxa"/>
            <w:tcBorders>
              <w:top w:val="single" w:color="000000" w:sz="4" w:space="0"/>
              <w:left w:val="single" w:color="000000" w:sz="4" w:space="0"/>
              <w:bottom w:val="single" w:color="000000" w:sz="4" w:space="0"/>
              <w:right w:val="single" w:color="000000" w:sz="4" w:space="0"/>
            </w:tcBorders>
          </w:tcPr>
          <w:p w14:paraId="4E108189">
            <w:pPr>
              <w:pStyle w:val="44"/>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rPr>
              <w:t>权值</w:t>
            </w:r>
          </w:p>
        </w:tc>
        <w:tc>
          <w:tcPr>
            <w:tcW w:w="3660" w:type="dxa"/>
            <w:tcBorders>
              <w:top w:val="single" w:color="000000" w:sz="4" w:space="0"/>
              <w:left w:val="single" w:color="000000" w:sz="4" w:space="0"/>
              <w:bottom w:val="single" w:color="000000" w:sz="4" w:space="0"/>
              <w:right w:val="single" w:color="000000" w:sz="4" w:space="0"/>
            </w:tcBorders>
          </w:tcPr>
          <w:p w14:paraId="75D882F8">
            <w:pPr>
              <w:pStyle w:val="44"/>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0%</w:t>
            </w:r>
          </w:p>
        </w:tc>
        <w:tc>
          <w:tcPr>
            <w:tcW w:w="2925" w:type="dxa"/>
            <w:tcBorders>
              <w:top w:val="single" w:color="000000" w:sz="4" w:space="0"/>
              <w:left w:val="single" w:color="000000" w:sz="4" w:space="0"/>
              <w:bottom w:val="single" w:color="000000" w:sz="4" w:space="0"/>
              <w:right w:val="single" w:color="000000" w:sz="4" w:space="0"/>
            </w:tcBorders>
          </w:tcPr>
          <w:p w14:paraId="6314512A">
            <w:pPr>
              <w:pStyle w:val="44"/>
              <w:keepNext w:val="0"/>
              <w:keepLines w:val="0"/>
              <w:suppressLineNumbers w:val="0"/>
              <w:adjustRightInd w:val="0"/>
              <w:snapToGrid w:val="0"/>
              <w:spacing w:before="0" w:beforeAutospacing="0" w:after="0" w:afterAutospacing="0" w:line="560" w:lineRule="exact"/>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pacing w:val="-1"/>
                <w:sz w:val="32"/>
                <w:szCs w:val="32"/>
                <w:highlight w:val="none"/>
                <w:lang w:val="en-US" w:eastAsia="zh-CN"/>
              </w:rPr>
              <w:t>2</w:t>
            </w:r>
            <w:r>
              <w:rPr>
                <w:rFonts w:hint="eastAsia" w:ascii="仿宋" w:hAnsi="仿宋" w:eastAsia="仿宋" w:cs="仿宋"/>
                <w:color w:val="auto"/>
                <w:spacing w:val="-1"/>
                <w:sz w:val="32"/>
                <w:szCs w:val="32"/>
                <w:highlight w:val="none"/>
              </w:rPr>
              <w:t>0%</w:t>
            </w:r>
          </w:p>
        </w:tc>
      </w:tr>
    </w:tbl>
    <w:p w14:paraId="62D2A216">
      <w:pPr>
        <w:pStyle w:val="13"/>
        <w:adjustRightInd w:val="0"/>
        <w:snapToGrid w:val="0"/>
        <w:spacing w:line="560" w:lineRule="exact"/>
        <w:ind w:firstLine="648" w:firstLineChars="200"/>
        <w:rPr>
          <w:rFonts w:ascii="仿宋" w:hAnsi="仿宋" w:eastAsia="仿宋" w:cs="仿宋"/>
          <w:color w:val="auto"/>
          <w:szCs w:val="32"/>
          <w:highlight w:val="none"/>
        </w:rPr>
      </w:pPr>
      <w:r>
        <w:rPr>
          <w:rFonts w:hint="eastAsia" w:ascii="黑体" w:hAnsi="黑体" w:eastAsia="黑体" w:cs="黑体"/>
          <w:color w:val="auto"/>
          <w:spacing w:val="2"/>
          <w:szCs w:val="32"/>
          <w:highlight w:val="none"/>
        </w:rPr>
        <w:t>四、综合评分及其统计：</w:t>
      </w:r>
      <w:r>
        <w:rPr>
          <w:rFonts w:hint="eastAsia" w:ascii="仿宋" w:hAnsi="仿宋" w:eastAsia="仿宋" w:cs="仿宋"/>
          <w:color w:val="auto"/>
          <w:spacing w:val="2"/>
          <w:szCs w:val="32"/>
          <w:highlight w:val="none"/>
        </w:rPr>
        <w:t>按照评标程序、评分标准以及分值分配的规定，评标委员会成员分别就各个供应商的技术、商务状况，其对竞争性磋商文件要求的响应情况进行评议和比较，评出各供应商的得分，得分与投标报价分相加得出综合得分。综合得分最高的供应商为第一成交候选供应</w:t>
      </w:r>
      <w:r>
        <w:rPr>
          <w:rFonts w:hint="eastAsia" w:ascii="仿宋" w:hAnsi="仿宋" w:eastAsia="仿宋" w:cs="仿宋"/>
          <w:color w:val="auto"/>
          <w:spacing w:val="-2"/>
          <w:szCs w:val="32"/>
          <w:highlight w:val="none"/>
        </w:rPr>
        <w:t>商，综合得分次高的供应商为第二成交候选供应商，以此类推。</w:t>
      </w:r>
    </w:p>
    <w:p w14:paraId="03C112F0">
      <w:pPr>
        <w:spacing w:line="356" w:lineRule="auto"/>
        <w:rPr>
          <w:color w:val="auto"/>
          <w:highlight w:val="none"/>
        </w:rPr>
      </w:pPr>
    </w:p>
    <w:p w14:paraId="5597898E">
      <w:pPr>
        <w:jc w:val="center"/>
        <w:rPr>
          <w:color w:val="auto"/>
          <w:sz w:val="32"/>
          <w:highlight w:val="none"/>
        </w:rPr>
      </w:pPr>
    </w:p>
    <w:p w14:paraId="49768D28">
      <w:pPr>
        <w:jc w:val="center"/>
        <w:rPr>
          <w:color w:val="auto"/>
          <w:sz w:val="32"/>
          <w:highlight w:val="none"/>
        </w:rPr>
      </w:pPr>
    </w:p>
    <w:p w14:paraId="24F8C506">
      <w:pPr>
        <w:jc w:val="center"/>
        <w:rPr>
          <w:color w:val="auto"/>
          <w:sz w:val="32"/>
          <w:highlight w:val="none"/>
        </w:rPr>
      </w:pPr>
    </w:p>
    <w:p w14:paraId="6262D38C">
      <w:pPr>
        <w:jc w:val="center"/>
        <w:rPr>
          <w:color w:val="auto"/>
          <w:sz w:val="32"/>
          <w:highlight w:val="none"/>
        </w:rPr>
      </w:pPr>
    </w:p>
    <w:p w14:paraId="6AA5E571">
      <w:pPr>
        <w:jc w:val="center"/>
        <w:rPr>
          <w:color w:val="auto"/>
          <w:sz w:val="32"/>
          <w:highlight w:val="none"/>
        </w:rPr>
      </w:pPr>
    </w:p>
    <w:p w14:paraId="0ECF819A">
      <w:pPr>
        <w:jc w:val="center"/>
        <w:rPr>
          <w:color w:val="auto"/>
          <w:sz w:val="32"/>
          <w:highlight w:val="none"/>
        </w:rPr>
      </w:pPr>
    </w:p>
    <w:p w14:paraId="0C366E72">
      <w:pPr>
        <w:jc w:val="center"/>
        <w:rPr>
          <w:color w:val="auto"/>
          <w:sz w:val="32"/>
          <w:highlight w:val="none"/>
        </w:rPr>
      </w:pPr>
    </w:p>
    <w:p w14:paraId="48A59E31">
      <w:pPr>
        <w:jc w:val="center"/>
        <w:rPr>
          <w:color w:val="auto"/>
          <w:sz w:val="32"/>
          <w:highlight w:val="none"/>
        </w:rPr>
      </w:pPr>
    </w:p>
    <w:p w14:paraId="5F949D31">
      <w:pPr>
        <w:jc w:val="center"/>
        <w:rPr>
          <w:color w:val="auto"/>
          <w:sz w:val="32"/>
          <w:highlight w:val="none"/>
        </w:rPr>
      </w:pPr>
    </w:p>
    <w:p w14:paraId="12680043">
      <w:pPr>
        <w:jc w:val="center"/>
        <w:rPr>
          <w:color w:val="auto"/>
          <w:sz w:val="32"/>
          <w:highlight w:val="none"/>
        </w:rPr>
      </w:pPr>
    </w:p>
    <w:p w14:paraId="72359C88">
      <w:pPr>
        <w:jc w:val="center"/>
        <w:rPr>
          <w:color w:val="auto"/>
          <w:sz w:val="32"/>
          <w:highlight w:val="none"/>
        </w:rPr>
      </w:pPr>
    </w:p>
    <w:p w14:paraId="0395C96E">
      <w:pPr>
        <w:jc w:val="center"/>
        <w:rPr>
          <w:color w:val="auto"/>
          <w:sz w:val="32"/>
          <w:highlight w:val="none"/>
        </w:rPr>
      </w:pPr>
    </w:p>
    <w:p w14:paraId="08039112">
      <w:pPr>
        <w:jc w:val="center"/>
        <w:rPr>
          <w:color w:val="auto"/>
          <w:sz w:val="32"/>
          <w:highlight w:val="none"/>
        </w:rPr>
      </w:pPr>
    </w:p>
    <w:p w14:paraId="4F31C23C">
      <w:pPr>
        <w:jc w:val="center"/>
        <w:rPr>
          <w:color w:val="auto"/>
          <w:sz w:val="32"/>
          <w:highlight w:val="none"/>
        </w:rPr>
      </w:pPr>
    </w:p>
    <w:p w14:paraId="287D1EC3">
      <w:pPr>
        <w:jc w:val="center"/>
        <w:rPr>
          <w:color w:val="auto"/>
          <w:sz w:val="32"/>
          <w:highlight w:val="none"/>
        </w:rPr>
      </w:pPr>
    </w:p>
    <w:p w14:paraId="3450DEC8">
      <w:pPr>
        <w:jc w:val="center"/>
        <w:rPr>
          <w:color w:val="auto"/>
          <w:sz w:val="32"/>
          <w:highlight w:val="none"/>
        </w:rPr>
      </w:pPr>
    </w:p>
    <w:p w14:paraId="6B7F2ECB">
      <w:pPr>
        <w:jc w:val="center"/>
        <w:rPr>
          <w:color w:val="auto"/>
          <w:sz w:val="32"/>
          <w:highlight w:val="none"/>
        </w:rPr>
      </w:pPr>
    </w:p>
    <w:p w14:paraId="60687CD9">
      <w:pPr>
        <w:jc w:val="center"/>
        <w:rPr>
          <w:color w:val="auto"/>
          <w:sz w:val="32"/>
          <w:highlight w:val="none"/>
        </w:rPr>
      </w:pPr>
    </w:p>
    <w:p w14:paraId="3DC34541">
      <w:pPr>
        <w:jc w:val="center"/>
        <w:rPr>
          <w:color w:val="auto"/>
          <w:sz w:val="32"/>
          <w:highlight w:val="none"/>
        </w:rPr>
      </w:pPr>
    </w:p>
    <w:p w14:paraId="5767D54D">
      <w:pPr>
        <w:jc w:val="center"/>
        <w:rPr>
          <w:color w:val="auto"/>
          <w:sz w:val="32"/>
          <w:highlight w:val="none"/>
        </w:rPr>
      </w:pPr>
    </w:p>
    <w:p w14:paraId="68595B41">
      <w:pPr>
        <w:jc w:val="center"/>
        <w:rPr>
          <w:color w:val="auto"/>
          <w:sz w:val="32"/>
          <w:highlight w:val="none"/>
        </w:rPr>
      </w:pPr>
    </w:p>
    <w:p w14:paraId="057A938C">
      <w:pPr>
        <w:jc w:val="center"/>
        <w:rPr>
          <w:color w:val="auto"/>
          <w:sz w:val="32"/>
          <w:highlight w:val="none"/>
        </w:rPr>
      </w:pPr>
    </w:p>
    <w:p w14:paraId="75DCC611">
      <w:pPr>
        <w:jc w:val="center"/>
        <w:rPr>
          <w:color w:val="auto"/>
          <w:sz w:val="32"/>
          <w:highlight w:val="none"/>
        </w:rPr>
      </w:pPr>
    </w:p>
    <w:p w14:paraId="6528E11F">
      <w:pPr>
        <w:jc w:val="center"/>
        <w:rPr>
          <w:color w:val="auto"/>
          <w:sz w:val="32"/>
          <w:highlight w:val="none"/>
        </w:rPr>
      </w:pPr>
    </w:p>
    <w:p w14:paraId="24BA8E02">
      <w:pPr>
        <w:jc w:val="center"/>
        <w:rPr>
          <w:rFonts w:hint="eastAsia"/>
          <w:color w:val="auto"/>
          <w:sz w:val="32"/>
          <w:highlight w:val="none"/>
          <w:lang w:val="en-US" w:eastAsia="zh-CN"/>
        </w:rPr>
      </w:pPr>
    </w:p>
    <w:p w14:paraId="6BCEBCAA">
      <w:pPr>
        <w:jc w:val="center"/>
        <w:rPr>
          <w:rFonts w:hint="eastAsia"/>
          <w:color w:val="auto"/>
          <w:sz w:val="32"/>
          <w:highlight w:val="none"/>
          <w:lang w:val="en-US" w:eastAsia="zh-CN"/>
        </w:rPr>
      </w:pPr>
    </w:p>
    <w:p w14:paraId="0385CCFC">
      <w:pPr>
        <w:jc w:val="both"/>
        <w:rPr>
          <w:color w:val="auto"/>
          <w:sz w:val="32"/>
          <w:highlight w:val="none"/>
        </w:rPr>
      </w:pPr>
    </w:p>
    <w:p w14:paraId="4A6B938B">
      <w:pPr>
        <w:jc w:val="center"/>
        <w:rPr>
          <w:rFonts w:ascii="仿宋" w:hAnsi="仿宋" w:eastAsia="仿宋" w:cs="仿宋"/>
          <w:color w:val="auto"/>
          <w:sz w:val="32"/>
          <w:szCs w:val="32"/>
          <w:highlight w:val="none"/>
        </w:rPr>
      </w:pPr>
      <w:r>
        <w:rPr>
          <w:rFonts w:hint="eastAsia"/>
          <w:color w:val="auto"/>
          <w:sz w:val="32"/>
          <w:highlight w:val="none"/>
        </w:rPr>
        <w:t>附表1：</w:t>
      </w:r>
      <w:r>
        <w:rPr>
          <w:color w:val="auto"/>
          <w:sz w:val="32"/>
          <w:highlight w:val="none"/>
        </w:rPr>
        <w:t>初步审查表</w:t>
      </w:r>
    </w:p>
    <w:p w14:paraId="1F1A73E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color w:val="auto"/>
          <w:sz w:val="32"/>
          <w:szCs w:val="32"/>
          <w:highlight w:val="none"/>
        </w:rPr>
        <w:t>项目名称：</w:t>
      </w:r>
      <w:r>
        <w:rPr>
          <w:rFonts w:hint="eastAsia" w:ascii="仿宋" w:hAnsi="仿宋" w:eastAsia="仿宋" w:cs="仿宋"/>
          <w:b w:val="0"/>
          <w:bCs/>
          <w:color w:val="auto"/>
          <w:sz w:val="32"/>
          <w:szCs w:val="32"/>
          <w:highlight w:val="none"/>
          <w:lang w:val="en-US" w:eastAsia="zh-CN"/>
        </w:rPr>
        <w:t>2026年学生消防应急疏散与灭火演练项目</w:t>
      </w:r>
    </w:p>
    <w:p w14:paraId="24387D0B">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val="0"/>
          <w:bCs/>
          <w:color w:val="auto"/>
          <w:sz w:val="32"/>
          <w:szCs w:val="32"/>
          <w:highlight w:val="none"/>
          <w:lang w:val="en-US" w:eastAsia="zh-CN"/>
        </w:rPr>
        <w:t>项目</w:t>
      </w:r>
      <w:r>
        <w:rPr>
          <w:rFonts w:hint="eastAsia" w:ascii="仿宋" w:hAnsi="仿宋" w:eastAsia="仿宋" w:cs="仿宋"/>
          <w:color w:val="auto"/>
          <w:sz w:val="32"/>
          <w:szCs w:val="32"/>
          <w:highlight w:val="none"/>
        </w:rPr>
        <w:t>编号：HNWJY-FW202600</w:t>
      </w:r>
      <w:r>
        <w:rPr>
          <w:rFonts w:hint="eastAsia" w:ascii="仿宋" w:hAnsi="仿宋" w:eastAsia="仿宋" w:cs="仿宋"/>
          <w:color w:val="auto"/>
          <w:sz w:val="32"/>
          <w:szCs w:val="32"/>
          <w:highlight w:val="none"/>
          <w:lang w:val="en-US" w:eastAsia="zh-CN"/>
        </w:rPr>
        <w:t>5</w:t>
      </w:r>
    </w:p>
    <w:tbl>
      <w:tblPr>
        <w:tblStyle w:val="25"/>
        <w:tblW w:w="10065" w:type="dxa"/>
        <w:jc w:val="center"/>
        <w:tblLayout w:type="fixed"/>
        <w:tblCellMar>
          <w:top w:w="88" w:type="dxa"/>
          <w:left w:w="107" w:type="dxa"/>
          <w:bottom w:w="0" w:type="dxa"/>
          <w:right w:w="11" w:type="dxa"/>
        </w:tblCellMar>
      </w:tblPr>
      <w:tblGrid>
        <w:gridCol w:w="709"/>
        <w:gridCol w:w="2127"/>
        <w:gridCol w:w="3827"/>
        <w:gridCol w:w="1134"/>
        <w:gridCol w:w="1134"/>
        <w:gridCol w:w="1134"/>
      </w:tblGrid>
      <w:tr w14:paraId="2310D495">
        <w:tblPrEx>
          <w:tblCellMar>
            <w:top w:w="88" w:type="dxa"/>
            <w:left w:w="107" w:type="dxa"/>
            <w:bottom w:w="0" w:type="dxa"/>
            <w:right w:w="11" w:type="dxa"/>
          </w:tblCellMar>
        </w:tblPrEx>
        <w:trPr>
          <w:trHeight w:val="55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705A19FB">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序号</w:t>
            </w:r>
          </w:p>
        </w:tc>
        <w:tc>
          <w:tcPr>
            <w:tcW w:w="2127" w:type="dxa"/>
            <w:tcBorders>
              <w:top w:val="single" w:color="000000" w:sz="4" w:space="0"/>
              <w:left w:val="single" w:color="000000" w:sz="4" w:space="0"/>
              <w:bottom w:val="single" w:color="000000" w:sz="4" w:space="0"/>
              <w:right w:val="single" w:color="000000" w:sz="4" w:space="0"/>
            </w:tcBorders>
            <w:vAlign w:val="center"/>
          </w:tcPr>
          <w:p w14:paraId="376906FD">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审查项目</w:t>
            </w:r>
          </w:p>
        </w:tc>
        <w:tc>
          <w:tcPr>
            <w:tcW w:w="3827" w:type="dxa"/>
            <w:tcBorders>
              <w:top w:val="single" w:color="000000" w:sz="4" w:space="0"/>
              <w:left w:val="single" w:color="000000" w:sz="4" w:space="0"/>
              <w:bottom w:val="single" w:color="000000" w:sz="4" w:space="0"/>
              <w:right w:val="single" w:color="000000" w:sz="4" w:space="0"/>
            </w:tcBorders>
            <w:vAlign w:val="center"/>
          </w:tcPr>
          <w:p w14:paraId="1265ACCE">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评议内容（无效磋商响应认定条件）</w:t>
            </w:r>
          </w:p>
        </w:tc>
        <w:tc>
          <w:tcPr>
            <w:tcW w:w="1134" w:type="dxa"/>
            <w:tcBorders>
              <w:top w:val="single" w:color="000000" w:sz="4" w:space="0"/>
              <w:left w:val="single" w:color="000000" w:sz="4" w:space="0"/>
              <w:bottom w:val="single" w:color="000000" w:sz="4" w:space="0"/>
              <w:right w:val="single" w:color="000000" w:sz="4" w:space="0"/>
            </w:tcBorders>
            <w:vAlign w:val="center"/>
          </w:tcPr>
          <w:p w14:paraId="500406B3">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服务商1</w:t>
            </w:r>
          </w:p>
        </w:tc>
        <w:tc>
          <w:tcPr>
            <w:tcW w:w="1134" w:type="dxa"/>
            <w:tcBorders>
              <w:top w:val="single" w:color="000000" w:sz="4" w:space="0"/>
              <w:left w:val="single" w:color="000000" w:sz="4" w:space="0"/>
              <w:bottom w:val="single" w:color="000000" w:sz="4" w:space="0"/>
              <w:right w:val="single" w:color="000000" w:sz="4" w:space="0"/>
            </w:tcBorders>
            <w:vAlign w:val="center"/>
          </w:tcPr>
          <w:p w14:paraId="67C6CA33">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服务商2</w:t>
            </w:r>
          </w:p>
        </w:tc>
        <w:tc>
          <w:tcPr>
            <w:tcW w:w="1134" w:type="dxa"/>
            <w:tcBorders>
              <w:top w:val="single" w:color="000000" w:sz="4" w:space="0"/>
              <w:left w:val="single" w:color="000000" w:sz="4" w:space="0"/>
              <w:bottom w:val="single" w:color="000000" w:sz="4" w:space="0"/>
              <w:right w:val="single" w:color="000000" w:sz="4" w:space="0"/>
            </w:tcBorders>
            <w:vAlign w:val="center"/>
          </w:tcPr>
          <w:p w14:paraId="724EAA2B">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服务商3</w:t>
            </w:r>
          </w:p>
        </w:tc>
      </w:tr>
      <w:tr w14:paraId="754BABEA">
        <w:tblPrEx>
          <w:tblCellMar>
            <w:top w:w="88" w:type="dxa"/>
            <w:left w:w="107" w:type="dxa"/>
            <w:bottom w:w="0" w:type="dxa"/>
            <w:right w:w="11" w:type="dxa"/>
          </w:tblCellMar>
        </w:tblPrEx>
        <w:trPr>
          <w:trHeight w:val="472"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0D6D8206">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p>
        </w:tc>
        <w:tc>
          <w:tcPr>
            <w:tcW w:w="2127" w:type="dxa"/>
            <w:tcBorders>
              <w:top w:val="single" w:color="000000" w:sz="4" w:space="0"/>
              <w:left w:val="single" w:color="000000" w:sz="4" w:space="0"/>
              <w:bottom w:val="single" w:color="000000" w:sz="4" w:space="0"/>
              <w:right w:val="single" w:color="000000" w:sz="4" w:space="0"/>
            </w:tcBorders>
            <w:vAlign w:val="center"/>
          </w:tcPr>
          <w:p w14:paraId="47355C35">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服务商申请条件</w:t>
            </w:r>
          </w:p>
        </w:tc>
        <w:tc>
          <w:tcPr>
            <w:tcW w:w="3827" w:type="dxa"/>
            <w:tcBorders>
              <w:top w:val="single" w:color="000000" w:sz="4" w:space="0"/>
              <w:left w:val="single" w:color="000000" w:sz="4" w:space="0"/>
              <w:bottom w:val="single" w:color="000000" w:sz="4" w:space="0"/>
              <w:right w:val="single" w:color="000000" w:sz="4" w:space="0"/>
            </w:tcBorders>
            <w:vAlign w:val="center"/>
          </w:tcPr>
          <w:p w14:paraId="6A98DAE0">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是否符合服务商申请条件</w:t>
            </w:r>
          </w:p>
        </w:tc>
        <w:tc>
          <w:tcPr>
            <w:tcW w:w="1134" w:type="dxa"/>
            <w:tcBorders>
              <w:top w:val="single" w:color="000000" w:sz="4" w:space="0"/>
              <w:left w:val="single" w:color="000000" w:sz="4" w:space="0"/>
              <w:bottom w:val="single" w:color="000000" w:sz="4" w:space="0"/>
              <w:right w:val="single" w:color="000000" w:sz="4" w:space="0"/>
            </w:tcBorders>
          </w:tcPr>
          <w:p w14:paraId="5095CFDE">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7DF9D480">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245B182E">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r>
      <w:tr w14:paraId="4C062F08">
        <w:tblPrEx>
          <w:tblCellMar>
            <w:top w:w="88" w:type="dxa"/>
            <w:left w:w="107" w:type="dxa"/>
            <w:bottom w:w="0" w:type="dxa"/>
            <w:right w:w="11" w:type="dxa"/>
          </w:tblCellMar>
        </w:tblPrEx>
        <w:trPr>
          <w:trHeight w:val="721"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14:paraId="18FA700E">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p>
        </w:tc>
        <w:tc>
          <w:tcPr>
            <w:tcW w:w="2127" w:type="dxa"/>
            <w:tcBorders>
              <w:top w:val="single" w:color="000000" w:sz="4" w:space="0"/>
              <w:left w:val="single" w:color="000000" w:sz="4" w:space="0"/>
              <w:bottom w:val="single" w:color="000000" w:sz="4" w:space="0"/>
              <w:right w:val="single" w:color="000000" w:sz="4" w:space="0"/>
            </w:tcBorders>
            <w:vAlign w:val="center"/>
          </w:tcPr>
          <w:p w14:paraId="3B3D1F12">
            <w:pPr>
              <w:keepNext w:val="0"/>
              <w:keepLines w:val="0"/>
              <w:suppressLineNumbers w:val="0"/>
              <w:spacing w:before="0" w:beforeAutospacing="0" w:after="0" w:afterAutospacing="0"/>
              <w:ind w:left="0" w:right="0"/>
              <w:jc w:val="left"/>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响应文件的有效性、完整性</w:t>
            </w:r>
          </w:p>
        </w:tc>
        <w:tc>
          <w:tcPr>
            <w:tcW w:w="3827" w:type="dxa"/>
            <w:tcBorders>
              <w:top w:val="single" w:color="000000" w:sz="4" w:space="0"/>
              <w:left w:val="single" w:color="000000" w:sz="4" w:space="0"/>
              <w:bottom w:val="single" w:color="000000" w:sz="4" w:space="0"/>
              <w:right w:val="single" w:color="000000" w:sz="4" w:space="0"/>
            </w:tcBorders>
            <w:vAlign w:val="center"/>
          </w:tcPr>
          <w:p w14:paraId="0DF4955D">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是否符合磋商文件的式样和签署要求且内容完整无缺漏</w:t>
            </w:r>
          </w:p>
        </w:tc>
        <w:tc>
          <w:tcPr>
            <w:tcW w:w="1134" w:type="dxa"/>
            <w:tcBorders>
              <w:top w:val="single" w:color="000000" w:sz="4" w:space="0"/>
              <w:left w:val="single" w:color="000000" w:sz="4" w:space="0"/>
              <w:bottom w:val="single" w:color="000000" w:sz="4" w:space="0"/>
              <w:right w:val="single" w:color="000000" w:sz="4" w:space="0"/>
            </w:tcBorders>
          </w:tcPr>
          <w:p w14:paraId="01FC6628">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00B53E1C">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4B086CEA">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r>
      <w:tr w14:paraId="06F0A007">
        <w:tblPrEx>
          <w:tblCellMar>
            <w:top w:w="88" w:type="dxa"/>
            <w:left w:w="107" w:type="dxa"/>
            <w:bottom w:w="0" w:type="dxa"/>
            <w:right w:w="11" w:type="dxa"/>
          </w:tblCellMar>
        </w:tblPrEx>
        <w:trPr>
          <w:trHeight w:val="559"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47C17B16">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p>
        </w:tc>
        <w:tc>
          <w:tcPr>
            <w:tcW w:w="2127" w:type="dxa"/>
            <w:tcBorders>
              <w:top w:val="single" w:color="000000" w:sz="4" w:space="0"/>
              <w:left w:val="single" w:color="000000" w:sz="4" w:space="0"/>
              <w:bottom w:val="single" w:color="000000" w:sz="4" w:space="0"/>
              <w:right w:val="single" w:color="000000" w:sz="4" w:space="0"/>
            </w:tcBorders>
          </w:tcPr>
          <w:p w14:paraId="1182B73B">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磋商响应有效期</w:t>
            </w:r>
          </w:p>
        </w:tc>
        <w:tc>
          <w:tcPr>
            <w:tcW w:w="3827" w:type="dxa"/>
            <w:tcBorders>
              <w:top w:val="single" w:color="000000" w:sz="4" w:space="0"/>
              <w:left w:val="single" w:color="000000" w:sz="4" w:space="0"/>
              <w:bottom w:val="single" w:color="000000" w:sz="4" w:space="0"/>
              <w:right w:val="single" w:color="000000" w:sz="4" w:space="0"/>
            </w:tcBorders>
            <w:vAlign w:val="center"/>
          </w:tcPr>
          <w:p w14:paraId="7C7B928C">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2665E749">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57D449CF">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72994FDA">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r>
      <w:tr w14:paraId="49B6B377">
        <w:tblPrEx>
          <w:tblCellMar>
            <w:top w:w="88" w:type="dxa"/>
            <w:left w:w="107" w:type="dxa"/>
            <w:bottom w:w="0" w:type="dxa"/>
            <w:right w:w="11" w:type="dxa"/>
          </w:tblCellMar>
        </w:tblPrEx>
        <w:trPr>
          <w:trHeight w:val="437"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1760A37A">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p>
        </w:tc>
        <w:tc>
          <w:tcPr>
            <w:tcW w:w="2127" w:type="dxa"/>
            <w:tcBorders>
              <w:top w:val="single" w:color="000000" w:sz="4" w:space="0"/>
              <w:left w:val="single" w:color="000000" w:sz="4" w:space="0"/>
              <w:bottom w:val="single" w:color="000000" w:sz="4" w:space="0"/>
              <w:right w:val="single" w:color="000000" w:sz="4" w:space="0"/>
            </w:tcBorders>
          </w:tcPr>
          <w:p w14:paraId="5534FA5B">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服务期限   </w:t>
            </w:r>
          </w:p>
        </w:tc>
        <w:tc>
          <w:tcPr>
            <w:tcW w:w="3827" w:type="dxa"/>
            <w:tcBorders>
              <w:top w:val="single" w:color="000000" w:sz="4" w:space="0"/>
              <w:left w:val="single" w:color="000000" w:sz="4" w:space="0"/>
              <w:bottom w:val="single" w:color="000000" w:sz="4" w:space="0"/>
              <w:right w:val="single" w:color="000000" w:sz="4" w:space="0"/>
            </w:tcBorders>
            <w:vAlign w:val="center"/>
          </w:tcPr>
          <w:p w14:paraId="083C2100">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是否满足磋商文件要求</w:t>
            </w:r>
          </w:p>
        </w:tc>
        <w:tc>
          <w:tcPr>
            <w:tcW w:w="1134" w:type="dxa"/>
            <w:tcBorders>
              <w:top w:val="single" w:color="000000" w:sz="4" w:space="0"/>
              <w:left w:val="single" w:color="000000" w:sz="4" w:space="0"/>
              <w:bottom w:val="single" w:color="000000" w:sz="4" w:space="0"/>
              <w:right w:val="single" w:color="000000" w:sz="4" w:space="0"/>
            </w:tcBorders>
          </w:tcPr>
          <w:p w14:paraId="1DA966F7">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57A357AA">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71BFAC89">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r>
      <w:tr w14:paraId="0C7CFA40">
        <w:tblPrEx>
          <w:tblCellMar>
            <w:top w:w="88" w:type="dxa"/>
            <w:left w:w="107" w:type="dxa"/>
            <w:bottom w:w="0" w:type="dxa"/>
            <w:right w:w="11" w:type="dxa"/>
          </w:tblCellMar>
        </w:tblPrEx>
        <w:trPr>
          <w:trHeight w:val="554" w:hRule="atLeast"/>
          <w:jc w:val="center"/>
        </w:trPr>
        <w:tc>
          <w:tcPr>
            <w:tcW w:w="709" w:type="dxa"/>
            <w:tcBorders>
              <w:top w:val="single" w:color="000000" w:sz="4" w:space="0"/>
              <w:left w:val="single" w:color="000000" w:sz="4" w:space="0"/>
              <w:bottom w:val="single" w:color="000000" w:sz="4" w:space="0"/>
              <w:right w:val="single" w:color="000000" w:sz="4" w:space="0"/>
            </w:tcBorders>
          </w:tcPr>
          <w:p w14:paraId="011FF3EB">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p>
        </w:tc>
        <w:tc>
          <w:tcPr>
            <w:tcW w:w="2127" w:type="dxa"/>
            <w:tcBorders>
              <w:top w:val="single" w:color="000000" w:sz="4" w:space="0"/>
              <w:left w:val="single" w:color="000000" w:sz="4" w:space="0"/>
              <w:bottom w:val="single" w:color="000000" w:sz="4" w:space="0"/>
              <w:right w:val="single" w:color="000000" w:sz="4" w:space="0"/>
            </w:tcBorders>
          </w:tcPr>
          <w:p w14:paraId="32B73545">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其它</w:t>
            </w:r>
          </w:p>
        </w:tc>
        <w:tc>
          <w:tcPr>
            <w:tcW w:w="3827" w:type="dxa"/>
            <w:tcBorders>
              <w:top w:val="single" w:color="000000" w:sz="4" w:space="0"/>
              <w:left w:val="single" w:color="000000" w:sz="4" w:space="0"/>
              <w:bottom w:val="single" w:color="000000" w:sz="4" w:space="0"/>
              <w:right w:val="single" w:color="000000" w:sz="4" w:space="0"/>
            </w:tcBorders>
          </w:tcPr>
          <w:p w14:paraId="383E2C82">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无其它无效响应认定条件</w:t>
            </w:r>
          </w:p>
        </w:tc>
        <w:tc>
          <w:tcPr>
            <w:tcW w:w="1134" w:type="dxa"/>
            <w:tcBorders>
              <w:top w:val="single" w:color="000000" w:sz="4" w:space="0"/>
              <w:left w:val="single" w:color="000000" w:sz="4" w:space="0"/>
              <w:bottom w:val="single" w:color="000000" w:sz="4" w:space="0"/>
              <w:right w:val="single" w:color="000000" w:sz="4" w:space="0"/>
            </w:tcBorders>
          </w:tcPr>
          <w:p w14:paraId="22C74778">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170119D3">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739D61DA">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r>
      <w:tr w14:paraId="2CD38436">
        <w:tblPrEx>
          <w:tblCellMar>
            <w:top w:w="88" w:type="dxa"/>
            <w:left w:w="107" w:type="dxa"/>
            <w:bottom w:w="0" w:type="dxa"/>
            <w:right w:w="11" w:type="dxa"/>
          </w:tblCellMar>
        </w:tblPrEx>
        <w:trPr>
          <w:trHeight w:val="509" w:hRule="atLeast"/>
          <w:jc w:val="center"/>
        </w:trPr>
        <w:tc>
          <w:tcPr>
            <w:tcW w:w="709" w:type="dxa"/>
            <w:tcBorders>
              <w:top w:val="single" w:color="000000" w:sz="4" w:space="0"/>
              <w:left w:val="single" w:color="000000" w:sz="4" w:space="0"/>
              <w:bottom w:val="single" w:color="000000" w:sz="4" w:space="0"/>
              <w:right w:val="nil"/>
            </w:tcBorders>
          </w:tcPr>
          <w:p w14:paraId="046151AB">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5954" w:type="dxa"/>
            <w:gridSpan w:val="2"/>
            <w:tcBorders>
              <w:top w:val="single" w:color="000000" w:sz="4" w:space="0"/>
              <w:left w:val="nil"/>
              <w:bottom w:val="single" w:color="000000" w:sz="4" w:space="0"/>
              <w:right w:val="single" w:color="000000" w:sz="4" w:space="0"/>
            </w:tcBorders>
            <w:vAlign w:val="center"/>
          </w:tcPr>
          <w:p w14:paraId="250736EF">
            <w:pPr>
              <w:keepNext w:val="0"/>
              <w:keepLines w:val="0"/>
              <w:suppressLineNumbers w:val="0"/>
              <w:spacing w:before="0" w:beforeAutospacing="0" w:after="0" w:afterAutospacing="0"/>
              <w:ind w:left="0" w:right="0"/>
              <w:jc w:val="center"/>
              <w:rPr>
                <w:rFonts w:hint="default" w:ascii="仿宋" w:hAnsi="仿宋" w:eastAsia="仿宋" w:cs="仿宋"/>
                <w:color w:val="auto"/>
                <w:sz w:val="32"/>
                <w:szCs w:val="32"/>
                <w:highlight w:val="none"/>
              </w:rPr>
            </w:pPr>
            <w:r>
              <w:rPr>
                <w:rFonts w:hint="eastAsia" w:ascii="仿宋" w:hAnsi="仿宋" w:eastAsia="仿宋" w:cs="仿宋"/>
                <w:color w:val="auto"/>
                <w:sz w:val="32"/>
                <w:szCs w:val="32"/>
                <w:highlight w:val="none"/>
              </w:rPr>
              <w:t>结</w:t>
            </w:r>
            <w:r>
              <w:rPr>
                <w:rFonts w:hint="eastAsia" w:ascii="仿宋" w:hAnsi="仿宋" w:eastAsia="仿宋" w:cs="仿宋"/>
                <w:color w:val="auto"/>
                <w:sz w:val="32"/>
                <w:szCs w:val="32"/>
                <w:highlight w:val="none"/>
              </w:rPr>
              <w:tab/>
            </w:r>
            <w:r>
              <w:rPr>
                <w:rFonts w:hint="eastAsia" w:ascii="仿宋" w:hAnsi="仿宋" w:eastAsia="仿宋" w:cs="仿宋"/>
                <w:color w:val="auto"/>
                <w:sz w:val="32"/>
                <w:szCs w:val="32"/>
                <w:highlight w:val="none"/>
              </w:rPr>
              <w:t>论</w:t>
            </w:r>
          </w:p>
        </w:tc>
        <w:tc>
          <w:tcPr>
            <w:tcW w:w="1134" w:type="dxa"/>
            <w:tcBorders>
              <w:top w:val="single" w:color="000000" w:sz="4" w:space="0"/>
              <w:left w:val="single" w:color="000000" w:sz="4" w:space="0"/>
              <w:bottom w:val="single" w:color="000000" w:sz="4" w:space="0"/>
              <w:right w:val="single" w:color="000000" w:sz="4" w:space="0"/>
            </w:tcBorders>
          </w:tcPr>
          <w:p w14:paraId="01855511">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7BC487B0">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480FF91A">
            <w:pPr>
              <w:keepNext w:val="0"/>
              <w:keepLines w:val="0"/>
              <w:suppressLineNumbers w:val="0"/>
              <w:spacing w:before="0" w:beforeAutospacing="0" w:after="0" w:afterAutospacing="0"/>
              <w:ind w:left="0" w:right="0"/>
              <w:rPr>
                <w:rFonts w:hint="default" w:ascii="仿宋" w:hAnsi="仿宋" w:eastAsia="仿宋" w:cs="仿宋"/>
                <w:color w:val="auto"/>
                <w:sz w:val="32"/>
                <w:szCs w:val="32"/>
                <w:highlight w:val="none"/>
              </w:rPr>
            </w:pPr>
          </w:p>
        </w:tc>
      </w:tr>
    </w:tbl>
    <w:p w14:paraId="360FF311">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1.表中只需填写“√/通过”或“×/不通过”。</w:t>
      </w:r>
    </w:p>
    <w:p w14:paraId="457FB40F">
      <w:pPr>
        <w:spacing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2.在结论中按“一项否决”的原则，只有全部是√/通过的，填写“合格”；只要其中有一项是×/不通过的，填写“不合格”。</w:t>
      </w:r>
    </w:p>
    <w:p w14:paraId="59DF003B">
      <w:pPr>
        <w:spacing w:line="360" w:lineRule="auto"/>
        <w:ind w:left="13" w:hanging="12" w:hangingChars="4"/>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3.结论是合格的，才能进入下一轮；不合格的被淘汰。</w:t>
      </w:r>
    </w:p>
    <w:p w14:paraId="49FA250C">
      <w:pP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4404C302">
      <w:pPr>
        <w:spacing w:line="276" w:lineRule="auto"/>
        <w:jc w:val="center"/>
        <w:rPr>
          <w:rFonts w:ascii="仿宋" w:hAnsi="仿宋" w:eastAsia="仿宋" w:cs="仿宋"/>
          <w:color w:val="auto"/>
          <w:kern w:val="2"/>
          <w:sz w:val="32"/>
          <w:szCs w:val="32"/>
          <w:highlight w:val="none"/>
        </w:rPr>
      </w:pPr>
      <w:r>
        <w:rPr>
          <w:rFonts w:hint="eastAsia" w:ascii="仿宋" w:hAnsi="仿宋" w:eastAsia="仿宋" w:cs="仿宋"/>
          <w:b/>
          <w:color w:val="auto"/>
          <w:position w:val="2"/>
          <w:sz w:val="32"/>
          <w:szCs w:val="32"/>
          <w:highlight w:val="none"/>
        </w:rPr>
        <w:t>附表2：评分细则表</w:t>
      </w:r>
    </w:p>
    <w:p w14:paraId="2403300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color w:val="auto"/>
          <w:kern w:val="2"/>
          <w:sz w:val="32"/>
          <w:szCs w:val="32"/>
          <w:highlight w:val="none"/>
        </w:rPr>
        <w:t>项目名称：</w:t>
      </w:r>
      <w:r>
        <w:rPr>
          <w:rFonts w:hint="eastAsia" w:ascii="仿宋" w:hAnsi="仿宋" w:eastAsia="仿宋" w:cs="仿宋"/>
          <w:b w:val="0"/>
          <w:bCs/>
          <w:color w:val="auto"/>
          <w:sz w:val="32"/>
          <w:szCs w:val="32"/>
          <w:highlight w:val="none"/>
          <w:lang w:val="en-US" w:eastAsia="zh-CN"/>
        </w:rPr>
        <w:t>2026年学生消防应急疏散与灭火演练项目</w:t>
      </w:r>
    </w:p>
    <w:p w14:paraId="0977027B">
      <w:pPr>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项目编</w:t>
      </w:r>
      <w:r>
        <w:rPr>
          <w:rFonts w:hint="eastAsia" w:ascii="仿宋" w:hAnsi="仿宋" w:eastAsia="仿宋" w:cs="仿宋"/>
          <w:bCs/>
          <w:color w:val="auto"/>
          <w:kern w:val="0"/>
          <w:sz w:val="32"/>
          <w:szCs w:val="32"/>
          <w:highlight w:val="none"/>
          <w:lang w:val="en-US" w:eastAsia="zh-CN" w:bidi="ar-SA"/>
        </w:rPr>
        <w:t>号：</w:t>
      </w:r>
      <w:r>
        <w:rPr>
          <w:rFonts w:hint="eastAsia" w:ascii="仿宋" w:hAnsi="仿宋" w:eastAsia="仿宋" w:cs="仿宋"/>
          <w:color w:val="auto"/>
          <w:sz w:val="32"/>
          <w:szCs w:val="32"/>
          <w:highlight w:val="none"/>
        </w:rPr>
        <w:t>HNWJY-FW202600</w:t>
      </w:r>
      <w:r>
        <w:rPr>
          <w:rFonts w:hint="eastAsia" w:ascii="仿宋" w:hAnsi="仿宋" w:eastAsia="仿宋" w:cs="仿宋"/>
          <w:color w:val="auto"/>
          <w:sz w:val="32"/>
          <w:szCs w:val="32"/>
          <w:highlight w:val="none"/>
          <w:lang w:val="en-US" w:eastAsia="zh-CN"/>
        </w:rPr>
        <w:t>5</w:t>
      </w:r>
    </w:p>
    <w:tbl>
      <w:tblPr>
        <w:tblStyle w:val="25"/>
        <w:tblW w:w="57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8"/>
        <w:gridCol w:w="1381"/>
        <w:gridCol w:w="6956"/>
        <w:gridCol w:w="1080"/>
      </w:tblGrid>
      <w:tr w14:paraId="67F3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jc w:val="center"/>
        </w:trPr>
        <w:tc>
          <w:tcPr>
            <w:tcW w:w="363" w:type="pct"/>
            <w:noWrap w:val="0"/>
            <w:tcMar>
              <w:top w:w="15" w:type="dxa"/>
              <w:left w:w="15" w:type="dxa"/>
              <w:right w:w="15" w:type="dxa"/>
            </w:tcMar>
            <w:vAlign w:val="center"/>
          </w:tcPr>
          <w:p w14:paraId="3C428D9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序号</w:t>
            </w:r>
          </w:p>
        </w:tc>
        <w:tc>
          <w:tcPr>
            <w:tcW w:w="679" w:type="pct"/>
            <w:noWrap w:val="0"/>
            <w:tcMar>
              <w:top w:w="15" w:type="dxa"/>
              <w:left w:w="15" w:type="dxa"/>
              <w:right w:w="15" w:type="dxa"/>
            </w:tcMar>
            <w:vAlign w:val="center"/>
          </w:tcPr>
          <w:p w14:paraId="73A0E7B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评分因素</w:t>
            </w:r>
          </w:p>
        </w:tc>
        <w:tc>
          <w:tcPr>
            <w:tcW w:w="3424" w:type="pct"/>
            <w:noWrap w:val="0"/>
            <w:tcMar>
              <w:top w:w="15" w:type="dxa"/>
              <w:left w:w="15" w:type="dxa"/>
              <w:right w:w="15" w:type="dxa"/>
            </w:tcMar>
            <w:vAlign w:val="center"/>
          </w:tcPr>
          <w:p w14:paraId="113DD0AF">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评审标准</w:t>
            </w:r>
          </w:p>
        </w:tc>
        <w:tc>
          <w:tcPr>
            <w:tcW w:w="531" w:type="pct"/>
            <w:noWrap w:val="0"/>
            <w:tcMar>
              <w:top w:w="15" w:type="dxa"/>
              <w:left w:w="15" w:type="dxa"/>
              <w:right w:w="15" w:type="dxa"/>
            </w:tcMar>
            <w:vAlign w:val="center"/>
          </w:tcPr>
          <w:p w14:paraId="5EF71D1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分数</w:t>
            </w:r>
          </w:p>
        </w:tc>
      </w:tr>
      <w:tr w14:paraId="3158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38" w:hRule="atLeast"/>
          <w:jc w:val="center"/>
        </w:trPr>
        <w:tc>
          <w:tcPr>
            <w:tcW w:w="363" w:type="pct"/>
            <w:noWrap w:val="0"/>
            <w:tcMar>
              <w:top w:w="15" w:type="dxa"/>
              <w:left w:w="15" w:type="dxa"/>
              <w:right w:w="15" w:type="dxa"/>
            </w:tcMar>
            <w:vAlign w:val="center"/>
          </w:tcPr>
          <w:p w14:paraId="2054AA9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w:t>
            </w:r>
          </w:p>
        </w:tc>
        <w:tc>
          <w:tcPr>
            <w:tcW w:w="679" w:type="pct"/>
            <w:noWrap w:val="0"/>
            <w:tcMar>
              <w:top w:w="15" w:type="dxa"/>
              <w:left w:w="15" w:type="dxa"/>
              <w:right w:w="15" w:type="dxa"/>
            </w:tcMar>
            <w:vAlign w:val="center"/>
          </w:tcPr>
          <w:p w14:paraId="29ED363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投标报价</w:t>
            </w:r>
          </w:p>
          <w:p w14:paraId="723B1A6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（满分</w:t>
            </w: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0分）</w:t>
            </w:r>
          </w:p>
        </w:tc>
        <w:tc>
          <w:tcPr>
            <w:tcW w:w="3424" w:type="pct"/>
            <w:noWrap w:val="0"/>
            <w:tcMar>
              <w:top w:w="15" w:type="dxa"/>
              <w:left w:w="15" w:type="dxa"/>
              <w:right w:w="15" w:type="dxa"/>
            </w:tcMar>
            <w:vAlign w:val="center"/>
          </w:tcPr>
          <w:p w14:paraId="313B67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jc w:val="left"/>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综合评分法中的价格分统一采用低价优先法计算，即满足磋商文件要求且最后报价最低的供应商的价格为磋商基准价，其价格分为满分10分。其他供应商的价格分统一按照下列公式计算：磋商报价得分=磋商报价得分=(基准价／最终报价)×价格权值×100 </w:t>
            </w:r>
          </w:p>
        </w:tc>
        <w:tc>
          <w:tcPr>
            <w:tcW w:w="531" w:type="pct"/>
            <w:noWrap w:val="0"/>
            <w:tcMar>
              <w:top w:w="15" w:type="dxa"/>
              <w:left w:w="15" w:type="dxa"/>
              <w:right w:w="15" w:type="dxa"/>
            </w:tcMar>
            <w:vAlign w:val="center"/>
          </w:tcPr>
          <w:p w14:paraId="03895D44">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仿宋" w:hAnsi="仿宋" w:eastAsia="仿宋" w:cs="仿宋"/>
                <w:color w:val="auto"/>
                <w:kern w:val="0"/>
                <w:sz w:val="32"/>
                <w:szCs w:val="32"/>
                <w:highlight w:val="none"/>
                <w:lang w:val="en-US" w:eastAsia="zh-CN"/>
              </w:rPr>
            </w:pPr>
            <w:r>
              <w:rPr>
                <w:rFonts w:hint="default" w:ascii="仿宋" w:hAnsi="仿宋" w:eastAsia="仿宋" w:cs="仿宋"/>
                <w:color w:val="auto"/>
                <w:kern w:val="0"/>
                <w:sz w:val="32"/>
                <w:szCs w:val="32"/>
                <w:highlight w:val="none"/>
                <w:lang w:val="en-US"/>
              </w:rPr>
              <mc:AlternateContent>
                <mc:Choice Requires="wps">
                  <w:drawing>
                    <wp:anchor distT="0" distB="0" distL="114300" distR="114300" simplePos="0" relativeHeight="251664384" behindDoc="0" locked="0" layoutInCell="1" allowOverlap="1">
                      <wp:simplePos x="0" y="0"/>
                      <wp:positionH relativeFrom="page">
                        <wp:posOffset>869315</wp:posOffset>
                      </wp:positionH>
                      <wp:positionV relativeFrom="paragraph">
                        <wp:posOffset>-226695</wp:posOffset>
                      </wp:positionV>
                      <wp:extent cx="2245995" cy="12839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45995" cy="1283970"/>
                              </a:xfrm>
                              <a:prstGeom prst="rect">
                                <a:avLst/>
                              </a:prstGeom>
                              <a:noFill/>
                              <a:ln>
                                <a:noFill/>
                              </a:ln>
                            </wps:spPr>
                            <wps:txbx>
                              <w:txbxContent>
                                <w:p w14:paraId="5425E390"/>
                              </w:txbxContent>
                            </wps:txbx>
                            <wps:bodyPr lIns="0" tIns="0" rIns="0" bIns="0" upright="1"/>
                          </wps:wsp>
                        </a:graphicData>
                      </a:graphic>
                    </wp:anchor>
                  </w:drawing>
                </mc:Choice>
                <mc:Fallback>
                  <w:pict>
                    <v:shape id="_x0000_s1026" o:spid="_x0000_s1026" o:spt="202" type="#_x0000_t202" style="position:absolute;left:0pt;margin-left:68.45pt;margin-top:-17.85pt;height:101.1pt;width:176.85pt;mso-position-horizontal-relative:page;z-index:251664384;mso-width-relative:page;mso-height-relative:page;" filled="f" stroked="f" coordsize="21600,21600" o:gfxdata="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HWPXm2QAAAAsBAAAPAAAAAAAAAAEAIAAAACIAAABkcnMvZG93bnJldi54bWxQ&#10;SwECFAAUAAAACACHTuJAvOoWvr0BAABzAwAADgAAAAAAAAABACAAAAAoAQAAZHJzL2Uyb0RvYy54&#10;bWxQSwUGAAAAAAYABgBZAQAAVwUAAAAA&#10;">
                      <v:fill on="f" focussize="0,0"/>
                      <v:stroke on="f"/>
                      <v:imagedata o:title=""/>
                      <o:lock v:ext="edit" aspectratio="f"/>
                      <v:textbox inset="0mm,0mm,0mm,0mm">
                        <w:txbxContent>
                          <w:p w14:paraId="5425E390"/>
                        </w:txbxContent>
                      </v:textbox>
                    </v:shape>
                  </w:pict>
                </mc:Fallback>
              </mc:AlternateContent>
            </w:r>
            <w:r>
              <w:rPr>
                <w:rFonts w:hint="eastAsia" w:ascii="仿宋" w:hAnsi="仿宋" w:eastAsia="仿宋" w:cs="仿宋"/>
                <w:color w:val="auto"/>
                <w:kern w:val="0"/>
                <w:sz w:val="32"/>
                <w:szCs w:val="32"/>
                <w:highlight w:val="none"/>
                <w:lang w:val="en-US" w:eastAsia="zh-CN"/>
              </w:rPr>
              <w:t>20</w:t>
            </w:r>
          </w:p>
        </w:tc>
      </w:tr>
      <w:tr w14:paraId="00D5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jc w:val="center"/>
        </w:trPr>
        <w:tc>
          <w:tcPr>
            <w:tcW w:w="363" w:type="pct"/>
            <w:noWrap w:val="0"/>
            <w:tcMar>
              <w:top w:w="15" w:type="dxa"/>
              <w:left w:w="15" w:type="dxa"/>
              <w:right w:w="15" w:type="dxa"/>
            </w:tcMar>
            <w:vAlign w:val="center"/>
          </w:tcPr>
          <w:p w14:paraId="7C83ED0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w:t>
            </w:r>
          </w:p>
        </w:tc>
        <w:tc>
          <w:tcPr>
            <w:tcW w:w="679" w:type="pct"/>
            <w:noWrap w:val="0"/>
            <w:tcMar>
              <w:top w:w="15" w:type="dxa"/>
              <w:left w:w="15" w:type="dxa"/>
              <w:right w:w="15" w:type="dxa"/>
            </w:tcMar>
            <w:vAlign w:val="center"/>
          </w:tcPr>
          <w:p w14:paraId="0E850CD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rPr>
              <w:t>业绩</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满分20分）</w:t>
            </w:r>
          </w:p>
        </w:tc>
        <w:tc>
          <w:tcPr>
            <w:tcW w:w="3424" w:type="pct"/>
            <w:noWrap w:val="0"/>
            <w:tcMar>
              <w:top w:w="15" w:type="dxa"/>
              <w:left w:w="15" w:type="dxa"/>
              <w:right w:w="15" w:type="dxa"/>
            </w:tcMar>
            <w:vAlign w:val="center"/>
          </w:tcPr>
          <w:p w14:paraId="556B61E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供应商提供近三年内（2023年1月1日至今）学校类消防演练或消防安全培训项目案例合同，每提供一个得</w:t>
            </w:r>
            <w:r>
              <w:rPr>
                <w:rFonts w:hint="eastAsia" w:ascii="仿宋" w:hAnsi="仿宋" w:eastAsia="仿宋" w:cs="仿宋"/>
                <w:color w:val="auto"/>
                <w:kern w:val="0"/>
                <w:sz w:val="32"/>
                <w:szCs w:val="32"/>
                <w:highlight w:val="none"/>
                <w:lang w:val="en-US" w:eastAsia="zh-CN"/>
              </w:rPr>
              <w:t>5</w:t>
            </w:r>
            <w:r>
              <w:rPr>
                <w:rFonts w:hint="eastAsia" w:ascii="仿宋" w:hAnsi="仿宋" w:eastAsia="仿宋" w:cs="仿宋"/>
                <w:color w:val="auto"/>
                <w:kern w:val="0"/>
                <w:sz w:val="32"/>
                <w:szCs w:val="32"/>
                <w:highlight w:val="none"/>
              </w:rPr>
              <w:t>分，满分</w:t>
            </w: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0分。（需提供合同复印件并加盖公章，否则不得分）</w:t>
            </w:r>
          </w:p>
        </w:tc>
        <w:tc>
          <w:tcPr>
            <w:tcW w:w="531" w:type="pct"/>
            <w:noWrap w:val="0"/>
            <w:tcMar>
              <w:top w:w="15" w:type="dxa"/>
              <w:left w:w="15" w:type="dxa"/>
              <w:right w:w="15" w:type="dxa"/>
            </w:tcMar>
            <w:vAlign w:val="center"/>
          </w:tcPr>
          <w:p w14:paraId="71B3FBB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0</w:t>
            </w:r>
          </w:p>
        </w:tc>
      </w:tr>
      <w:tr w14:paraId="45B5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jc w:val="center"/>
        </w:trPr>
        <w:tc>
          <w:tcPr>
            <w:tcW w:w="363" w:type="pct"/>
            <w:vMerge w:val="restart"/>
            <w:noWrap w:val="0"/>
            <w:tcMar>
              <w:top w:w="15" w:type="dxa"/>
              <w:left w:w="15" w:type="dxa"/>
              <w:right w:w="15" w:type="dxa"/>
            </w:tcMar>
            <w:vAlign w:val="center"/>
          </w:tcPr>
          <w:p w14:paraId="24C4F17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w:t>
            </w:r>
          </w:p>
        </w:tc>
        <w:tc>
          <w:tcPr>
            <w:tcW w:w="679" w:type="pct"/>
            <w:vMerge w:val="restart"/>
            <w:noWrap w:val="0"/>
            <w:tcMar>
              <w:top w:w="15" w:type="dxa"/>
              <w:left w:w="15" w:type="dxa"/>
              <w:right w:w="15" w:type="dxa"/>
            </w:tcMar>
            <w:vAlign w:val="center"/>
          </w:tcPr>
          <w:p w14:paraId="051C20D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技术分</w:t>
            </w:r>
          </w:p>
          <w:p w14:paraId="62A3F47B">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（满分</w:t>
            </w:r>
            <w:r>
              <w:rPr>
                <w:rFonts w:hint="eastAsia" w:ascii="仿宋" w:hAnsi="仿宋" w:eastAsia="仿宋" w:cs="仿宋"/>
                <w:color w:val="auto"/>
                <w:kern w:val="0"/>
                <w:sz w:val="32"/>
                <w:szCs w:val="32"/>
                <w:highlight w:val="none"/>
                <w:lang w:val="en-US" w:eastAsia="zh-CN"/>
              </w:rPr>
              <w:t>6</w:t>
            </w:r>
            <w:r>
              <w:rPr>
                <w:rFonts w:hint="eastAsia" w:ascii="仿宋" w:hAnsi="仿宋" w:eastAsia="仿宋" w:cs="仿宋"/>
                <w:color w:val="auto"/>
                <w:kern w:val="0"/>
                <w:sz w:val="32"/>
                <w:szCs w:val="32"/>
                <w:highlight w:val="none"/>
              </w:rPr>
              <w:t>0分）</w:t>
            </w:r>
          </w:p>
        </w:tc>
        <w:tc>
          <w:tcPr>
            <w:tcW w:w="3424" w:type="pct"/>
            <w:noWrap w:val="0"/>
            <w:tcMar>
              <w:top w:w="15" w:type="dxa"/>
              <w:left w:w="15" w:type="dxa"/>
              <w:right w:w="15" w:type="dxa"/>
            </w:tcMar>
            <w:vAlign w:val="center"/>
          </w:tcPr>
          <w:p w14:paraId="49BF86D9">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（1）演练活动策划方案（</w:t>
            </w:r>
            <w:r>
              <w:rPr>
                <w:rFonts w:hint="eastAsia" w:ascii="仿宋" w:hAnsi="仿宋" w:eastAsia="仿宋" w:cs="仿宋"/>
                <w:color w:val="auto"/>
                <w:kern w:val="0"/>
                <w:sz w:val="32"/>
                <w:szCs w:val="32"/>
                <w:highlight w:val="none"/>
                <w:lang w:val="en-US" w:eastAsia="zh-CN"/>
              </w:rPr>
              <w:t>20</w:t>
            </w:r>
            <w:r>
              <w:rPr>
                <w:rFonts w:hint="eastAsia" w:ascii="仿宋" w:hAnsi="仿宋" w:eastAsia="仿宋" w:cs="仿宋"/>
                <w:color w:val="auto"/>
                <w:kern w:val="0"/>
                <w:sz w:val="32"/>
                <w:szCs w:val="32"/>
                <w:highlight w:val="none"/>
              </w:rPr>
              <w:t>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根据供应商提供的学生消防应急疏散与灭火演练策划方案的完整性、科学性、可操作性进行综合评价：</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方案内容全面（含演练目的、组织架构、情景设置、疏散路线、集合区域、流程设计、安全保障、评估标准等）、流程科学合理、情景设计逼真、针对性强得</w:t>
            </w:r>
            <w:r>
              <w:rPr>
                <w:rFonts w:hint="eastAsia" w:ascii="仿宋" w:hAnsi="仿宋" w:eastAsia="仿宋" w:cs="仿宋"/>
                <w:color w:val="auto"/>
                <w:kern w:val="0"/>
                <w:sz w:val="32"/>
                <w:szCs w:val="32"/>
                <w:highlight w:val="none"/>
                <w:lang w:val="en-US" w:eastAsia="zh-CN"/>
              </w:rPr>
              <w:t>20</w:t>
            </w:r>
            <w:r>
              <w:rPr>
                <w:rFonts w:hint="default" w:ascii="仿宋" w:hAnsi="仿宋" w:eastAsia="仿宋" w:cs="仿宋"/>
                <w:color w:val="auto"/>
                <w:kern w:val="0"/>
                <w:sz w:val="32"/>
                <w:szCs w:val="32"/>
                <w:highlight w:val="none"/>
              </w:rPr>
              <w:t>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方案较为完整、有一定的针对性和可操作性得1</w:t>
            </w:r>
            <w:r>
              <w:rPr>
                <w:rFonts w:hint="eastAsia" w:ascii="仿宋" w:hAnsi="仿宋" w:eastAsia="仿宋" w:cs="仿宋"/>
                <w:color w:val="auto"/>
                <w:kern w:val="0"/>
                <w:sz w:val="32"/>
                <w:szCs w:val="32"/>
                <w:highlight w:val="none"/>
                <w:lang w:val="en-US" w:eastAsia="zh-CN"/>
              </w:rPr>
              <w:t>5</w:t>
            </w:r>
            <w:r>
              <w:rPr>
                <w:rFonts w:hint="default" w:ascii="仿宋" w:hAnsi="仿宋" w:eastAsia="仿宋" w:cs="仿宋"/>
                <w:color w:val="auto"/>
                <w:kern w:val="0"/>
                <w:sz w:val="32"/>
                <w:szCs w:val="32"/>
                <w:highlight w:val="none"/>
              </w:rPr>
              <w:t>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方案简单、缺乏针对性、可操作性差得</w:t>
            </w:r>
            <w:r>
              <w:rPr>
                <w:rFonts w:hint="eastAsia" w:ascii="仿宋" w:hAnsi="仿宋" w:eastAsia="仿宋" w:cs="仿宋"/>
                <w:color w:val="auto"/>
                <w:kern w:val="0"/>
                <w:sz w:val="32"/>
                <w:szCs w:val="32"/>
                <w:highlight w:val="none"/>
                <w:lang w:val="en-US" w:eastAsia="zh-CN"/>
              </w:rPr>
              <w:t>7</w:t>
            </w:r>
            <w:r>
              <w:rPr>
                <w:rFonts w:hint="default" w:ascii="仿宋" w:hAnsi="仿宋" w:eastAsia="仿宋" w:cs="仿宋"/>
                <w:color w:val="auto"/>
                <w:kern w:val="0"/>
                <w:sz w:val="32"/>
                <w:szCs w:val="32"/>
                <w:highlight w:val="none"/>
              </w:rPr>
              <w:t>分。</w:t>
            </w:r>
          </w:p>
        </w:tc>
        <w:tc>
          <w:tcPr>
            <w:tcW w:w="531" w:type="pct"/>
            <w:noWrap w:val="0"/>
            <w:tcMar>
              <w:top w:w="15" w:type="dxa"/>
              <w:left w:w="15" w:type="dxa"/>
              <w:right w:w="15" w:type="dxa"/>
            </w:tcMar>
            <w:vAlign w:val="center"/>
          </w:tcPr>
          <w:p w14:paraId="5DF2777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20</w:t>
            </w:r>
          </w:p>
        </w:tc>
      </w:tr>
      <w:tr w14:paraId="349CC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363" w:type="pct"/>
            <w:vMerge w:val="continue"/>
            <w:noWrap w:val="0"/>
            <w:tcMar>
              <w:top w:w="15" w:type="dxa"/>
              <w:left w:w="15" w:type="dxa"/>
              <w:right w:w="15" w:type="dxa"/>
            </w:tcMar>
            <w:vAlign w:val="center"/>
          </w:tcPr>
          <w:p w14:paraId="6C93767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p>
        </w:tc>
        <w:tc>
          <w:tcPr>
            <w:tcW w:w="679" w:type="pct"/>
            <w:vMerge w:val="continue"/>
            <w:noWrap w:val="0"/>
            <w:tcMar>
              <w:top w:w="15" w:type="dxa"/>
              <w:left w:w="15" w:type="dxa"/>
              <w:right w:w="15" w:type="dxa"/>
            </w:tcMar>
            <w:vAlign w:val="center"/>
          </w:tcPr>
          <w:p w14:paraId="37A6CB6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p>
        </w:tc>
        <w:tc>
          <w:tcPr>
            <w:tcW w:w="3424" w:type="pct"/>
            <w:noWrap w:val="0"/>
            <w:tcMar>
              <w:top w:w="15" w:type="dxa"/>
              <w:left w:w="15" w:type="dxa"/>
              <w:right w:w="15" w:type="dxa"/>
            </w:tcMar>
            <w:vAlign w:val="center"/>
          </w:tcPr>
          <w:p w14:paraId="7973387D">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（2）执行团队配置与专业能力（</w:t>
            </w:r>
            <w:r>
              <w:rPr>
                <w:rFonts w:hint="eastAsia" w:ascii="仿宋" w:hAnsi="仿宋" w:eastAsia="仿宋" w:cs="仿宋"/>
                <w:color w:val="auto"/>
                <w:kern w:val="0"/>
                <w:sz w:val="32"/>
                <w:szCs w:val="32"/>
                <w:highlight w:val="none"/>
                <w:lang w:val="en-US" w:eastAsia="zh-CN"/>
              </w:rPr>
              <w:t>20</w:t>
            </w:r>
            <w:r>
              <w:rPr>
                <w:rFonts w:hint="eastAsia" w:ascii="仿宋" w:hAnsi="仿宋" w:eastAsia="仿宋" w:cs="仿宋"/>
                <w:color w:val="auto"/>
                <w:kern w:val="0"/>
                <w:sz w:val="32"/>
                <w:szCs w:val="32"/>
                <w:highlight w:val="none"/>
              </w:rPr>
              <w:t>分）</w:t>
            </w:r>
          </w:p>
          <w:p w14:paraId="65E7C54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根据项目团队配置、成员资质及经验进行综合评价。</w:t>
            </w:r>
          </w:p>
          <w:p w14:paraId="13B0193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资质要求包括但不限于：注册消防工程师、消防设施操作员</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团队中须配备至少1名具备专业影像采集能力的成员（如摄影师/摄像师），并提供相关作品或从业证明，负责演练全过程的多机位拍摄及后期素材制作。团队配置齐全、分工明确（有专人分别负责策划统筹、现场执行、疏散引导、灭火实操指导、医疗急救保障、影像素材采集）、专业人员资质高、演练组织经验丰富得</w:t>
            </w:r>
            <w:r>
              <w:rPr>
                <w:rFonts w:hint="eastAsia" w:ascii="仿宋" w:hAnsi="仿宋" w:eastAsia="仿宋" w:cs="仿宋"/>
                <w:color w:val="auto"/>
                <w:kern w:val="0"/>
                <w:sz w:val="32"/>
                <w:szCs w:val="32"/>
                <w:highlight w:val="none"/>
                <w:lang w:val="en-US" w:eastAsia="zh-CN"/>
              </w:rPr>
              <w:t>20</w:t>
            </w:r>
            <w:r>
              <w:rPr>
                <w:rFonts w:hint="eastAsia" w:ascii="仿宋" w:hAnsi="仿宋" w:eastAsia="仿宋" w:cs="仿宋"/>
                <w:color w:val="auto"/>
                <w:kern w:val="0"/>
                <w:sz w:val="32"/>
                <w:szCs w:val="32"/>
                <w:highlight w:val="none"/>
              </w:rPr>
              <w:t>分；</w:t>
            </w:r>
          </w:p>
          <w:p w14:paraId="2F769C5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团队配置基本合理、具备基本资质和经验得</w:t>
            </w:r>
            <w:r>
              <w:rPr>
                <w:rFonts w:hint="eastAsia" w:ascii="仿宋" w:hAnsi="仿宋" w:eastAsia="仿宋" w:cs="仿宋"/>
                <w:color w:val="auto"/>
                <w:kern w:val="0"/>
                <w:sz w:val="32"/>
                <w:szCs w:val="32"/>
                <w:highlight w:val="none"/>
                <w:lang w:val="en-US" w:eastAsia="zh-CN"/>
              </w:rPr>
              <w:t>14</w:t>
            </w:r>
            <w:r>
              <w:rPr>
                <w:rFonts w:hint="eastAsia" w:ascii="仿宋" w:hAnsi="仿宋" w:eastAsia="仿宋" w:cs="仿宋"/>
                <w:color w:val="auto"/>
                <w:kern w:val="0"/>
                <w:sz w:val="32"/>
                <w:szCs w:val="32"/>
                <w:highlight w:val="none"/>
              </w:rPr>
              <w:t>分；</w:t>
            </w:r>
          </w:p>
          <w:p w14:paraId="26C651E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团队配置薄弱、资质或经验不足得5分。</w:t>
            </w:r>
          </w:p>
          <w:p w14:paraId="2E9F61B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（需提供相关人员证书复印件及近三个月社保证明，未提供不得分）</w:t>
            </w:r>
          </w:p>
        </w:tc>
        <w:tc>
          <w:tcPr>
            <w:tcW w:w="531" w:type="pct"/>
            <w:noWrap w:val="0"/>
            <w:tcMar>
              <w:top w:w="15" w:type="dxa"/>
              <w:left w:w="15" w:type="dxa"/>
              <w:right w:w="15" w:type="dxa"/>
            </w:tcMar>
            <w:vAlign w:val="center"/>
          </w:tcPr>
          <w:p w14:paraId="21CBDAC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20</w:t>
            </w:r>
          </w:p>
        </w:tc>
      </w:tr>
      <w:tr w14:paraId="08323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63" w:type="pct"/>
            <w:vMerge w:val="continue"/>
            <w:noWrap w:val="0"/>
            <w:tcMar>
              <w:top w:w="15" w:type="dxa"/>
              <w:left w:w="15" w:type="dxa"/>
              <w:right w:w="15" w:type="dxa"/>
            </w:tcMar>
            <w:vAlign w:val="center"/>
          </w:tcPr>
          <w:p w14:paraId="026B8D17">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p>
        </w:tc>
        <w:tc>
          <w:tcPr>
            <w:tcW w:w="679" w:type="pct"/>
            <w:vMerge w:val="continue"/>
            <w:noWrap w:val="0"/>
            <w:tcMar>
              <w:top w:w="15" w:type="dxa"/>
              <w:left w:w="15" w:type="dxa"/>
              <w:right w:w="15" w:type="dxa"/>
            </w:tcMar>
            <w:vAlign w:val="center"/>
          </w:tcPr>
          <w:p w14:paraId="73E926E8">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p>
        </w:tc>
        <w:tc>
          <w:tcPr>
            <w:tcW w:w="3424" w:type="pct"/>
            <w:noWrap w:val="0"/>
            <w:tcMar>
              <w:top w:w="15" w:type="dxa"/>
              <w:left w:w="15" w:type="dxa"/>
              <w:right w:w="15" w:type="dxa"/>
            </w:tcMar>
            <w:vAlign w:val="center"/>
          </w:tcPr>
          <w:p w14:paraId="05F0AF8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（3）应急安全保障与物资保障方案（10分）</w:t>
            </w:r>
          </w:p>
          <w:p w14:paraId="3471101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根据供应商提供的演练现场安全保障措施、应急预案（含人员受伤、意外火灾扩大等突发情况处置）、演练所需各类物资（如烟雾发生器、模拟火盆、灭火器材、应急广播/扩音设备、对讲机、医疗急救包、模拟担架等）的配置清单及保障方案进行综合评价：</w:t>
            </w:r>
          </w:p>
          <w:p w14:paraId="5EBE338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安全保障措施完善、应急预案详实可行、物资配置充足且品牌/规格明确得10分；</w:t>
            </w:r>
          </w:p>
          <w:p w14:paraId="1E532DA5">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保障措施基本可行、物资配置尚可得7分；</w:t>
            </w:r>
          </w:p>
          <w:p w14:paraId="4067F12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保障措施不完善、物资配置不足得3分。</w:t>
            </w:r>
          </w:p>
        </w:tc>
        <w:tc>
          <w:tcPr>
            <w:tcW w:w="531" w:type="pct"/>
            <w:noWrap w:val="0"/>
            <w:tcMar>
              <w:top w:w="15" w:type="dxa"/>
              <w:left w:w="15" w:type="dxa"/>
              <w:right w:w="15" w:type="dxa"/>
            </w:tcMar>
            <w:vAlign w:val="center"/>
          </w:tcPr>
          <w:p w14:paraId="3DC05A3A">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10</w:t>
            </w:r>
          </w:p>
          <w:p w14:paraId="5A559493">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p>
        </w:tc>
      </w:tr>
      <w:tr w14:paraId="2338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3" w:hRule="atLeast"/>
          <w:jc w:val="center"/>
        </w:trPr>
        <w:tc>
          <w:tcPr>
            <w:tcW w:w="363" w:type="pct"/>
            <w:vMerge w:val="continue"/>
            <w:noWrap w:val="0"/>
            <w:tcMar>
              <w:top w:w="15" w:type="dxa"/>
              <w:left w:w="15" w:type="dxa"/>
              <w:right w:w="15" w:type="dxa"/>
            </w:tcMar>
            <w:vAlign w:val="center"/>
          </w:tcPr>
          <w:p w14:paraId="7D51C421">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p>
        </w:tc>
        <w:tc>
          <w:tcPr>
            <w:tcW w:w="679" w:type="pct"/>
            <w:vMerge w:val="continue"/>
            <w:noWrap w:val="0"/>
            <w:tcMar>
              <w:top w:w="15" w:type="dxa"/>
              <w:left w:w="15" w:type="dxa"/>
              <w:right w:w="15" w:type="dxa"/>
            </w:tcMar>
            <w:vAlign w:val="center"/>
          </w:tcPr>
          <w:p w14:paraId="707C80F2">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p>
        </w:tc>
        <w:tc>
          <w:tcPr>
            <w:tcW w:w="3424" w:type="pct"/>
            <w:noWrap w:val="0"/>
            <w:tcMar>
              <w:top w:w="15" w:type="dxa"/>
              <w:left w:w="15" w:type="dxa"/>
              <w:right w:w="15" w:type="dxa"/>
            </w:tcMar>
            <w:vAlign w:val="center"/>
          </w:tcPr>
          <w:p w14:paraId="4F8894C7">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320" w:firstLineChars="100"/>
              <w:textAlignment w:val="auto"/>
              <w:rPr>
                <w:rFonts w:hint="default" w:ascii="仿宋" w:hAnsi="仿宋" w:eastAsia="仿宋" w:cs="仿宋"/>
                <w:color w:val="auto"/>
                <w:kern w:val="0"/>
                <w:sz w:val="32"/>
                <w:szCs w:val="32"/>
                <w:highlight w:val="none"/>
              </w:rPr>
            </w:pPr>
            <w:r>
              <w:rPr>
                <w:rFonts w:hint="default" w:ascii="仿宋" w:hAnsi="仿宋" w:eastAsia="仿宋" w:cs="仿宋"/>
                <w:bCs/>
                <w:color w:val="auto"/>
                <w:kern w:val="0"/>
                <w:sz w:val="32"/>
                <w:szCs w:val="32"/>
                <w:lang w:val="en-US" w:eastAsia="zh-CN" w:bidi="ar-SA"/>
              </w:rPr>
              <w:t>（</w:t>
            </w:r>
            <w:r>
              <w:rPr>
                <w:rFonts w:hint="eastAsia" w:ascii="仿宋" w:hAnsi="仿宋" w:eastAsia="仿宋" w:cs="仿宋"/>
                <w:bCs/>
                <w:color w:val="auto"/>
                <w:kern w:val="0"/>
                <w:sz w:val="32"/>
                <w:szCs w:val="32"/>
                <w:lang w:val="en-US" w:eastAsia="zh-CN" w:bidi="ar-SA"/>
              </w:rPr>
              <w:t>4</w:t>
            </w:r>
            <w:r>
              <w:rPr>
                <w:rFonts w:hint="default" w:ascii="仿宋" w:hAnsi="仿宋" w:eastAsia="仿宋" w:cs="仿宋"/>
                <w:bCs/>
                <w:color w:val="auto"/>
                <w:kern w:val="0"/>
                <w:sz w:val="32"/>
                <w:szCs w:val="32"/>
                <w:lang w:val="en-US" w:eastAsia="zh-CN" w:bidi="ar-SA"/>
              </w:rPr>
              <w:t>）</w:t>
            </w:r>
            <w:r>
              <w:rPr>
                <w:rFonts w:hint="eastAsia" w:ascii="仿宋" w:hAnsi="仿宋" w:eastAsia="仿宋" w:cs="仿宋"/>
                <w:color w:val="auto"/>
                <w:kern w:val="0"/>
                <w:sz w:val="32"/>
                <w:szCs w:val="32"/>
                <w:highlight w:val="none"/>
              </w:rPr>
              <w:t>成果交付与素材制作能力（</w:t>
            </w:r>
            <w:r>
              <w:rPr>
                <w:rFonts w:hint="eastAsia" w:ascii="仿宋" w:hAnsi="仿宋" w:eastAsia="仿宋" w:cs="仿宋"/>
                <w:color w:val="auto"/>
                <w:kern w:val="0"/>
                <w:sz w:val="32"/>
                <w:szCs w:val="32"/>
                <w:highlight w:val="none"/>
                <w:lang w:val="en-US" w:eastAsia="zh-CN"/>
              </w:rPr>
              <w:t>1</w:t>
            </w:r>
            <w:r>
              <w:rPr>
                <w:rFonts w:hint="eastAsia" w:ascii="仿宋" w:hAnsi="仿宋" w:eastAsia="仿宋" w:cs="仿宋"/>
                <w:color w:val="auto"/>
                <w:kern w:val="0"/>
                <w:sz w:val="32"/>
                <w:szCs w:val="32"/>
                <w:highlight w:val="none"/>
              </w:rPr>
              <w:t>0分）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a.交付物完整性（</w:t>
            </w:r>
            <w:r>
              <w:rPr>
                <w:rFonts w:hint="eastAsia" w:ascii="仿宋" w:hAnsi="仿宋" w:eastAsia="仿宋" w:cs="仿宋"/>
                <w:color w:val="auto"/>
                <w:kern w:val="0"/>
                <w:sz w:val="32"/>
                <w:szCs w:val="32"/>
                <w:highlight w:val="none"/>
                <w:lang w:val="en-US" w:eastAsia="zh-CN"/>
              </w:rPr>
              <w:t>5</w:t>
            </w:r>
            <w:r>
              <w:rPr>
                <w:rFonts w:hint="default" w:ascii="仿宋" w:hAnsi="仿宋" w:eastAsia="仿宋" w:cs="仿宋"/>
                <w:color w:val="auto"/>
                <w:kern w:val="0"/>
                <w:sz w:val="32"/>
                <w:szCs w:val="32"/>
                <w:highlight w:val="none"/>
              </w:rPr>
              <w:t>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承诺交付符合验收标准的全套演练成果，包括但不限于：</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不少于3分钟的演练全流程高清纪实剪辑视频（含字幕、配乐、解说）；</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不少于20张高像素现场精修图片（涵盖组织指挥、疏散、灭火、急救、培训等关键环节）；</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演练方案、培训课件、签到表、评估报告等纸质及电子档案汇编。</w:t>
            </w:r>
            <w:r>
              <w:rPr>
                <w:rFonts w:hint="default" w:ascii="仿宋" w:hAnsi="仿宋" w:eastAsia="仿宋" w:cs="仿宋"/>
                <w:color w:val="auto"/>
                <w:kern w:val="0"/>
                <w:sz w:val="32"/>
                <w:szCs w:val="32"/>
                <w:highlight w:val="none"/>
              </w:rPr>
              <w:br w:type="textWrapping"/>
            </w:r>
            <w:r>
              <w:rPr>
                <w:rFonts w:hint="eastAsia" w:ascii="仿宋" w:hAnsi="仿宋" w:eastAsia="仿宋" w:cs="仿宋"/>
                <w:color w:val="auto"/>
                <w:kern w:val="0"/>
                <w:sz w:val="32"/>
                <w:szCs w:val="32"/>
                <w:highlight w:val="none"/>
                <w:lang w:val="en-US" w:eastAsia="zh-CN"/>
              </w:rPr>
              <w:t xml:space="preserve">  </w:t>
            </w:r>
            <w:r>
              <w:rPr>
                <w:rFonts w:hint="default" w:ascii="仿宋" w:hAnsi="仿宋" w:eastAsia="仿宋" w:cs="仿宋"/>
                <w:color w:val="auto"/>
                <w:kern w:val="0"/>
                <w:sz w:val="32"/>
                <w:szCs w:val="32"/>
                <w:highlight w:val="none"/>
              </w:rPr>
              <w:t>交付物清单完整、规格标准清晰得</w:t>
            </w:r>
            <w:r>
              <w:rPr>
                <w:rFonts w:hint="eastAsia" w:ascii="仿宋" w:hAnsi="仿宋" w:eastAsia="仿宋" w:cs="仿宋"/>
                <w:color w:val="auto"/>
                <w:kern w:val="0"/>
                <w:sz w:val="32"/>
                <w:szCs w:val="32"/>
                <w:highlight w:val="none"/>
                <w:lang w:val="en-US" w:eastAsia="zh-CN"/>
              </w:rPr>
              <w:t>5</w:t>
            </w:r>
            <w:r>
              <w:rPr>
                <w:rFonts w:hint="default" w:ascii="仿宋" w:hAnsi="仿宋" w:eastAsia="仿宋" w:cs="仿宋"/>
                <w:color w:val="auto"/>
                <w:kern w:val="0"/>
                <w:sz w:val="32"/>
                <w:szCs w:val="32"/>
                <w:highlight w:val="none"/>
              </w:rPr>
              <w:t>分；</w:t>
            </w:r>
          </w:p>
          <w:p w14:paraId="728A0F47">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320" w:firstLineChars="100"/>
              <w:textAlignment w:val="auto"/>
              <w:rPr>
                <w:rFonts w:hint="eastAsia" w:ascii="仿宋" w:hAnsi="仿宋" w:eastAsia="仿宋" w:cs="仿宋"/>
                <w:color w:val="auto"/>
                <w:kern w:val="0"/>
                <w:sz w:val="32"/>
                <w:szCs w:val="32"/>
                <w:highlight w:val="none"/>
              </w:rPr>
            </w:pPr>
            <w:r>
              <w:rPr>
                <w:rFonts w:hint="default" w:ascii="仿宋" w:hAnsi="仿宋" w:eastAsia="仿宋" w:cs="仿宋"/>
                <w:color w:val="auto"/>
                <w:kern w:val="0"/>
                <w:sz w:val="32"/>
                <w:szCs w:val="32"/>
                <w:highlight w:val="none"/>
              </w:rPr>
              <w:t>清单基本完整得</w:t>
            </w:r>
            <w:r>
              <w:rPr>
                <w:rFonts w:hint="eastAsia" w:ascii="仿宋" w:hAnsi="仿宋" w:eastAsia="仿宋" w:cs="仿宋"/>
                <w:color w:val="auto"/>
                <w:kern w:val="0"/>
                <w:sz w:val="32"/>
                <w:szCs w:val="32"/>
                <w:highlight w:val="none"/>
                <w:lang w:val="en-US" w:eastAsia="zh-CN"/>
              </w:rPr>
              <w:t>3</w:t>
            </w:r>
            <w:r>
              <w:rPr>
                <w:rFonts w:hint="default" w:ascii="仿宋" w:hAnsi="仿宋" w:eastAsia="仿宋" w:cs="仿宋"/>
                <w:color w:val="auto"/>
                <w:kern w:val="0"/>
                <w:sz w:val="32"/>
                <w:szCs w:val="32"/>
                <w:highlight w:val="none"/>
              </w:rPr>
              <w:t>分；</w:t>
            </w:r>
          </w:p>
          <w:p w14:paraId="61546425">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00" w:lineRule="exact"/>
              <w:ind w:left="0" w:leftChars="0" w:right="0" w:rightChars="0" w:firstLine="320" w:firstLineChars="100"/>
              <w:textAlignment w:val="auto"/>
              <w:rPr>
                <w:rFonts w:hint="eastAsia" w:ascii="仿宋" w:hAnsi="仿宋" w:eastAsia="仿宋" w:cs="仿宋"/>
                <w:color w:val="auto"/>
                <w:kern w:val="0"/>
                <w:sz w:val="32"/>
                <w:szCs w:val="32"/>
                <w:highlight w:val="none"/>
              </w:rPr>
            </w:pPr>
            <w:r>
              <w:rPr>
                <w:rFonts w:hint="default" w:ascii="仿宋" w:hAnsi="仿宋" w:eastAsia="仿宋" w:cs="仿宋"/>
                <w:color w:val="auto"/>
                <w:kern w:val="0"/>
                <w:sz w:val="32"/>
                <w:szCs w:val="32"/>
                <w:highlight w:val="none"/>
              </w:rPr>
              <w:t>未提供不得分。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b.视频与宣传素材制作方案（</w:t>
            </w:r>
            <w:r>
              <w:rPr>
                <w:rFonts w:hint="eastAsia" w:ascii="仿宋" w:hAnsi="仿宋" w:eastAsia="仿宋" w:cs="仿宋"/>
                <w:color w:val="auto"/>
                <w:kern w:val="0"/>
                <w:sz w:val="32"/>
                <w:szCs w:val="32"/>
                <w:highlight w:val="none"/>
                <w:lang w:val="en-US" w:eastAsia="zh-CN"/>
              </w:rPr>
              <w:t>5</w:t>
            </w:r>
            <w:r>
              <w:rPr>
                <w:rFonts w:hint="default" w:ascii="仿宋" w:hAnsi="仿宋" w:eastAsia="仿宋" w:cs="仿宋"/>
                <w:color w:val="auto"/>
                <w:kern w:val="0"/>
                <w:sz w:val="32"/>
                <w:szCs w:val="32"/>
                <w:highlight w:val="none"/>
              </w:rPr>
              <w:t>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根据供应商提出的视频及图文素材制作方案综合评审：</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明确提出多机位（如无人机航拍、游机跟拍、固定机位全景）拍摄计划的，视频输出分辨率不低于1080P，成片具备校园消防安全教育宣传片水准，且充分考虑了前期宣传预热（如制作活动预告短视频/海报）及后期剪辑包装的，得</w:t>
            </w:r>
            <w:r>
              <w:rPr>
                <w:rFonts w:hint="eastAsia" w:ascii="仿宋" w:hAnsi="仿宋" w:eastAsia="仿宋" w:cs="仿宋"/>
                <w:color w:val="auto"/>
                <w:kern w:val="0"/>
                <w:sz w:val="32"/>
                <w:szCs w:val="32"/>
                <w:highlight w:val="none"/>
                <w:lang w:val="en-US" w:eastAsia="zh-CN"/>
              </w:rPr>
              <w:t>5</w:t>
            </w:r>
            <w:r>
              <w:rPr>
                <w:rFonts w:hint="default" w:ascii="仿宋" w:hAnsi="仿宋" w:eastAsia="仿宋" w:cs="仿宋"/>
                <w:color w:val="auto"/>
                <w:kern w:val="0"/>
                <w:sz w:val="32"/>
                <w:szCs w:val="32"/>
                <w:highlight w:val="none"/>
              </w:rPr>
              <w:t>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仅承诺简易设备拍摄，成品为简单活动记录，仅满足基本存档需求得</w:t>
            </w:r>
            <w:r>
              <w:rPr>
                <w:rFonts w:hint="eastAsia" w:ascii="仿宋" w:hAnsi="仿宋" w:eastAsia="仿宋" w:cs="仿宋"/>
                <w:color w:val="auto"/>
                <w:kern w:val="0"/>
                <w:sz w:val="32"/>
                <w:szCs w:val="32"/>
                <w:highlight w:val="none"/>
                <w:lang w:val="en-US" w:eastAsia="zh-CN"/>
              </w:rPr>
              <w:t>3</w:t>
            </w:r>
            <w:r>
              <w:rPr>
                <w:rFonts w:hint="default" w:ascii="仿宋" w:hAnsi="仿宋" w:eastAsia="仿宋" w:cs="仿宋"/>
                <w:color w:val="auto"/>
                <w:kern w:val="0"/>
                <w:sz w:val="32"/>
                <w:szCs w:val="32"/>
                <w:highlight w:val="none"/>
              </w:rPr>
              <w:t>分；</w:t>
            </w:r>
            <w:r>
              <w:rPr>
                <w:rFonts w:hint="default" w:ascii="仿宋" w:hAnsi="仿宋" w:eastAsia="仿宋" w:cs="仿宋"/>
                <w:color w:val="auto"/>
                <w:kern w:val="0"/>
                <w:sz w:val="32"/>
                <w:szCs w:val="32"/>
                <w:highlight w:val="none"/>
              </w:rPr>
              <w:br w:type="textWrapping"/>
            </w:r>
            <w:r>
              <w:rPr>
                <w:rFonts w:hint="default" w:ascii="仿宋" w:hAnsi="仿宋" w:eastAsia="仿宋" w:cs="仿宋"/>
                <w:color w:val="auto"/>
                <w:kern w:val="0"/>
                <w:sz w:val="32"/>
                <w:szCs w:val="32"/>
                <w:highlight w:val="none"/>
              </w:rPr>
              <w:t>无具体方案的不得分。</w:t>
            </w:r>
          </w:p>
        </w:tc>
        <w:tc>
          <w:tcPr>
            <w:tcW w:w="531" w:type="pct"/>
            <w:noWrap w:val="0"/>
            <w:tcMar>
              <w:top w:w="15" w:type="dxa"/>
              <w:left w:w="15" w:type="dxa"/>
              <w:right w:w="15" w:type="dxa"/>
            </w:tcMar>
            <w:vAlign w:val="center"/>
          </w:tcPr>
          <w:p w14:paraId="21EC1FEC">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10</w:t>
            </w:r>
          </w:p>
        </w:tc>
      </w:tr>
      <w:tr w14:paraId="6D26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7" w:hRule="atLeast"/>
          <w:jc w:val="center"/>
        </w:trPr>
        <w:tc>
          <w:tcPr>
            <w:tcW w:w="4468" w:type="pct"/>
            <w:gridSpan w:val="3"/>
            <w:noWrap w:val="0"/>
            <w:tcMar>
              <w:top w:w="15" w:type="dxa"/>
              <w:left w:w="15" w:type="dxa"/>
              <w:right w:w="15" w:type="dxa"/>
            </w:tcMar>
            <w:vAlign w:val="center"/>
          </w:tcPr>
          <w:p w14:paraId="356586B6">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合计</w:t>
            </w:r>
          </w:p>
        </w:tc>
        <w:tc>
          <w:tcPr>
            <w:tcW w:w="531" w:type="pct"/>
            <w:noWrap w:val="0"/>
            <w:tcMar>
              <w:top w:w="15" w:type="dxa"/>
              <w:left w:w="15" w:type="dxa"/>
              <w:right w:w="15" w:type="dxa"/>
            </w:tcMar>
            <w:vAlign w:val="center"/>
          </w:tcPr>
          <w:p w14:paraId="712D0B50">
            <w:pPr>
              <w:keepNext w:val="0"/>
              <w:keepLines w:val="0"/>
              <w:pageBreakBefore w:val="0"/>
              <w:widowControl w:val="0"/>
              <w:suppressLineNumbers w:val="0"/>
              <w:kinsoku/>
              <w:wordWrap/>
              <w:overflowPunct/>
              <w:topLinePunct w:val="0"/>
              <w:autoSpaceDE/>
              <w:autoSpaceDN/>
              <w:bidi w:val="0"/>
              <w:spacing w:before="0" w:beforeAutospacing="0" w:after="0" w:afterAutospacing="0" w:line="400" w:lineRule="exact"/>
              <w:ind w:left="0" w:right="0"/>
              <w:jc w:val="center"/>
              <w:textAlignment w:val="auto"/>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100</w:t>
            </w:r>
          </w:p>
        </w:tc>
      </w:tr>
    </w:tbl>
    <w:p w14:paraId="039FBF71">
      <w:pPr>
        <w:rPr>
          <w:b/>
          <w:color w:val="auto"/>
          <w:position w:val="2"/>
          <w:sz w:val="32"/>
          <w:szCs w:val="32"/>
          <w:highlight w:val="none"/>
        </w:rPr>
      </w:pPr>
      <w:r>
        <w:rPr>
          <w:rFonts w:hint="eastAsia" w:ascii="仿宋" w:hAnsi="仿宋" w:eastAsia="仿宋" w:cs="仿宋"/>
          <w:color w:val="auto"/>
          <w:szCs w:val="28"/>
          <w:highlight w:val="none"/>
        </w:rPr>
        <w:br w:type="page"/>
      </w:r>
    </w:p>
    <w:p w14:paraId="5F32596D">
      <w:pPr>
        <w:pStyle w:val="2"/>
        <w:adjustRightInd w:val="0"/>
        <w:snapToGrid w:val="0"/>
        <w:spacing w:line="560" w:lineRule="exact"/>
        <w:rPr>
          <w:rFonts w:hint="eastAsia" w:ascii="仿宋" w:hAnsi="仿宋" w:eastAsia="仿宋" w:cs="仿宋"/>
          <w:color w:val="auto"/>
          <w:sz w:val="44"/>
          <w:highlight w:val="none"/>
          <w:lang w:eastAsia="zh-CN"/>
        </w:rPr>
      </w:pPr>
      <w:bookmarkStart w:id="40" w:name="_Toc22407"/>
      <w:r>
        <w:rPr>
          <w:rFonts w:hint="eastAsia" w:ascii="仿宋" w:hAnsi="仿宋" w:eastAsia="仿宋" w:cs="仿宋"/>
          <w:color w:val="auto"/>
          <w:sz w:val="44"/>
          <w:highlight w:val="none"/>
        </w:rPr>
        <w:t>第四部分 授予合同</w:t>
      </w:r>
      <w:bookmarkEnd w:id="36"/>
      <w:bookmarkEnd w:id="37"/>
      <w:bookmarkEnd w:id="40"/>
      <w:r>
        <w:rPr>
          <w:rFonts w:hint="eastAsia" w:ascii="仿宋" w:hAnsi="仿宋" w:eastAsia="仿宋" w:cs="仿宋"/>
          <w:color w:val="auto"/>
          <w:sz w:val="44"/>
          <w:highlight w:val="none"/>
          <w:lang w:eastAsia="zh-CN"/>
        </w:rPr>
        <w:t>（</w:t>
      </w:r>
      <w:r>
        <w:rPr>
          <w:rFonts w:hint="eastAsia" w:ascii="仿宋" w:hAnsi="仿宋" w:eastAsia="仿宋" w:cs="仿宋"/>
          <w:color w:val="auto"/>
          <w:sz w:val="44"/>
          <w:highlight w:val="none"/>
          <w:lang w:val="en-US" w:eastAsia="zh-CN"/>
        </w:rPr>
        <w:t>参考模版</w:t>
      </w:r>
      <w:r>
        <w:rPr>
          <w:rFonts w:hint="eastAsia" w:ascii="仿宋" w:hAnsi="仿宋" w:eastAsia="仿宋" w:cs="仿宋"/>
          <w:color w:val="auto"/>
          <w:sz w:val="44"/>
          <w:highlight w:val="none"/>
          <w:lang w:eastAsia="zh-CN"/>
        </w:rPr>
        <w:t>）</w:t>
      </w:r>
    </w:p>
    <w:p w14:paraId="6C2B9388">
      <w:pPr>
        <w:adjustRightInd w:val="0"/>
        <w:snapToGrid w:val="0"/>
        <w:spacing w:line="560" w:lineRule="exact"/>
        <w:ind w:firstLine="640" w:firstLineChars="200"/>
        <w:rPr>
          <w:rFonts w:ascii="仿宋" w:hAnsi="仿宋" w:eastAsia="仿宋" w:cs="仿宋"/>
          <w:color w:val="auto"/>
          <w:sz w:val="32"/>
          <w:szCs w:val="32"/>
          <w:highlight w:val="none"/>
        </w:rPr>
      </w:pPr>
      <w:bookmarkStart w:id="41" w:name="_Toc8997"/>
      <w:bookmarkStart w:id="42" w:name="_Toc325620721"/>
      <w:bookmarkStart w:id="43" w:name="_Toc332979562"/>
    </w:p>
    <w:p w14:paraId="1C099EE9">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一、签订合同</w:t>
      </w:r>
      <w:bookmarkEnd w:id="41"/>
      <w:bookmarkEnd w:id="42"/>
      <w:bookmarkEnd w:id="43"/>
    </w:p>
    <w:p w14:paraId="77E27F7E">
      <w:pPr>
        <w:adjustRightInd w:val="0"/>
        <w:snapToGrid w:val="0"/>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1.评审工作结束后，采购人向成交供应商签发《中标通知书》，在7个工作日内，由采购人和成交供应商签订合同。合同签订的内容不能超出磋商文件和响应文件的实质性内容。</w:t>
      </w:r>
    </w:p>
    <w:p w14:paraId="6154A8B5">
      <w:pPr>
        <w:adjustRightInd w:val="0"/>
        <w:snapToGrid w:val="0"/>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2.磋商文件、采购人的报价文件及评审过程中有关澄清文件等均可为合同附件。</w:t>
      </w:r>
    </w:p>
    <w:p w14:paraId="7DDAEB02">
      <w:pPr>
        <w:adjustRightInd w:val="0"/>
        <w:snapToGrid w:val="0"/>
        <w:spacing w:line="560" w:lineRule="exact"/>
        <w:ind w:firstLine="640" w:firstLineChars="200"/>
        <w:rPr>
          <w:rFonts w:hint="eastAsia" w:ascii="仿宋" w:hAnsi="仿宋" w:eastAsia="仿宋" w:cs="仿宋"/>
          <w:color w:val="auto"/>
          <w:sz w:val="32"/>
          <w:szCs w:val="32"/>
          <w:highlight w:val="none"/>
        </w:rPr>
      </w:pPr>
      <w:bookmarkStart w:id="44" w:name="_Toc332979563"/>
      <w:bookmarkStart w:id="45" w:name="_Toc325620722"/>
      <w:bookmarkStart w:id="46" w:name="_Toc16534"/>
      <w:r>
        <w:rPr>
          <w:rFonts w:hint="eastAsia" w:ascii="仿宋" w:hAnsi="仿宋" w:eastAsia="仿宋" w:cs="仿宋"/>
          <w:color w:val="auto"/>
          <w:sz w:val="32"/>
          <w:szCs w:val="32"/>
          <w:highlight w:val="none"/>
        </w:rPr>
        <w:t>二、合同格式</w:t>
      </w:r>
      <w:bookmarkEnd w:id="11"/>
      <w:bookmarkEnd w:id="12"/>
      <w:bookmarkEnd w:id="13"/>
      <w:bookmarkEnd w:id="14"/>
      <w:bookmarkEnd w:id="15"/>
      <w:bookmarkEnd w:id="16"/>
      <w:bookmarkEnd w:id="44"/>
      <w:bookmarkEnd w:id="45"/>
      <w:bookmarkEnd w:id="46"/>
      <w:bookmarkStart w:id="47" w:name="_Toc356491327"/>
      <w:bookmarkStart w:id="48" w:name="_Toc325620723"/>
      <w:bookmarkStart w:id="49" w:name="_Toc356490388"/>
      <w:bookmarkStart w:id="50" w:name="_Toc40089798"/>
      <w:bookmarkStart w:id="51" w:name="_Toc905"/>
    </w:p>
    <w:p w14:paraId="16A302BD">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甲方：</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(以下简称甲方)</w:t>
      </w:r>
    </w:p>
    <w:p w14:paraId="62FB7A26">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乙方：</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eastAsia="zh-CN"/>
        </w:rPr>
        <w:t>(以下简称乙方)</w:t>
      </w:r>
    </w:p>
    <w:p w14:paraId="79075626">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甲、乙双方根据《海南卫生健康职业学院2026年学生消防应急疏散与灭火演练项目》竞争性磋商采购结果，依据《中华人民共和国民法典》及相关法律法规，在平等、自愿、公平和诚实信用的基础上，就乙方为甲方提供学生消防应急疏散与灭火演练服务事宜达成一致，订立本合同。</w:t>
      </w:r>
    </w:p>
    <w:p w14:paraId="511842B5">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w:t>
      </w:r>
      <w:r>
        <w:rPr>
          <w:rFonts w:hint="eastAsia" w:ascii="仿宋" w:hAnsi="仿宋" w:eastAsia="仿宋" w:cs="仿宋"/>
          <w:b/>
          <w:bCs/>
          <w:color w:val="auto"/>
          <w:sz w:val="32"/>
          <w:szCs w:val="32"/>
          <w:highlight w:val="none"/>
          <w:lang w:val="en-US" w:eastAsia="zh-CN"/>
        </w:rPr>
        <w:t>1</w:t>
      </w:r>
      <w:r>
        <w:rPr>
          <w:rFonts w:hint="eastAsia" w:ascii="仿宋" w:hAnsi="仿宋" w:eastAsia="仿宋" w:cs="仿宋"/>
          <w:b/>
          <w:bCs/>
          <w:color w:val="auto"/>
          <w:sz w:val="32"/>
          <w:szCs w:val="32"/>
          <w:highlight w:val="none"/>
          <w:lang w:eastAsia="zh-CN"/>
        </w:rPr>
        <w:t>）合同内容</w:t>
      </w:r>
    </w:p>
    <w:p w14:paraId="2A39BA6A">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第一条服务地点及期限</w:t>
      </w:r>
    </w:p>
    <w:p w14:paraId="08BA8B62">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1.服务地点：海南卫生健康职业学院校内，包括：</w:t>
      </w:r>
    </w:p>
    <w:p w14:paraId="18998C9E">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（1）海口市秀英区秀华路32号；</w:t>
      </w:r>
    </w:p>
    <w:p w14:paraId="5E269E70">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（2）海口市龙华区白水塘路48号。</w:t>
      </w:r>
    </w:p>
    <w:p w14:paraId="6951AE11">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2.服务期限：合同签订之日起至2026年12月31日止（全部演练及成果交付工作须在此期限内完成）</w:t>
      </w:r>
    </w:p>
    <w:p w14:paraId="52D316D2">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第二条服务内容及要求</w:t>
      </w:r>
    </w:p>
    <w:p w14:paraId="2698D158">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1.演练方案策划与编制：</w:t>
      </w:r>
    </w:p>
    <w:p w14:paraId="4297ED93">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乙方须在合同签订后10个工作日内，根据两校区建筑布局、学生分布及专业特点，编制详细的《消防应急疏散与灭火演练实施方案》提交甲方审核。方案应包括但不限于：演练目的、时间、地点、参演人员范围及人数、组织架构与职责分工、情景设置（如某宿舍楼/教学楼突发火情）、疏散路线与集合区域平面图、演练具体流程与时间节点、各环节实操内容（含报警、疏散、搜救、灭火器及消火栓实操、模拟伤情急救等）、安全保障措施、意外情况应急预案、演练物资与设备清单、活动宣传预热方案、演练评估标准等。方案经甲方书面确认后方可实施。</w:t>
      </w:r>
    </w:p>
    <w:p w14:paraId="4104B77B">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2.演练前培训：</w:t>
      </w:r>
    </w:p>
    <w:p w14:paraId="31C1AF33">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演练实施前，乙方应安排具备相应资质的专业讲师，对参演师生代表、辅导员、宿管人员、安保人员及相关部门工作人员进行消防知识及演练流程培训，培训总时长不少于2学时。培训内容应至少涵盖：校园火灾风险与预防、初期火灾扑救方法、应急疏散逃生要领（含高层建筑及夜间疏散注意事项）、灭火器及室内消火栓实操训练、演练流程推演及人员职责明确等。</w:t>
      </w:r>
    </w:p>
    <w:p w14:paraId="06CE93EC">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3.演练组织实施：</w:t>
      </w:r>
    </w:p>
    <w:p w14:paraId="6224EE08">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（1）乙方负责演练现场的全程组织、指挥与调度（在甲方总指挥领导下），确保各环节按方案安全、有序进行。</w:t>
      </w:r>
    </w:p>
    <w:p w14:paraId="0D9BC44E">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（2）现场须设置明显的演练标识、安全警戒线，并配备足量的安全保障人员及医疗急救物资。</w:t>
      </w:r>
    </w:p>
    <w:p w14:paraId="036CF9AC">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（3）演练中应设置烟雾环境模拟、模拟火源、模拟被困/受伤人员等逼真场景，提升实战感。</w:t>
      </w:r>
    </w:p>
    <w:p w14:paraId="79B5B498">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（4）乙方需指派专业人员现场讲解及示范灭火器使用、消火栓操作、心肺复苏及创伤包扎等急救技能，并组织学生代表实操体验。</w:t>
      </w:r>
    </w:p>
    <w:p w14:paraId="6AF09503">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4.演练评估与总结：</w:t>
      </w:r>
    </w:p>
    <w:p w14:paraId="754ED180">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演练结束后，乙方现场进行简要讲评；并于5个工作日内向甲方提交详细的书面《演练评估报告》，内容包括演练过程记录、参与人数统计、各环节用时分析、暴露问题与改进建议等。</w:t>
      </w:r>
    </w:p>
    <w:p w14:paraId="3C9B1192">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5.成果交付：</w:t>
      </w:r>
    </w:p>
    <w:p w14:paraId="58F31C63">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本项目演练活动拟于2026年6月及9月两个校区共组织四次，乙方须在每次演练活动结束后7个工作日内，分别向甲方交付以下成果资料，每次交付均包含纸质成册文件壹套及电子文件壹份（存储于U盘或移动硬盘）。</w:t>
      </w:r>
    </w:p>
    <w:p w14:paraId="7042CE16">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（1）纸质成册文件壹套，内容包括：</w:t>
      </w:r>
    </w:p>
    <w:p w14:paraId="460D4C77">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① 经甲方审核确认的当次演练方案（定稿版）、培训课件、参演人员签到表、演练评估报告等档案资料，按类别整理并胶装成册，封面、目录及页码清晰完整；</w:t>
      </w:r>
    </w:p>
    <w:p w14:paraId="6DE6EB11">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② 高像素现场精修图片不少于20张（彩色打印），内容涵盖当次演练的组织指挥、疏散逃生、灭火实操、急救演练、培训教育等关键环节，图片下方附简明图注，单张图片对应电子原图分辨率不低于300dpi。</w:t>
      </w:r>
    </w:p>
    <w:p w14:paraId="47BF214B">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所有纸质文件须统一装帧，封面注明项目名称、演练场次（6月场/9月场）。</w:t>
      </w:r>
    </w:p>
    <w:p w14:paraId="0D4A9002">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（2）电子文件壹份（存入U盘或移动硬盘），内容包括：</w:t>
      </w:r>
    </w:p>
    <w:p w14:paraId="52F264D8">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① 当次演练全流程高清纪实剪辑视频4部：其中时长不少于3分钟的完整版2部，时长1分钟以内的精简版2部，分辨率均不低于1080P，包含字幕、配乐及解说，适合作为校园安全教育宣传片使用；</w:t>
      </w:r>
    </w:p>
    <w:p w14:paraId="10AAB37B">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② 上述纸质成册文件中全部内容的电子扫描件（PDF格式）；</w:t>
      </w:r>
    </w:p>
    <w:p w14:paraId="64829BA6">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③ 高像素现场精修图片电子原图不少于20张，内容同上；</w:t>
      </w:r>
    </w:p>
    <w:p w14:paraId="06927185">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④ 当次演练全程拍摄的原始视频素材及原始照片文件，按机位/环节分类整理后一并存入。</w:t>
      </w:r>
    </w:p>
    <w:p w14:paraId="0B454520">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6.知识产权归属：</w:t>
      </w:r>
    </w:p>
    <w:p w14:paraId="737F64B7">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乙方在履行本合同过程中形成的所有演练方案、培训课件、照片、视频资料及其他任何形式的成果，其知识产权（包括但不限于著作权）均归甲方所有。乙方须将上述成果完整交付甲方，未经甲方书面许可，不得以任何形式留存、使用、公开或向第三方提供。</w:t>
      </w:r>
    </w:p>
    <w:p w14:paraId="795C3A94">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7.人员资质要求：</w:t>
      </w:r>
    </w:p>
    <w:p w14:paraId="0C238FB1">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乙方为本项目配置的执行团队须满足以下要求：</w:t>
      </w:r>
    </w:p>
    <w:p w14:paraId="59E51581">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（1）项目总负责人1人，须持有有效的一级注册消防工程师资格证书；</w:t>
      </w:r>
    </w:p>
    <w:p w14:paraId="7AF0E8AC">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（2）现场执行及技术人员不少于4人，其中至少1人为专业影像采集人员（需提供相关摄影/摄像作品或从业经历证明），其余人员持有消防设施操作员（中级及以上）或相关消防安全专业资质证书。</w:t>
      </w:r>
    </w:p>
    <w:p w14:paraId="52916FFC">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（上述人员名单及有效证书复印件须作为合同附件。）</w:t>
      </w:r>
    </w:p>
    <w:p w14:paraId="108E6235">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第三条 双方权利与义务</w:t>
      </w:r>
    </w:p>
    <w:p w14:paraId="307584B8">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1.甲方有权对乙方的演练方案、培训内容及现场组织实施进行监督、检查，并提出修改意见，乙方应在合理期限内予以响应和调整。</w:t>
      </w:r>
    </w:p>
    <w:p w14:paraId="39114F35">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2.甲方负责协调落实演练场地，组织参演师生及相关人员按时到场，为演练实施提供必要的后勤支持（如电源、场地清场等）。</w:t>
      </w:r>
    </w:p>
    <w:p w14:paraId="06AD12F7">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3.乙方应严格按照经甲方确认的方案组织实施，确保活动安全。因乙方组织不当、安全措施不到位或设备操作失误造成的人员伤亡或财产损失，由乙方承担全部法律责任及经济赔偿。</w:t>
      </w:r>
    </w:p>
    <w:p w14:paraId="6F2261AF">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4.乙方自行配备演练所需的全部专业设备、器材、道具及个人防护用品，并保证其性能完好、安全可靠。</w:t>
      </w:r>
    </w:p>
    <w:p w14:paraId="2E4E1564">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5.未经甲方书面同意，乙方不得将本合同项下任何义务转包或分包给第三方。</w:t>
      </w:r>
    </w:p>
    <w:p w14:paraId="2EAE51E1">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b w:val="0"/>
          <w:bCs w:val="0"/>
          <w:color w:val="auto"/>
          <w:kern w:val="2"/>
          <w:sz w:val="32"/>
          <w:szCs w:val="32"/>
          <w:highlight w:val="none"/>
          <w:lang w:val="zh-CN" w:eastAsia="zh-CN" w:bidi="zh-CN"/>
        </w:rPr>
      </w:pPr>
      <w:r>
        <w:rPr>
          <w:rFonts w:hint="eastAsia" w:ascii="仿宋" w:hAnsi="仿宋" w:eastAsia="仿宋" w:cs="仿宋"/>
          <w:b w:val="0"/>
          <w:bCs w:val="0"/>
          <w:color w:val="auto"/>
          <w:kern w:val="2"/>
          <w:sz w:val="32"/>
          <w:szCs w:val="32"/>
          <w:highlight w:val="none"/>
          <w:lang w:val="en-US" w:eastAsia="zh-CN" w:bidi="zh-CN"/>
        </w:rPr>
        <w:t>二、</w:t>
      </w:r>
      <w:r>
        <w:rPr>
          <w:rFonts w:hint="eastAsia" w:ascii="仿宋" w:hAnsi="仿宋" w:eastAsia="仿宋" w:cs="仿宋"/>
          <w:b w:val="0"/>
          <w:bCs w:val="0"/>
          <w:color w:val="auto"/>
          <w:kern w:val="2"/>
          <w:sz w:val="32"/>
          <w:szCs w:val="32"/>
          <w:highlight w:val="none"/>
          <w:lang w:val="zh-CN" w:eastAsia="zh-CN" w:bidi="zh-CN"/>
        </w:rPr>
        <w:t>合同费用</w:t>
      </w:r>
    </w:p>
    <w:p w14:paraId="63D1AD3E">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1.本项目服务总费用为</w:t>
      </w:r>
      <w:r>
        <w:rPr>
          <w:rFonts w:hint="default" w:ascii="仿宋" w:hAnsi="仿宋" w:eastAsia="仿宋" w:cs="仿宋"/>
          <w:color w:val="auto"/>
          <w:sz w:val="32"/>
          <w:szCs w:val="32"/>
          <w:highlight w:val="none"/>
          <w:lang w:val="en-US" w:eastAsia="zh-CN"/>
        </w:rPr>
        <w:t> ￥ （大写： 整）（含税）</w:t>
      </w:r>
      <w:r>
        <w:rPr>
          <w:rFonts w:hint="eastAsia" w:ascii="仿宋" w:hAnsi="仿宋" w:eastAsia="仿宋" w:cs="仿宋"/>
          <w:color w:val="auto"/>
          <w:sz w:val="32"/>
          <w:szCs w:val="32"/>
          <w:highlight w:val="none"/>
          <w:lang w:val="en-US" w:eastAsia="zh-CN"/>
        </w:rPr>
        <w:t>。</w:t>
      </w:r>
    </w:p>
    <w:p w14:paraId="2B55E9F3">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2.支付方式：</w:t>
      </w:r>
    </w:p>
    <w:p w14:paraId="4F0082A5">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全部演练活动实施完毕，乙方交付全部成果资料经甲方验收合格后开具合法发票，甲方收到发票3个工作日内向乙方支付合同总费用的100%。</w:t>
      </w:r>
    </w:p>
    <w:p w14:paraId="6845FB79">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3.乙方账户</w:t>
      </w:r>
    </w:p>
    <w:p w14:paraId="3733B944">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单位名称：</w:t>
      </w:r>
    </w:p>
    <w:p w14:paraId="2638BD2F">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开户银行：</w:t>
      </w:r>
    </w:p>
    <w:p w14:paraId="2C8A41E6">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账号：</w:t>
      </w:r>
    </w:p>
    <w:p w14:paraId="0569DB5A">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b w:val="0"/>
          <w:bCs w:val="0"/>
          <w:color w:val="auto"/>
          <w:kern w:val="2"/>
          <w:sz w:val="32"/>
          <w:szCs w:val="32"/>
          <w:highlight w:val="none"/>
          <w:lang w:val="zh-CN" w:eastAsia="zh-CN" w:bidi="zh-CN"/>
        </w:rPr>
      </w:pPr>
      <w:r>
        <w:rPr>
          <w:rFonts w:hint="eastAsia" w:ascii="仿宋" w:hAnsi="仿宋" w:eastAsia="仿宋" w:cs="仿宋"/>
          <w:b w:val="0"/>
          <w:bCs w:val="0"/>
          <w:color w:val="auto"/>
          <w:kern w:val="2"/>
          <w:sz w:val="32"/>
          <w:szCs w:val="32"/>
          <w:highlight w:val="none"/>
          <w:lang w:val="zh-CN" w:eastAsia="zh-CN" w:bidi="zh-CN"/>
        </w:rPr>
        <w:t>三、违约责任</w:t>
      </w:r>
    </w:p>
    <w:p w14:paraId="7A8CF82E">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560" w:lineRule="exact"/>
        <w:ind w:left="0" w:leftChars="0" w:right="0" w:rightChars="0" w:firstLine="640" w:firstLineChars="200"/>
        <w:jc w:val="both"/>
        <w:textAlignment w:val="baseline"/>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自本合同签定之日起，双方应严格遵守并认真执行，任何一方出现违约情况，应承担违约责任，守约方有权要求违约方在做出损失赔偿后继续履行其责任；也可在违约方根据法律规定或协商议定做出赔偿后，要求终止本合同。</w:t>
      </w:r>
    </w:p>
    <w:p w14:paraId="591EE785">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四、争讼条款</w:t>
      </w:r>
    </w:p>
    <w:p w14:paraId="53366219">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560" w:lineRule="exact"/>
        <w:ind w:left="0" w:leftChars="0" w:right="0" w:rightChars="0" w:firstLine="640" w:firstLineChars="200"/>
        <w:jc w:val="both"/>
        <w:textAlignment w:val="baseline"/>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因执行本合同所发生的一切争议，双方应本着宽容、热诚、互助和体谅的精神协同解决。如经协商不能达成一致，由甲方所在地人民法院处理。</w:t>
      </w:r>
    </w:p>
    <w:p w14:paraId="58B078D5">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五、其他事项</w:t>
      </w:r>
    </w:p>
    <w:p w14:paraId="78085B87">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1.本合同自双方签字、盖章之日起生效。合同履行完毕即自行失效。</w:t>
      </w:r>
    </w:p>
    <w:p w14:paraId="237452A8">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2.本合同履行期间，双方不得随意变更和解除合同，合同如有未尽事宜，由双方共同协商，作出补充规定。补充规定双方签章确认后，与本合同的其他条款具有同等的法律效力。</w:t>
      </w:r>
    </w:p>
    <w:p w14:paraId="43AE4D65">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3.本合同的解释和执行，适用中华人民共和国法律。</w:t>
      </w:r>
    </w:p>
    <w:p w14:paraId="6A6098AD">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4.本合同正本一式</w:t>
      </w:r>
      <w:r>
        <w:rPr>
          <w:rFonts w:hint="eastAsia" w:ascii="仿宋" w:hAnsi="仿宋" w:eastAsia="仿宋" w:cs="仿宋"/>
          <w:color w:val="auto"/>
          <w:kern w:val="2"/>
          <w:sz w:val="32"/>
          <w:szCs w:val="32"/>
          <w:highlight w:val="none"/>
          <w:u w:val="single"/>
          <w:lang w:val="en-US" w:eastAsia="zh-CN" w:bidi="zh-CN"/>
        </w:rPr>
        <w:t xml:space="preserve">   </w:t>
      </w:r>
      <w:r>
        <w:rPr>
          <w:rFonts w:hint="eastAsia" w:ascii="仿宋" w:hAnsi="仿宋" w:eastAsia="仿宋" w:cs="仿宋"/>
          <w:color w:val="auto"/>
          <w:kern w:val="2"/>
          <w:sz w:val="32"/>
          <w:szCs w:val="32"/>
          <w:highlight w:val="none"/>
          <w:lang w:val="en-US" w:eastAsia="zh-CN" w:bidi="zh-CN"/>
        </w:rPr>
        <w:t>份，甲方执</w:t>
      </w:r>
      <w:r>
        <w:rPr>
          <w:rFonts w:hint="eastAsia" w:ascii="仿宋" w:hAnsi="仿宋" w:eastAsia="仿宋" w:cs="仿宋"/>
          <w:color w:val="auto"/>
          <w:kern w:val="2"/>
          <w:sz w:val="32"/>
          <w:szCs w:val="32"/>
          <w:highlight w:val="none"/>
          <w:u w:val="single"/>
          <w:lang w:val="en-US" w:eastAsia="zh-CN" w:bidi="zh-CN"/>
        </w:rPr>
        <w:t xml:space="preserve">   </w:t>
      </w:r>
      <w:r>
        <w:rPr>
          <w:rFonts w:hint="eastAsia" w:ascii="仿宋" w:hAnsi="仿宋" w:eastAsia="仿宋" w:cs="仿宋"/>
          <w:color w:val="auto"/>
          <w:kern w:val="2"/>
          <w:sz w:val="32"/>
          <w:szCs w:val="32"/>
          <w:highlight w:val="none"/>
          <w:lang w:val="en-US" w:eastAsia="zh-CN" w:bidi="zh-CN"/>
        </w:rPr>
        <w:t>份，乙方执</w:t>
      </w:r>
      <w:r>
        <w:rPr>
          <w:rFonts w:hint="eastAsia" w:ascii="仿宋" w:hAnsi="仿宋" w:eastAsia="仿宋" w:cs="仿宋"/>
          <w:color w:val="auto"/>
          <w:kern w:val="2"/>
          <w:sz w:val="32"/>
          <w:szCs w:val="32"/>
          <w:highlight w:val="none"/>
          <w:u w:val="single"/>
          <w:lang w:val="en-US" w:eastAsia="zh-CN" w:bidi="zh-CN"/>
        </w:rPr>
        <w:t xml:space="preserve">   </w:t>
      </w:r>
      <w:r>
        <w:rPr>
          <w:rFonts w:hint="eastAsia" w:ascii="仿宋" w:hAnsi="仿宋" w:eastAsia="仿宋" w:cs="仿宋"/>
          <w:color w:val="auto"/>
          <w:kern w:val="2"/>
          <w:sz w:val="32"/>
          <w:szCs w:val="32"/>
          <w:highlight w:val="none"/>
          <w:lang w:val="en-US" w:eastAsia="zh-CN" w:bidi="zh-CN"/>
        </w:rPr>
        <w:t>份。</w:t>
      </w:r>
    </w:p>
    <w:p w14:paraId="6D8028E1">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zh-CN"/>
        </w:rPr>
      </w:pPr>
    </w:p>
    <w:p w14:paraId="3B34C847">
      <w:pPr>
        <w:pStyle w:val="13"/>
        <w:keepNext w:val="0"/>
        <w:keepLines w:val="0"/>
        <w:pageBreakBefore w:val="0"/>
        <w:kinsoku/>
        <w:wordWrap/>
        <w:overflowPunct/>
        <w:topLinePunct w:val="0"/>
        <w:autoSpaceDE/>
        <w:autoSpaceDN/>
        <w:bidi w:val="0"/>
        <w:adjustRightInd w:val="0"/>
        <w:snapToGrid w:val="0"/>
        <w:spacing w:line="560" w:lineRule="exact"/>
        <w:ind w:left="0" w:leftChars="0" w:right="0" w:rightChars="0" w:firstLine="640" w:firstLineChars="200"/>
        <w:rPr>
          <w:rFonts w:hint="eastAsia" w:ascii="仿宋" w:hAnsi="仿宋" w:eastAsia="仿宋" w:cs="仿宋"/>
          <w:color w:val="auto"/>
          <w:kern w:val="2"/>
          <w:sz w:val="32"/>
          <w:szCs w:val="32"/>
          <w:highlight w:val="none"/>
          <w:lang w:val="en-US" w:eastAsia="zh-CN" w:bidi="zh-CN"/>
        </w:rPr>
      </w:pPr>
    </w:p>
    <w:p w14:paraId="434FB5D6">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甲方(盖章):                   乙方(盖章):</w:t>
      </w:r>
    </w:p>
    <w:p w14:paraId="3E12AF27">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bidi="zh-CN"/>
        </w:rPr>
      </w:pPr>
    </w:p>
    <w:p w14:paraId="5A7EF644">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代表签名:                     代表签名:</w:t>
      </w:r>
    </w:p>
    <w:p w14:paraId="48E797E0">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bidi="zh-CN"/>
        </w:rPr>
      </w:pPr>
    </w:p>
    <w:p w14:paraId="4264458B">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bidi="zh-CN"/>
        </w:rPr>
      </w:pPr>
      <w:r>
        <w:rPr>
          <w:rFonts w:hint="eastAsia" w:ascii="仿宋" w:hAnsi="仿宋" w:eastAsia="仿宋" w:cs="仿宋"/>
          <w:color w:val="auto"/>
          <w:kern w:val="2"/>
          <w:sz w:val="32"/>
          <w:szCs w:val="32"/>
          <w:highlight w:val="none"/>
          <w:lang w:val="en-US" w:eastAsia="zh-CN" w:bidi="zh-CN"/>
        </w:rPr>
        <w:t>日期:    年  月  日          日期:   年  月  日</w:t>
      </w:r>
    </w:p>
    <w:p w14:paraId="6C772C3B">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bidi="zh-CN"/>
        </w:rPr>
      </w:pPr>
    </w:p>
    <w:p w14:paraId="69280B6B">
      <w:pPr>
        <w:pStyle w:val="13"/>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 w:hAnsi="仿宋" w:eastAsia="仿宋" w:cs="仿宋"/>
          <w:color w:val="auto"/>
          <w:kern w:val="2"/>
          <w:sz w:val="32"/>
          <w:szCs w:val="32"/>
          <w:highlight w:val="none"/>
          <w:lang w:val="en-US" w:eastAsia="zh-CN" w:bidi="zh-CN"/>
        </w:rPr>
      </w:pPr>
    </w:p>
    <w:p w14:paraId="3529E932">
      <w:pPr>
        <w:rPr>
          <w:rFonts w:hint="eastAsia" w:ascii="仿宋" w:hAnsi="仿宋" w:eastAsia="仿宋" w:cs="仿宋"/>
          <w:color w:val="auto"/>
          <w:highlight w:val="none"/>
          <w:lang w:val="en-US" w:eastAsia="zh-CN"/>
        </w:rPr>
      </w:pPr>
    </w:p>
    <w:p w14:paraId="70A8123C">
      <w:pPr>
        <w:pStyle w:val="2"/>
        <w:adjustRightInd w:val="0"/>
        <w:snapToGrid w:val="0"/>
        <w:spacing w:line="560" w:lineRule="exact"/>
        <w:jc w:val="center"/>
        <w:rPr>
          <w:rFonts w:hint="eastAsia" w:asciiTheme="majorEastAsia" w:hAnsiTheme="majorEastAsia" w:eastAsiaTheme="majorEastAsia" w:cstheme="majorEastAsia"/>
          <w:color w:val="auto"/>
          <w:sz w:val="44"/>
          <w:highlight w:val="none"/>
        </w:rPr>
      </w:pPr>
      <w:bookmarkStart w:id="52" w:name="_Toc11038"/>
      <w:r>
        <w:rPr>
          <w:rFonts w:hint="eastAsia" w:asciiTheme="majorEastAsia" w:hAnsiTheme="majorEastAsia" w:eastAsiaTheme="majorEastAsia" w:cstheme="majorEastAsia"/>
          <w:color w:val="auto"/>
          <w:sz w:val="44"/>
          <w:highlight w:val="none"/>
        </w:rPr>
        <w:t xml:space="preserve">第五部分 </w:t>
      </w:r>
      <w:bookmarkEnd w:id="47"/>
      <w:bookmarkEnd w:id="48"/>
      <w:bookmarkEnd w:id="49"/>
      <w:r>
        <w:rPr>
          <w:rFonts w:hint="eastAsia" w:asciiTheme="majorEastAsia" w:hAnsiTheme="majorEastAsia" w:eastAsiaTheme="majorEastAsia" w:cstheme="majorEastAsia"/>
          <w:color w:val="auto"/>
          <w:sz w:val="44"/>
          <w:highlight w:val="none"/>
        </w:rPr>
        <w:t>项目需求</w:t>
      </w:r>
      <w:bookmarkEnd w:id="50"/>
      <w:bookmarkEnd w:id="51"/>
      <w:bookmarkEnd w:id="52"/>
    </w:p>
    <w:p w14:paraId="54988445">
      <w:pPr>
        <w:adjustRightInd w:val="0"/>
        <w:snapToGrid w:val="0"/>
        <w:spacing w:line="560" w:lineRule="exact"/>
        <w:ind w:firstLine="640" w:firstLineChars="200"/>
        <w:rPr>
          <w:rFonts w:ascii="仿宋" w:hAnsi="仿宋" w:eastAsia="仿宋" w:cs="仿宋"/>
          <w:color w:val="auto"/>
          <w:sz w:val="32"/>
          <w:szCs w:val="32"/>
          <w:highlight w:val="none"/>
        </w:rPr>
      </w:pPr>
      <w:bookmarkStart w:id="53" w:name="_Toc425948677"/>
    </w:p>
    <w:p w14:paraId="491E797C">
      <w:pPr>
        <w:adjustRightInd w:val="0"/>
        <w:snapToGrid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一、项目概况</w:t>
      </w:r>
    </w:p>
    <w:p w14:paraId="0FBCB756">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firstLine="640" w:firstLineChars="200"/>
        <w:textAlignment w:val="auto"/>
        <w:rPr>
          <w:rFonts w:hint="eastAsia" w:ascii="仿宋" w:hAnsi="仿宋" w:eastAsia="仿宋" w:cs="仿宋"/>
          <w:b w:val="0"/>
          <w:bCs/>
          <w:color w:val="auto"/>
          <w:sz w:val="32"/>
          <w:szCs w:val="32"/>
          <w:highlight w:val="none"/>
          <w:lang w:val="en-US" w:eastAsia="zh-CN"/>
        </w:rPr>
      </w:pPr>
      <w:r>
        <w:rPr>
          <w:rFonts w:hint="eastAsia" w:ascii="仿宋" w:hAnsi="仿宋" w:eastAsia="仿宋" w:cs="仿宋"/>
          <w:color w:val="auto"/>
          <w:sz w:val="32"/>
          <w:szCs w:val="32"/>
          <w:highlight w:val="none"/>
        </w:rPr>
        <w:t>采购项目名称：</w:t>
      </w:r>
      <w:r>
        <w:rPr>
          <w:rFonts w:hint="eastAsia" w:ascii="仿宋" w:hAnsi="仿宋" w:eastAsia="仿宋" w:cs="仿宋"/>
          <w:b w:val="0"/>
          <w:bCs/>
          <w:color w:val="auto"/>
          <w:sz w:val="32"/>
          <w:szCs w:val="32"/>
          <w:highlight w:val="none"/>
          <w:lang w:val="en-US" w:eastAsia="zh-CN"/>
        </w:rPr>
        <w:t>2026年学生消防应急疏散与灭火演练项目</w:t>
      </w:r>
    </w:p>
    <w:p w14:paraId="26757A84">
      <w:pPr>
        <w:adjustRightInd w:val="0"/>
        <w:snapToGrid w:val="0"/>
        <w:spacing w:line="560" w:lineRule="exact"/>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采购项目编号：HNWJY-FW202600</w:t>
      </w:r>
      <w:r>
        <w:rPr>
          <w:rFonts w:hint="eastAsia" w:ascii="仿宋" w:hAnsi="仿宋" w:eastAsia="仿宋" w:cs="仿宋"/>
          <w:color w:val="auto"/>
          <w:sz w:val="32"/>
          <w:szCs w:val="32"/>
          <w:highlight w:val="none"/>
          <w:lang w:val="en-US" w:eastAsia="zh-CN"/>
        </w:rPr>
        <w:t>5</w:t>
      </w:r>
    </w:p>
    <w:p w14:paraId="5D0D1913">
      <w:pPr>
        <w:keepNext w:val="0"/>
        <w:keepLines w:val="0"/>
        <w:pageBreakBefore w:val="0"/>
        <w:widowControl w:val="0"/>
        <w:kinsoku/>
        <w:wordWrap/>
        <w:overflowPunct/>
        <w:topLinePunct w:val="0"/>
        <w:autoSpaceDE/>
        <w:autoSpaceDN/>
        <w:bidi w:val="0"/>
        <w:adjustRightInd w:val="0"/>
        <w:snapToGrid w:val="0"/>
        <w:spacing w:line="560" w:lineRule="exact"/>
        <w:ind w:left="319" w:leftChars="114" w:firstLine="320" w:firstLineChars="100"/>
        <w:jc w:val="lef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项目预算：</w:t>
      </w:r>
      <w:r>
        <w:rPr>
          <w:rFonts w:hint="eastAsia" w:ascii="仿宋" w:hAnsi="仿宋" w:eastAsia="仿宋" w:cs="仿宋"/>
          <w:color w:val="auto"/>
          <w:sz w:val="32"/>
          <w:szCs w:val="32"/>
          <w:highlight w:val="none"/>
          <w:lang w:val="en-US" w:eastAsia="zh-CN"/>
        </w:rPr>
        <w:t>25</w:t>
      </w:r>
      <w:r>
        <w:rPr>
          <w:rFonts w:hint="eastAsia" w:ascii="仿宋" w:hAnsi="仿宋" w:eastAsia="仿宋" w:cs="仿宋"/>
          <w:color w:val="auto"/>
          <w:sz w:val="32"/>
          <w:szCs w:val="32"/>
          <w:highlight w:val="none"/>
        </w:rPr>
        <w:t>000.00元</w:t>
      </w:r>
    </w:p>
    <w:p w14:paraId="5A797E66">
      <w:pPr>
        <w:keepNext w:val="0"/>
        <w:keepLines w:val="0"/>
        <w:pageBreakBefore w:val="0"/>
        <w:widowControl w:val="0"/>
        <w:numPr>
          <w:ilvl w:val="0"/>
          <w:numId w:val="4"/>
        </w:numPr>
        <w:shd w:val="clear"/>
        <w:kinsoku/>
        <w:wordWrap/>
        <w:overflowPunct/>
        <w:topLinePunct w:val="0"/>
        <w:autoSpaceDE/>
        <w:autoSpaceDN/>
        <w:bidi w:val="0"/>
        <w:adjustRightInd w:val="0"/>
        <w:snapToGrid w:val="0"/>
        <w:spacing w:line="560" w:lineRule="exact"/>
        <w:ind w:leftChars="0" w:firstLine="640" w:firstLineChars="200"/>
        <w:jc w:val="left"/>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商务需求</w:t>
      </w:r>
    </w:p>
    <w:p w14:paraId="6EABE1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1.供应商营业执照载明的经营范围应能覆盖本项目的主要采购/服务内容。（提供承诺函）</w:t>
      </w:r>
    </w:p>
    <w:p w14:paraId="18C11A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bookmarkStart w:id="54" w:name="_Toc40089799"/>
      <w:bookmarkStart w:id="55" w:name="_Toc21799"/>
      <w:bookmarkStart w:id="56" w:name="_Toc12517"/>
      <w:r>
        <w:rPr>
          <w:rFonts w:hint="eastAsia" w:ascii="仿宋" w:hAnsi="仿宋" w:eastAsia="仿宋" w:cs="仿宋"/>
          <w:color w:val="auto"/>
          <w:sz w:val="32"/>
          <w:szCs w:val="32"/>
          <w:highlight w:val="none"/>
          <w:lang w:val="en-US" w:eastAsia="zh-CN"/>
        </w:rPr>
        <w:t>2.合同履行期限：合同签订之日起至全部演练活动及成果交付完成，具体演练日期由双方协商确定，所有工作须在2026年12月31日前完成。</w:t>
      </w:r>
    </w:p>
    <w:p w14:paraId="3D09B1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3.报价要求：供应商报价须为一次性包干总价，包含方案策划、培训师资、现场组织、设备使用、物资耗材、影像摄制与后期制作、资料汇编、交通、人员劳务、保险、税费等全部费用。</w:t>
      </w:r>
    </w:p>
    <w:p w14:paraId="37C0DA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4.业绩要求：近三年内（2023年1月1日至今）具有至少1项学校类消防演练或大型消防安全培训活动承办经验，需提供合同复印件及甲方出具的满意度评价或验收证明。</w:t>
      </w:r>
    </w:p>
    <w:p w14:paraId="593A4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5.人员要求：</w:t>
      </w:r>
    </w:p>
    <w:p w14:paraId="760BAA9A">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（1）项目总负责人1人，具有一级注册消防工程师资格，负责项目整体统筹与方案审核；</w:t>
      </w:r>
    </w:p>
    <w:p w14:paraId="63E915F0">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（2）现场执行人员不少于4人，其中须包含：</w:t>
      </w:r>
    </w:p>
    <w:p w14:paraId="723AAD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具备消防设施操作员（中级及以上）或同等消防资质的技术骨干不少于1人；</w:t>
      </w:r>
    </w:p>
    <w:p w14:paraId="6DABA36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负责影像采集与素材制作的专业人员不少于1人（需提供相关摄影/摄像作品或从业经历证明）。</w:t>
      </w:r>
    </w:p>
    <w:p w14:paraId="406BEB0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（须提供上述相关人员有效资质证书复印件及近三个月社保证明，原件备查）</w:t>
      </w:r>
    </w:p>
    <w:p w14:paraId="7EAB48D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6.支付方式：全部演练活动实施完毕，乙方交付全部成果资料经甲方验收合格后3个工作日内，甲方向乙方支付合同总费用的100%。</w:t>
      </w:r>
    </w:p>
    <w:p w14:paraId="5EBDC2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7.验收标准：</w:t>
      </w:r>
    </w:p>
    <w:p w14:paraId="52CE05C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（1）演练实施方案经甲方审核通过；</w:t>
      </w:r>
    </w:p>
    <w:p w14:paraId="5774E5E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（2）按方案完成全部培训及演练环节，过程安全有序；</w:t>
      </w:r>
    </w:p>
    <w:p w14:paraId="0931BBD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（3）交付的全套成果资料（视频、图片、档案汇编）完整、清晰、规范，符合合同约定标准；</w:t>
      </w:r>
    </w:p>
    <w:p w14:paraId="1E81497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（4）提交《演练评估报告》内容详实。</w:t>
      </w:r>
    </w:p>
    <w:p w14:paraId="73275E4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（供应商须提供承诺函，承诺满足以上验收要求，格式自拟）</w:t>
      </w:r>
    </w:p>
    <w:p w14:paraId="55F109C8">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20" w:lineRule="exact"/>
        <w:ind w:leftChars="0" w:firstLine="640" w:firstLineChars="200"/>
        <w:jc w:val="left"/>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三、技术需求</w:t>
      </w:r>
    </w:p>
    <w:p w14:paraId="72F59C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（一）服务内容</w:t>
      </w:r>
    </w:p>
    <w:p w14:paraId="501417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1.演练方案策划：</w:t>
      </w:r>
    </w:p>
    <w:p w14:paraId="67286E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根据学校两校区（秀华路32号、白水塘路48号）实际建筑布局及学生规模，策划覆盖全体在校学生的4场消防应急疏散与灭火演练。方案应详细、科学，具有可操作性。</w:t>
      </w:r>
    </w:p>
    <w:p w14:paraId="3C0E9F6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2.演练前培训：</w:t>
      </w:r>
    </w:p>
    <w:p w14:paraId="25ED0BA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对相关人员进行不少于2学时的消防知识与技能培训，内容须涵盖消防法规常识、火灾隐患排查、疏散逃生技巧、灭火器及消火栓使用、急救知识等。</w:t>
      </w:r>
    </w:p>
    <w:p w14:paraId="69C1047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3.演练实施（至少包含以下核心环节）：</w:t>
      </w:r>
    </w:p>
    <w:p w14:paraId="472C5D5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（1）模拟火情触发与报警联动（使用烟雾发生器模拟真实烟雾效果）；</w:t>
      </w:r>
    </w:p>
    <w:p w14:paraId="631678C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（2）应急广播与人员紧急疏散；</w:t>
      </w:r>
    </w:p>
    <w:p w14:paraId="45BA01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（3）义务消防队初期火灾扑救演示；</w:t>
      </w:r>
    </w:p>
    <w:p w14:paraId="69180C3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（4）学生代表分组进行灭火器实操灭火；</w:t>
      </w:r>
    </w:p>
    <w:p w14:paraId="5B62F1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（5）现场讲评与总结。</w:t>
      </w:r>
    </w:p>
    <w:p w14:paraId="7B7640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4.影像记录与成果制作：</w:t>
      </w:r>
    </w:p>
    <w:p w14:paraId="2FB7D6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全程多机位拍摄演练过程，制作符合安全教育宣传标准的高清视频成片及图片资料。</w:t>
      </w:r>
    </w:p>
    <w:p w14:paraId="5CCBAED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（二）物资与设备要求</w:t>
      </w:r>
    </w:p>
    <w:p w14:paraId="341E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供应商应自行准备演练所需各类物资及设备，清单应在响应文件中列明，包括但不限于：</w:t>
      </w:r>
    </w:p>
    <w:p w14:paraId="03B177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1.模拟火源设施（如模拟发烟装置、可控火盆等）；</w:t>
      </w:r>
    </w:p>
    <w:p w14:paraId="5734836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2.灭火器材（演练用灭火器若干具，建议使用水基型或干粉型训练专用灭火器，并备足燃料）；</w:t>
      </w:r>
    </w:p>
    <w:p w14:paraId="1E03AE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3.消火栓实操演示设备；</w:t>
      </w:r>
    </w:p>
    <w:p w14:paraId="7F925F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4.疏散引导标识、对讲机、手持扩音器；</w:t>
      </w:r>
    </w:p>
    <w:p w14:paraId="068447C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5.影像拍摄设备（高清摄像机不少于2台、无人机不少于1架、单反相机不少于1台等）；</w:t>
      </w:r>
    </w:p>
    <w:p w14:paraId="45FE42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6.个人防护用品（安全帽、反光背心、手套等），按执行团队及参演保障人员数量配齐。</w:t>
      </w:r>
    </w:p>
    <w:p w14:paraId="68CD497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（三）演练规模参考</w:t>
      </w:r>
    </w:p>
    <w:p w14:paraId="0079E09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eastAsia="宋体"/>
          <w:color w:val="auto"/>
          <w:highlight w:val="none"/>
          <w:lang w:val="en-US" w:eastAsia="zh-CN"/>
        </w:rPr>
      </w:pPr>
      <w:r>
        <w:rPr>
          <w:rFonts w:hint="eastAsia" w:ascii="仿宋" w:hAnsi="仿宋" w:eastAsia="仿宋" w:cs="仿宋"/>
          <w:color w:val="auto"/>
          <w:sz w:val="32"/>
          <w:szCs w:val="32"/>
          <w:highlight w:val="none"/>
          <w:lang w:val="en-US" w:eastAsia="zh-CN"/>
        </w:rPr>
        <w:t>我校在校学生总数约6000人。本次演练拟定参与疏散人数具体以甲方最终确定为准。供应商应据此合理规划演练方案及物资、人力配置。</w:t>
      </w:r>
    </w:p>
    <w:p w14:paraId="7DE1B909">
      <w:pPr>
        <w:bidi w:val="0"/>
        <w:rPr>
          <w:rFonts w:hint="eastAsia" w:eastAsia="宋体"/>
          <w:color w:val="auto"/>
          <w:highlight w:val="none"/>
          <w:lang w:eastAsia="zh-CN"/>
        </w:rPr>
      </w:pPr>
    </w:p>
    <w:p w14:paraId="1FF4308A">
      <w:pPr>
        <w:pStyle w:val="2"/>
        <w:adjustRightInd w:val="0"/>
        <w:snapToGrid w:val="0"/>
        <w:spacing w:line="560" w:lineRule="exact"/>
        <w:rPr>
          <w:rFonts w:hint="eastAsia" w:asciiTheme="majorEastAsia" w:hAnsiTheme="majorEastAsia" w:eastAsiaTheme="majorEastAsia" w:cstheme="majorEastAsia"/>
          <w:color w:val="auto"/>
          <w:sz w:val="44"/>
          <w:highlight w:val="none"/>
          <w:lang w:val="en-US" w:eastAsia="zh-CN"/>
        </w:rPr>
      </w:pPr>
      <w:r>
        <w:rPr>
          <w:rFonts w:hint="eastAsia" w:asciiTheme="majorEastAsia" w:hAnsiTheme="majorEastAsia" w:eastAsiaTheme="majorEastAsia" w:cstheme="majorEastAsia"/>
          <w:color w:val="auto"/>
          <w:sz w:val="44"/>
          <w:highlight w:val="none"/>
          <w:lang w:val="en-US" w:eastAsia="zh-CN"/>
        </w:rPr>
        <w:t>第六部分 报价文件格式</w:t>
      </w:r>
      <w:bookmarkEnd w:id="53"/>
      <w:bookmarkEnd w:id="54"/>
      <w:bookmarkEnd w:id="55"/>
      <w:bookmarkEnd w:id="56"/>
    </w:p>
    <w:p w14:paraId="3E357EEA">
      <w:pPr>
        <w:adjustRightInd w:val="0"/>
        <w:snapToGrid w:val="0"/>
        <w:spacing w:line="560" w:lineRule="exact"/>
        <w:ind w:left="638" w:leftChars="228"/>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一、商务部分</w:t>
      </w:r>
    </w:p>
    <w:p w14:paraId="14D856F1">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响应承诺函</w:t>
      </w:r>
      <w:r>
        <w:rPr>
          <w:rFonts w:hint="eastAsia" w:ascii="仿宋" w:hAnsi="仿宋" w:eastAsia="仿宋" w:cs="仿宋"/>
          <w:color w:val="auto"/>
          <w:sz w:val="32"/>
          <w:szCs w:val="32"/>
          <w:highlight w:val="none"/>
        </w:rPr>
        <w:t>（详见附件1）</w:t>
      </w:r>
    </w:p>
    <w:p w14:paraId="6BEAD3B4">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2.★如为授权代表签字，提供法定代表人授权书（详见附件2）</w:t>
      </w:r>
    </w:p>
    <w:p w14:paraId="010ABCDA">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3.★近三年内，在经营活动中没有重大违法记录的声明（详见附件3）</w:t>
      </w:r>
    </w:p>
    <w:p w14:paraId="587A4162">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4.★商务响应表（详见附件4）</w:t>
      </w:r>
    </w:p>
    <w:p w14:paraId="24C9F26B">
      <w:pPr>
        <w:adjustRightInd w:val="0"/>
        <w:snapToGrid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二、资信部分</w:t>
      </w:r>
    </w:p>
    <w:p w14:paraId="53AD61AB">
      <w:pPr>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1.★提供投标人资格要求里的证明材料复印件</w:t>
      </w:r>
    </w:p>
    <w:p w14:paraId="0FB53FA5">
      <w:pPr>
        <w:adjustRightInd w:val="0"/>
        <w:snapToGrid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三、技术部分</w:t>
      </w:r>
    </w:p>
    <w:p w14:paraId="6416264F">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1.对本项目的技术服务类总体要求的理解（如有）</w:t>
      </w:r>
    </w:p>
    <w:p w14:paraId="0EC7FA98">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2.项目总体架构及技术解决方案、技术保证措施、供货方案等（如有）</w:t>
      </w:r>
    </w:p>
    <w:p w14:paraId="0A7CBCA9">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3.★技术响应表（详见附件5）</w:t>
      </w:r>
    </w:p>
    <w:p w14:paraId="778192FF">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4.投标货物产品图片等证明货物的合格性和符合磋商文件规定的技术资料。（如有）</w:t>
      </w:r>
    </w:p>
    <w:p w14:paraId="0037A715">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5.供应商或制造商在采购人所属地区的售后服务维修机构数量及分布情况（如有）。</w:t>
      </w:r>
    </w:p>
    <w:p w14:paraId="64D7ECC3">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6.技术服务、技术培训、售后服务的内容和措施（如有）。</w:t>
      </w:r>
    </w:p>
    <w:p w14:paraId="73CEC447">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7.供应商同类项目实施情况一览表并提供能证明其业绩属实的合同复印件（如有）。</w:t>
      </w:r>
    </w:p>
    <w:p w14:paraId="299BB18C">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8.选配件、专用耗材、售后服务优惠表（如有）。</w:t>
      </w:r>
    </w:p>
    <w:p w14:paraId="40720EC4">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9.磋商文件规定或供应商认为其它应介绍或提交的资料和文件。</w:t>
      </w:r>
    </w:p>
    <w:p w14:paraId="113E5726">
      <w:pPr>
        <w:adjustRightInd w:val="0"/>
        <w:snapToGrid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四、报价部分</w:t>
      </w:r>
    </w:p>
    <w:p w14:paraId="3B10EDA9">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★报价一览表（详见附件6）</w:t>
      </w:r>
    </w:p>
    <w:p w14:paraId="67BCA99A">
      <w:pPr>
        <w:adjustRightInd w:val="0"/>
        <w:snapToGrid w:val="0"/>
        <w:spacing w:line="560" w:lineRule="exact"/>
        <w:ind w:firstLine="640" w:firstLineChars="20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五、特别说明</w:t>
      </w:r>
    </w:p>
    <w:p w14:paraId="6BE7F077">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以上格式中标注“★”的，供应商必须提供，未提供或未按要求提供的，一律为无效投标。</w:t>
      </w:r>
    </w:p>
    <w:p w14:paraId="31A0D019">
      <w:pPr>
        <w:adjustRightInd w:val="0"/>
        <w:snapToGrid w:val="0"/>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6E577799">
      <w:pPr>
        <w:rPr>
          <w:rFonts w:ascii="方正公文黑体" w:hAnsi="方正公文黑体" w:eastAsia="方正公文黑体" w:cs="方正公文黑体"/>
          <w:color w:val="auto"/>
          <w:sz w:val="36"/>
          <w:szCs w:val="36"/>
          <w:highlight w:val="none"/>
        </w:rPr>
      </w:pPr>
      <w:bookmarkStart w:id="57" w:name="_Toc14759"/>
      <w:bookmarkStart w:id="58" w:name="_Toc40089800"/>
      <w:bookmarkStart w:id="59" w:name="_Toc356490394"/>
      <w:bookmarkStart w:id="60" w:name="_Toc356491342"/>
      <w:r>
        <w:rPr>
          <w:rFonts w:hint="eastAsia" w:ascii="方正公文黑体" w:hAnsi="方正公文黑体" w:eastAsia="方正公文黑体" w:cs="方正公文黑体"/>
          <w:color w:val="auto"/>
          <w:sz w:val="36"/>
          <w:szCs w:val="36"/>
          <w:highlight w:val="none"/>
        </w:rPr>
        <w:t>附件</w:t>
      </w:r>
      <w:bookmarkEnd w:id="57"/>
      <w:bookmarkEnd w:id="58"/>
    </w:p>
    <w:p w14:paraId="4BFE6898">
      <w:pPr>
        <w:jc w:val="center"/>
        <w:rPr>
          <w:rFonts w:ascii="仿宋_GB2312" w:hAnsi="仿宋_GB2312" w:eastAsia="仿宋_GB2312" w:cs="仿宋_GB2312"/>
          <w:b/>
          <w:color w:val="auto"/>
          <w:highlight w:val="none"/>
        </w:rPr>
      </w:pPr>
    </w:p>
    <w:p w14:paraId="1F4AA67F">
      <w:pPr>
        <w:jc w:val="center"/>
        <w:rPr>
          <w:rFonts w:ascii="仿宋_GB2312" w:hAnsi="仿宋_GB2312" w:eastAsia="仿宋_GB2312" w:cs="仿宋_GB2312"/>
          <w:b/>
          <w:color w:val="auto"/>
          <w:highlight w:val="none"/>
        </w:rPr>
      </w:pPr>
    </w:p>
    <w:p w14:paraId="3F66C930">
      <w:pPr>
        <w:jc w:val="center"/>
        <w:rPr>
          <w:rFonts w:ascii="仿宋_GB2312" w:hAnsi="仿宋_GB2312" w:eastAsia="仿宋_GB2312" w:cs="仿宋_GB2312"/>
          <w:b/>
          <w:color w:val="auto"/>
          <w:highlight w:val="none"/>
        </w:rPr>
      </w:pPr>
    </w:p>
    <w:p w14:paraId="2769EC07">
      <w:pPr>
        <w:jc w:val="center"/>
        <w:rPr>
          <w:rFonts w:ascii="仿宋_GB2312" w:hAnsi="仿宋_GB2312" w:eastAsia="仿宋_GB2312" w:cs="仿宋_GB2312"/>
          <w:b/>
          <w:color w:val="auto"/>
          <w:highlight w:val="none"/>
        </w:rPr>
      </w:pPr>
    </w:p>
    <w:p w14:paraId="14EFBAAF">
      <w:pPr>
        <w:ind w:firstLine="2209" w:firstLineChars="500"/>
        <w:rPr>
          <w:rFonts w:ascii="仿宋_GB2312" w:hAnsi="仿宋_GB2312" w:eastAsia="仿宋_GB2312" w:cs="仿宋_GB2312"/>
          <w:b/>
          <w:color w:val="auto"/>
          <w:sz w:val="44"/>
          <w:szCs w:val="44"/>
          <w:highlight w:val="none"/>
        </w:rPr>
      </w:pPr>
      <w:r>
        <w:rPr>
          <w:rFonts w:hint="eastAsia" w:ascii="仿宋_GB2312" w:hAnsi="仿宋_GB2312" w:eastAsia="仿宋_GB2312" w:cs="仿宋_GB2312"/>
          <w:b/>
          <w:color w:val="auto"/>
          <w:sz w:val="44"/>
          <w:szCs w:val="44"/>
          <w:highlight w:val="none"/>
        </w:rPr>
        <w:t>报价文件封面格式</w:t>
      </w:r>
    </w:p>
    <w:p w14:paraId="5E7148CD">
      <w:pPr>
        <w:jc w:val="right"/>
        <w:rPr>
          <w:rFonts w:ascii="仿宋_GB2312" w:hAnsi="仿宋_GB2312" w:eastAsia="仿宋_GB2312" w:cs="仿宋_GB2312"/>
          <w:b/>
          <w:bCs w:val="0"/>
          <w:color w:val="auto"/>
          <w:sz w:val="36"/>
          <w:szCs w:val="36"/>
          <w:highlight w:val="none"/>
        </w:rPr>
      </w:pPr>
      <w:bookmarkStart w:id="61" w:name="_Toc40089801"/>
      <w:bookmarkStart w:id="62" w:name="_Toc1227"/>
      <w:r>
        <w:rPr>
          <w:rFonts w:hint="eastAsia" w:ascii="仿宋_GB2312" w:hAnsi="仿宋_GB2312" w:eastAsia="仿宋_GB2312" w:cs="仿宋_GB2312"/>
          <w:b/>
          <w:bCs w:val="0"/>
          <w:color w:val="auto"/>
          <w:sz w:val="36"/>
          <w:szCs w:val="36"/>
          <w:highlight w:val="none"/>
        </w:rPr>
        <w:t>正本或副本</w:t>
      </w:r>
      <w:bookmarkEnd w:id="61"/>
      <w:bookmarkEnd w:id="62"/>
    </w:p>
    <w:p w14:paraId="2304AED4">
      <w:pPr>
        <w:ind w:firstLine="2168" w:firstLineChars="600"/>
        <w:rPr>
          <w:rFonts w:ascii="仿宋_GB2312" w:hAnsi="仿宋_GB2312" w:eastAsia="仿宋_GB2312" w:cs="仿宋_GB2312"/>
          <w:b/>
          <w:bCs w:val="0"/>
          <w:color w:val="auto"/>
          <w:sz w:val="36"/>
          <w:szCs w:val="36"/>
          <w:highlight w:val="none"/>
          <w:u w:val="single"/>
        </w:rPr>
      </w:pPr>
      <w:bookmarkStart w:id="63" w:name="_Toc27492"/>
      <w:bookmarkStart w:id="64" w:name="_Toc40089802"/>
      <w:r>
        <w:rPr>
          <w:rFonts w:hint="eastAsia" w:ascii="仿宋_GB2312" w:hAnsi="仿宋_GB2312" w:eastAsia="仿宋_GB2312" w:cs="仿宋_GB2312"/>
          <w:b/>
          <w:bCs w:val="0"/>
          <w:color w:val="auto"/>
          <w:sz w:val="36"/>
          <w:szCs w:val="36"/>
          <w:highlight w:val="none"/>
          <w:u w:val="single"/>
        </w:rPr>
        <w:t>（项目名称）</w:t>
      </w:r>
      <w:bookmarkEnd w:id="63"/>
      <w:bookmarkEnd w:id="64"/>
      <w:bookmarkStart w:id="65" w:name="_Toc2490"/>
      <w:bookmarkStart w:id="66" w:name="_Toc40089803"/>
      <w:r>
        <w:rPr>
          <w:rFonts w:hint="eastAsia" w:ascii="仿宋_GB2312" w:hAnsi="仿宋_GB2312" w:eastAsia="仿宋_GB2312" w:cs="仿宋_GB2312"/>
          <w:b/>
          <w:bCs w:val="0"/>
          <w:color w:val="auto"/>
          <w:sz w:val="36"/>
          <w:szCs w:val="36"/>
          <w:highlight w:val="none"/>
          <w:u w:val="single"/>
        </w:rPr>
        <w:t xml:space="preserve">             </w:t>
      </w:r>
    </w:p>
    <w:p w14:paraId="5C9A7C10">
      <w:pPr>
        <w:rPr>
          <w:rFonts w:ascii="仿宋_GB2312" w:hAnsi="仿宋_GB2312" w:eastAsia="仿宋_GB2312" w:cs="仿宋_GB2312"/>
          <w:color w:val="auto"/>
          <w:highlight w:val="none"/>
        </w:rPr>
      </w:pPr>
    </w:p>
    <w:p w14:paraId="03F687B6">
      <w:pPr>
        <w:ind w:firstLine="2168" w:firstLineChars="600"/>
        <w:rPr>
          <w:rFonts w:ascii="仿宋_GB2312" w:hAnsi="仿宋_GB2312" w:eastAsia="仿宋_GB2312" w:cs="仿宋_GB2312"/>
          <w:color w:val="auto"/>
          <w:highlight w:val="none"/>
        </w:rPr>
      </w:pPr>
      <w:r>
        <w:rPr>
          <w:rFonts w:hint="eastAsia" w:ascii="仿宋_GB2312" w:hAnsi="仿宋_GB2312" w:eastAsia="仿宋_GB2312" w:cs="仿宋_GB2312"/>
          <w:b/>
          <w:bCs w:val="0"/>
          <w:color w:val="auto"/>
          <w:sz w:val="36"/>
          <w:szCs w:val="36"/>
          <w:highlight w:val="none"/>
          <w:u w:val="single"/>
        </w:rPr>
        <w:t>（项目编号）</w:t>
      </w:r>
      <w:bookmarkEnd w:id="65"/>
      <w:bookmarkEnd w:id="66"/>
      <w:r>
        <w:rPr>
          <w:rFonts w:hint="eastAsia" w:ascii="仿宋_GB2312" w:hAnsi="仿宋_GB2312" w:eastAsia="仿宋_GB2312" w:cs="仿宋_GB2312"/>
          <w:b/>
          <w:bCs w:val="0"/>
          <w:color w:val="auto"/>
          <w:sz w:val="36"/>
          <w:szCs w:val="36"/>
          <w:highlight w:val="none"/>
          <w:u w:val="single"/>
        </w:rPr>
        <w:t xml:space="preserve">             </w:t>
      </w:r>
    </w:p>
    <w:p w14:paraId="11C52534">
      <w:pPr>
        <w:rPr>
          <w:rFonts w:ascii="仿宋_GB2312" w:hAnsi="仿宋_GB2312" w:eastAsia="仿宋_GB2312" w:cs="仿宋_GB2312"/>
          <w:color w:val="auto"/>
          <w:highlight w:val="none"/>
        </w:rPr>
      </w:pPr>
    </w:p>
    <w:p w14:paraId="5B17409F">
      <w:pPr>
        <w:rPr>
          <w:rFonts w:ascii="仿宋_GB2312" w:hAnsi="仿宋_GB2312" w:eastAsia="仿宋_GB2312" w:cs="仿宋_GB2312"/>
          <w:color w:val="auto"/>
          <w:highlight w:val="none"/>
        </w:rPr>
      </w:pPr>
    </w:p>
    <w:p w14:paraId="5DB417C3">
      <w:pPr>
        <w:jc w:val="center"/>
        <w:rPr>
          <w:rFonts w:ascii="仿宋_GB2312" w:hAnsi="仿宋_GB2312" w:eastAsia="仿宋_GB2312" w:cs="仿宋_GB2312"/>
          <w:b/>
          <w:bCs w:val="0"/>
          <w:color w:val="auto"/>
          <w:sz w:val="52"/>
          <w:szCs w:val="52"/>
          <w:highlight w:val="none"/>
        </w:rPr>
      </w:pPr>
      <w:bookmarkStart w:id="67" w:name="_Toc17456"/>
      <w:bookmarkStart w:id="68" w:name="_Toc40089805"/>
    </w:p>
    <w:p w14:paraId="06D9877D">
      <w:pPr>
        <w:jc w:val="center"/>
        <w:rPr>
          <w:rFonts w:ascii="仿宋_GB2312" w:hAnsi="仿宋_GB2312" w:eastAsia="仿宋_GB2312" w:cs="仿宋_GB2312"/>
          <w:b/>
          <w:bCs w:val="0"/>
          <w:color w:val="auto"/>
          <w:sz w:val="52"/>
          <w:szCs w:val="52"/>
          <w:highlight w:val="none"/>
        </w:rPr>
      </w:pPr>
      <w:r>
        <w:rPr>
          <w:rFonts w:hint="eastAsia" w:ascii="仿宋_GB2312" w:hAnsi="仿宋_GB2312" w:eastAsia="仿宋_GB2312" w:cs="仿宋_GB2312"/>
          <w:b/>
          <w:bCs w:val="0"/>
          <w:color w:val="auto"/>
          <w:sz w:val="52"/>
          <w:szCs w:val="52"/>
          <w:highlight w:val="none"/>
        </w:rPr>
        <w:t>报价文件</w:t>
      </w:r>
      <w:bookmarkEnd w:id="67"/>
      <w:bookmarkEnd w:id="68"/>
    </w:p>
    <w:p w14:paraId="221ABE58">
      <w:pPr>
        <w:rPr>
          <w:rFonts w:ascii="仿宋_GB2312" w:hAnsi="仿宋_GB2312" w:eastAsia="仿宋_GB2312" w:cs="仿宋_GB2312"/>
          <w:color w:val="auto"/>
          <w:highlight w:val="none"/>
        </w:rPr>
      </w:pPr>
    </w:p>
    <w:p w14:paraId="714D69EE">
      <w:pPr>
        <w:rPr>
          <w:rFonts w:ascii="仿宋_GB2312" w:hAnsi="仿宋_GB2312" w:eastAsia="仿宋_GB2312" w:cs="仿宋_GB2312"/>
          <w:color w:val="auto"/>
          <w:highlight w:val="none"/>
        </w:rPr>
      </w:pPr>
    </w:p>
    <w:p w14:paraId="3C864F98">
      <w:pPr>
        <w:adjustRightInd w:val="0"/>
        <w:snapToGrid w:val="0"/>
        <w:spacing w:line="560" w:lineRule="exact"/>
        <w:ind w:firstLine="964" w:firstLineChars="300"/>
        <w:rPr>
          <w:rFonts w:ascii="仿宋_GB2312" w:hAnsi="仿宋_GB2312" w:eastAsia="仿宋_GB2312" w:cs="仿宋_GB2312"/>
          <w:b/>
          <w:bCs w:val="0"/>
          <w:color w:val="auto"/>
          <w:sz w:val="32"/>
          <w:szCs w:val="32"/>
          <w:highlight w:val="none"/>
          <w:u w:val="single"/>
        </w:rPr>
      </w:pPr>
      <w:bookmarkStart w:id="69" w:name="_Toc25141"/>
      <w:bookmarkStart w:id="70" w:name="_Toc40089806"/>
      <w:r>
        <w:rPr>
          <w:rFonts w:hint="eastAsia" w:ascii="仿宋_GB2312" w:hAnsi="仿宋_GB2312" w:eastAsia="仿宋_GB2312" w:cs="仿宋_GB2312"/>
          <w:b/>
          <w:bCs w:val="0"/>
          <w:color w:val="auto"/>
          <w:sz w:val="32"/>
          <w:szCs w:val="32"/>
          <w:highlight w:val="none"/>
        </w:rPr>
        <w:t>投标人名称：</w:t>
      </w:r>
      <w:r>
        <w:rPr>
          <w:rFonts w:hint="eastAsia" w:ascii="仿宋_GB2312" w:hAnsi="仿宋_GB2312" w:eastAsia="仿宋_GB2312" w:cs="仿宋_GB2312"/>
          <w:b/>
          <w:bCs w:val="0"/>
          <w:color w:val="auto"/>
          <w:sz w:val="32"/>
          <w:szCs w:val="32"/>
          <w:highlight w:val="none"/>
          <w:u w:val="single"/>
        </w:rPr>
        <w:t xml:space="preserve">            （盖单位公章）</w:t>
      </w:r>
      <w:bookmarkEnd w:id="69"/>
      <w:bookmarkEnd w:id="70"/>
    </w:p>
    <w:p w14:paraId="16E9ED8D">
      <w:pPr>
        <w:adjustRightInd w:val="0"/>
        <w:snapToGrid w:val="0"/>
        <w:spacing w:line="560" w:lineRule="exact"/>
        <w:ind w:firstLine="964" w:firstLineChars="300"/>
        <w:rPr>
          <w:rFonts w:ascii="仿宋_GB2312" w:hAnsi="仿宋_GB2312" w:eastAsia="仿宋_GB2312" w:cs="仿宋_GB2312"/>
          <w:b/>
          <w:bCs w:val="0"/>
          <w:color w:val="auto"/>
          <w:sz w:val="32"/>
          <w:szCs w:val="32"/>
          <w:highlight w:val="none"/>
          <w:u w:val="single"/>
        </w:rPr>
      </w:pPr>
      <w:bookmarkStart w:id="71" w:name="_Toc40089807"/>
      <w:bookmarkStart w:id="72" w:name="_Toc27017"/>
      <w:r>
        <w:rPr>
          <w:rFonts w:hint="eastAsia" w:ascii="仿宋_GB2312" w:hAnsi="仿宋_GB2312" w:eastAsia="仿宋_GB2312" w:cs="仿宋_GB2312"/>
          <w:b/>
          <w:bCs w:val="0"/>
          <w:color w:val="auto"/>
          <w:sz w:val="32"/>
          <w:szCs w:val="32"/>
          <w:highlight w:val="none"/>
        </w:rPr>
        <w:t>法定代表人或其委托代理人</w:t>
      </w:r>
      <w:r>
        <w:rPr>
          <w:rFonts w:hint="eastAsia" w:ascii="仿宋_GB2312" w:hAnsi="仿宋_GB2312" w:eastAsia="仿宋_GB2312" w:cs="仿宋_GB2312"/>
          <w:b/>
          <w:bCs w:val="0"/>
          <w:color w:val="auto"/>
          <w:sz w:val="32"/>
          <w:szCs w:val="32"/>
          <w:highlight w:val="none"/>
          <w:u w:val="single"/>
        </w:rPr>
        <w:t xml:space="preserve">：       </w:t>
      </w:r>
      <w:bookmarkEnd w:id="71"/>
      <w:bookmarkEnd w:id="72"/>
      <w:r>
        <w:rPr>
          <w:rFonts w:hint="eastAsia" w:ascii="仿宋_GB2312" w:hAnsi="仿宋_GB2312" w:eastAsia="仿宋_GB2312" w:cs="仿宋_GB2312"/>
          <w:b/>
          <w:bCs w:val="0"/>
          <w:color w:val="auto"/>
          <w:sz w:val="32"/>
          <w:szCs w:val="32"/>
          <w:highlight w:val="none"/>
          <w:u w:val="single"/>
        </w:rPr>
        <w:t xml:space="preserve">       </w:t>
      </w:r>
    </w:p>
    <w:p w14:paraId="0E4501EE">
      <w:pPr>
        <w:adjustRightInd w:val="0"/>
        <w:snapToGrid w:val="0"/>
        <w:spacing w:line="560" w:lineRule="exact"/>
        <w:ind w:firstLine="964" w:firstLineChars="300"/>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b/>
          <w:color w:val="auto"/>
          <w:kern w:val="44"/>
          <w:sz w:val="32"/>
          <w:szCs w:val="32"/>
          <w:highlight w:val="none"/>
        </w:rPr>
        <w:t>地   址:</w:t>
      </w:r>
      <w:r>
        <w:rPr>
          <w:rFonts w:hint="eastAsia" w:ascii="仿宋_GB2312" w:hAnsi="仿宋_GB2312" w:eastAsia="仿宋_GB2312" w:cs="仿宋_GB2312"/>
          <w:color w:val="auto"/>
          <w:sz w:val="32"/>
          <w:szCs w:val="32"/>
          <w:highlight w:val="none"/>
          <w:u w:val="single"/>
        </w:rPr>
        <w:t xml:space="preserve">                                </w:t>
      </w:r>
    </w:p>
    <w:p w14:paraId="21A6FDC6">
      <w:pPr>
        <w:pStyle w:val="19"/>
        <w:adjustRightInd w:val="0"/>
        <w:snapToGrid w:val="0"/>
        <w:spacing w:line="560" w:lineRule="exact"/>
        <w:ind w:firstLine="964" w:firstLineChars="300"/>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b/>
          <w:color w:val="auto"/>
          <w:kern w:val="44"/>
          <w:sz w:val="32"/>
          <w:szCs w:val="32"/>
          <w:highlight w:val="none"/>
        </w:rPr>
        <w:t>电   话：</w:t>
      </w:r>
      <w:r>
        <w:rPr>
          <w:rFonts w:hint="eastAsia" w:ascii="仿宋_GB2312" w:hAnsi="仿宋_GB2312" w:eastAsia="仿宋_GB2312" w:cs="仿宋_GB2312"/>
          <w:color w:val="auto"/>
          <w:sz w:val="32"/>
          <w:szCs w:val="32"/>
          <w:highlight w:val="none"/>
          <w:u w:val="single"/>
        </w:rPr>
        <w:t xml:space="preserve">                                 </w:t>
      </w:r>
    </w:p>
    <w:p w14:paraId="156BAD03">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14:paraId="3009923C">
      <w:pPr>
        <w:pStyle w:val="2"/>
        <w:spacing w:line="240" w:lineRule="auto"/>
        <w:rPr>
          <w:rFonts w:ascii="仿宋_GB2312" w:hAnsi="仿宋_GB2312" w:eastAsia="仿宋_GB2312" w:cs="仿宋_GB2312"/>
          <w:color w:val="auto"/>
          <w:szCs w:val="36"/>
          <w:highlight w:val="none"/>
        </w:rPr>
      </w:pPr>
      <w:bookmarkStart w:id="73" w:name="_Toc9943"/>
      <w:bookmarkStart w:id="74" w:name="_Toc40089808"/>
      <w:bookmarkStart w:id="75" w:name="_Toc25558"/>
      <w:r>
        <w:rPr>
          <w:rFonts w:hint="eastAsia"/>
          <w:color w:val="auto"/>
          <w:highlight w:val="none"/>
        </w:rPr>
        <w:t>一、商务部分</w:t>
      </w:r>
      <w:bookmarkEnd w:id="73"/>
    </w:p>
    <w:bookmarkEnd w:id="59"/>
    <w:bookmarkEnd w:id="60"/>
    <w:bookmarkEnd w:id="74"/>
    <w:bookmarkEnd w:id="75"/>
    <w:p w14:paraId="72A564FA">
      <w:pPr>
        <w:pStyle w:val="21"/>
        <w:spacing w:line="360" w:lineRule="auto"/>
        <w:jc w:val="center"/>
        <w:rPr>
          <w:rFonts w:hint="eastAsia" w:ascii="仿宋_GB2312" w:hAnsi="仿宋_GB2312" w:eastAsia="仿宋_GB2312" w:cs="仿宋_GB2312"/>
          <w:b/>
          <w:bCs w:val="0"/>
          <w:sz w:val="36"/>
          <w:szCs w:val="36"/>
        </w:rPr>
      </w:pPr>
      <w:bookmarkStart w:id="76" w:name="_Toc40"/>
      <w:bookmarkStart w:id="77" w:name="_Toc7957"/>
      <w:bookmarkStart w:id="78" w:name="_Toc323129568"/>
      <w:bookmarkStart w:id="79" w:name="_Toc323130135"/>
      <w:bookmarkStart w:id="80" w:name="_Toc325620729"/>
      <w:bookmarkStart w:id="81" w:name="_Toc356491343"/>
      <w:bookmarkStart w:id="82" w:name="_Toc26307"/>
      <w:bookmarkStart w:id="83" w:name="_Toc40089809"/>
      <w:r>
        <w:rPr>
          <w:rFonts w:hint="eastAsia" w:ascii="仿宋_GB2312" w:hAnsi="仿宋_GB2312" w:eastAsia="仿宋_GB2312" w:cs="仿宋_GB2312"/>
          <w:b/>
          <w:bCs w:val="0"/>
          <w:sz w:val="36"/>
          <w:szCs w:val="36"/>
        </w:rPr>
        <w:t>响应承诺函</w:t>
      </w:r>
      <w:bookmarkEnd w:id="76"/>
      <w:bookmarkEnd w:id="77"/>
    </w:p>
    <w:p w14:paraId="4483C7E2">
      <w:pPr>
        <w:pStyle w:val="3"/>
        <w:spacing w:before="120"/>
        <w:rPr>
          <w:rFonts w:hint="eastAsia" w:ascii="仿宋_GB2312" w:hAnsi="仿宋_GB2312" w:eastAsia="仿宋_GB2312" w:cs="仿宋_GB2312"/>
          <w:lang w:val="en-US" w:eastAsia="zh-CN"/>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1</w:t>
      </w:r>
    </w:p>
    <w:p w14:paraId="524B7476">
      <w:pPr>
        <w:adjustRightInd w:val="0"/>
        <w:snapToGrid w:val="0"/>
        <w:spacing w:line="560" w:lineRule="exact"/>
        <w:rPr>
          <w:rFonts w:ascii="仿宋" w:hAnsi="仿宋" w:eastAsia="仿宋" w:cs="仿宋"/>
          <w:b/>
          <w:color w:val="000000"/>
          <w:sz w:val="32"/>
          <w:szCs w:val="32"/>
        </w:rPr>
      </w:pPr>
      <w:r>
        <w:rPr>
          <w:rFonts w:hint="eastAsia" w:ascii="仿宋" w:hAnsi="仿宋" w:eastAsia="仿宋" w:cs="仿宋"/>
          <w:b/>
          <w:color w:val="000000"/>
          <w:sz w:val="32"/>
          <w:szCs w:val="32"/>
        </w:rPr>
        <w:t>致：</w:t>
      </w:r>
    </w:p>
    <w:p w14:paraId="5057F509">
      <w:pPr>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根据采购人</w:t>
      </w:r>
      <w:r>
        <w:rPr>
          <w:rFonts w:hint="eastAsia" w:ascii="仿宋" w:hAnsi="仿宋" w:eastAsia="仿宋" w:cs="仿宋"/>
          <w:color w:val="000000"/>
          <w:sz w:val="32"/>
          <w:szCs w:val="32"/>
          <w:u w:val="single"/>
        </w:rPr>
        <w:t xml:space="preserve">    （</w:t>
      </w:r>
      <w:r>
        <w:rPr>
          <w:rFonts w:hint="eastAsia" w:ascii="仿宋" w:hAnsi="仿宋" w:eastAsia="仿宋" w:cs="仿宋"/>
          <w:b/>
          <w:color w:val="000000"/>
          <w:sz w:val="32"/>
          <w:szCs w:val="32"/>
          <w:u w:val="single"/>
        </w:rPr>
        <w:t xml:space="preserve">项目名称和项目编号 ）          </w:t>
      </w:r>
      <w:r>
        <w:rPr>
          <w:rFonts w:hint="eastAsia" w:ascii="仿宋" w:hAnsi="仿宋" w:eastAsia="仿宋" w:cs="仿宋"/>
          <w:color w:val="000000"/>
          <w:sz w:val="32"/>
          <w:szCs w:val="32"/>
        </w:rPr>
        <w:t>的磋商邀请函，正式授权下述签字人</w:t>
      </w:r>
      <w:r>
        <w:rPr>
          <w:rFonts w:hint="eastAsia" w:ascii="仿宋" w:hAnsi="仿宋" w:eastAsia="仿宋" w:cs="仿宋"/>
          <w:b/>
          <w:color w:val="000000"/>
          <w:sz w:val="32"/>
          <w:szCs w:val="32"/>
          <w:u w:val="single"/>
        </w:rPr>
        <w:t>姓名：职务：</w:t>
      </w:r>
      <w:r>
        <w:rPr>
          <w:rFonts w:hint="eastAsia" w:ascii="仿宋" w:hAnsi="仿宋" w:eastAsia="仿宋" w:cs="仿宋"/>
          <w:color w:val="000000"/>
          <w:sz w:val="32"/>
          <w:szCs w:val="32"/>
        </w:rPr>
        <w:t>代表服务商</w:t>
      </w:r>
      <w:r>
        <w:rPr>
          <w:rFonts w:hint="eastAsia" w:ascii="仿宋" w:hAnsi="仿宋" w:eastAsia="仿宋" w:cs="仿宋"/>
          <w:b/>
          <w:color w:val="000000"/>
          <w:sz w:val="32"/>
          <w:szCs w:val="32"/>
          <w:u w:val="single"/>
        </w:rPr>
        <w:t>（服务商名称）</w:t>
      </w:r>
      <w:r>
        <w:rPr>
          <w:rFonts w:hint="eastAsia" w:ascii="仿宋" w:hAnsi="仿宋" w:eastAsia="仿宋" w:cs="仿宋"/>
          <w:color w:val="000000"/>
          <w:sz w:val="32"/>
          <w:szCs w:val="32"/>
        </w:rPr>
        <w:t>，提交纸质响应文件一式</w:t>
      </w:r>
      <w:r>
        <w:rPr>
          <w:rFonts w:hint="eastAsia" w:ascii="仿宋" w:hAnsi="仿宋" w:eastAsia="仿宋" w:cs="仿宋"/>
          <w:color w:val="000000"/>
          <w:sz w:val="32"/>
          <w:szCs w:val="32"/>
          <w:u w:val="single"/>
        </w:rPr>
        <w:t>三</w:t>
      </w:r>
      <w:r>
        <w:rPr>
          <w:rFonts w:hint="eastAsia" w:ascii="仿宋" w:hAnsi="仿宋" w:eastAsia="仿宋" w:cs="仿宋"/>
          <w:color w:val="000000"/>
          <w:sz w:val="32"/>
          <w:szCs w:val="32"/>
        </w:rPr>
        <w:t>份，正本</w:t>
      </w:r>
      <w:r>
        <w:rPr>
          <w:rFonts w:hint="eastAsia" w:ascii="仿宋" w:hAnsi="仿宋" w:eastAsia="仿宋" w:cs="仿宋"/>
          <w:b/>
          <w:color w:val="000000"/>
          <w:sz w:val="32"/>
          <w:szCs w:val="32"/>
          <w:u w:val="single"/>
        </w:rPr>
        <w:t>一</w:t>
      </w:r>
      <w:r>
        <w:rPr>
          <w:rFonts w:hint="eastAsia" w:ascii="仿宋" w:hAnsi="仿宋" w:eastAsia="仿宋" w:cs="仿宋"/>
          <w:color w:val="000000"/>
          <w:sz w:val="32"/>
          <w:szCs w:val="32"/>
        </w:rPr>
        <w:t>份，副本</w:t>
      </w:r>
      <w:r>
        <w:rPr>
          <w:rFonts w:hint="eastAsia" w:ascii="仿宋" w:hAnsi="仿宋" w:eastAsia="仿宋" w:cs="仿宋"/>
          <w:color w:val="000000"/>
          <w:sz w:val="32"/>
          <w:szCs w:val="32"/>
          <w:u w:val="single"/>
        </w:rPr>
        <w:t>二</w:t>
      </w:r>
      <w:r>
        <w:rPr>
          <w:rFonts w:hint="eastAsia" w:ascii="仿宋" w:hAnsi="仿宋" w:eastAsia="仿宋" w:cs="仿宋"/>
          <w:color w:val="000000"/>
          <w:sz w:val="32"/>
          <w:szCs w:val="32"/>
        </w:rPr>
        <w:t>份，电子文档</w:t>
      </w:r>
      <w:r>
        <w:rPr>
          <w:rFonts w:hint="eastAsia" w:ascii="仿宋" w:hAnsi="仿宋" w:eastAsia="仿宋" w:cs="仿宋"/>
          <w:color w:val="000000"/>
          <w:sz w:val="32"/>
          <w:szCs w:val="32"/>
          <w:u w:val="single"/>
        </w:rPr>
        <w:t>一</w:t>
      </w:r>
      <w:r>
        <w:rPr>
          <w:rFonts w:hint="eastAsia" w:ascii="仿宋" w:hAnsi="仿宋" w:eastAsia="仿宋" w:cs="仿宋"/>
          <w:color w:val="000000"/>
          <w:sz w:val="32"/>
          <w:szCs w:val="32"/>
        </w:rPr>
        <w:t>份。</w:t>
      </w:r>
    </w:p>
    <w:p w14:paraId="1D96FA8D">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本公司谨此承诺并声明：</w:t>
      </w:r>
    </w:p>
    <w:p w14:paraId="00F8B28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1．我方承诺在采购文件规定的响应有效期内不修改、撤销响应文件。</w:t>
      </w:r>
    </w:p>
    <w:p w14:paraId="0F04B5D5">
      <w:pPr>
        <w:widowControl/>
        <w:adjustRightInd w:val="0"/>
        <w:snapToGrid w:val="0"/>
        <w:spacing w:line="560" w:lineRule="exact"/>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2．投标报价金额为人民币</w:t>
      </w:r>
      <w:r>
        <w:rPr>
          <w:rFonts w:hint="eastAsia" w:ascii="仿宋" w:hAnsi="仿宋" w:eastAsia="仿宋" w:cs="仿宋"/>
          <w:color w:val="000000"/>
          <w:sz w:val="32"/>
          <w:szCs w:val="32"/>
          <w:u w:val="single"/>
        </w:rPr>
        <w:t xml:space="preserve"> （大写） </w:t>
      </w:r>
      <w:r>
        <w:rPr>
          <w:rFonts w:hint="eastAsia" w:ascii="仿宋" w:hAnsi="仿宋" w:eastAsia="仿宋" w:cs="仿宋"/>
          <w:color w:val="000000"/>
          <w:sz w:val="32"/>
          <w:szCs w:val="32"/>
        </w:rPr>
        <w:t>（¥）。</w:t>
      </w:r>
    </w:p>
    <w:p w14:paraId="0791FDB4">
      <w:pPr>
        <w:widowControl/>
        <w:adjustRightInd w:val="0"/>
        <w:snapToGrid w:val="0"/>
        <w:spacing w:line="560" w:lineRule="exact"/>
        <w:ind w:firstLine="480"/>
        <w:rPr>
          <w:rFonts w:ascii="仿宋" w:hAnsi="仿宋" w:eastAsia="仿宋" w:cs="仿宋"/>
          <w:color w:val="000000"/>
          <w:sz w:val="32"/>
          <w:szCs w:val="32"/>
        </w:rPr>
      </w:pPr>
      <w:r>
        <w:rPr>
          <w:rFonts w:hint="eastAsia" w:ascii="仿宋" w:hAnsi="仿宋" w:eastAsia="仿宋" w:cs="仿宋"/>
          <w:color w:val="000000"/>
          <w:sz w:val="32"/>
          <w:szCs w:val="32"/>
        </w:rPr>
        <w:t xml:space="preserve">3、同意并接受磋商文件的各项条款要求，遵守文件中的各项规定，按磋商文件的要求响应用户需求书的所有内容。 </w:t>
      </w:r>
    </w:p>
    <w:p w14:paraId="292DF9D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4、</w:t>
      </w:r>
      <w:r>
        <w:rPr>
          <w:rFonts w:hint="eastAsia" w:ascii="仿宋" w:hAnsi="仿宋" w:eastAsia="仿宋" w:cs="仿宋"/>
          <w:color w:val="000000"/>
          <w:kern w:val="0"/>
          <w:sz w:val="32"/>
          <w:szCs w:val="32"/>
        </w:rPr>
        <w:t>本响应文件的有效期为从磋商截止日期起计算的</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rPr>
        <w:t>天，在此期间，本响应文件将始终对我们具有约束力，并可随时被接受</w:t>
      </w:r>
      <w:r>
        <w:rPr>
          <w:rFonts w:hint="eastAsia" w:ascii="仿宋" w:hAnsi="仿宋" w:eastAsia="仿宋" w:cs="仿宋"/>
          <w:color w:val="000000"/>
          <w:sz w:val="32"/>
          <w:szCs w:val="32"/>
        </w:rPr>
        <w:t>澄清</w:t>
      </w:r>
      <w:r>
        <w:rPr>
          <w:rFonts w:hint="eastAsia" w:ascii="仿宋" w:hAnsi="仿宋" w:eastAsia="仿宋" w:cs="仿宋"/>
          <w:color w:val="000000"/>
          <w:kern w:val="0"/>
          <w:sz w:val="32"/>
          <w:szCs w:val="32"/>
        </w:rPr>
        <w:t>。如果我们成交，本响应文件在此期间之后将继续保持有效。</w:t>
      </w:r>
    </w:p>
    <w:p w14:paraId="743190A9">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5、我方已经详细地阅读了全部磋商文件及其附件，包括澄清及参考文件。我方已完全清晰理解磋商文件的要求，不存在任何含糊不清和误解之处，同意放弃对这些文件所提出的异议和质疑的权利。</w:t>
      </w:r>
    </w:p>
    <w:p w14:paraId="419BBD7A">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6、我方已毫无保留地向贵方提供一切所需的证明材料。不论在任何时候，将按贵方要求如实提供一切补充材料。</w:t>
      </w:r>
    </w:p>
    <w:p w14:paraId="24A9788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7、我方承诺在本次响应中提供的一切文件，无论是原件还是复印件均为真实和准确的，绝无任何虚假、伪造和夸大的成份，否则，愿承担相应的后果和法律责任。</w:t>
      </w:r>
    </w:p>
    <w:p w14:paraId="74F82531">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8、我方完全服从和尊重磋商小组所作的评审结果，同时清楚理解到响应并不一定获得成交资格。</w:t>
      </w:r>
    </w:p>
    <w:p w14:paraId="4466FAE3">
      <w:pPr>
        <w:widowControl/>
        <w:adjustRightInd w:val="0"/>
        <w:snapToGrid w:val="0"/>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9、我方在参与本次磋商采购活动中，不以任何不当手段影响、串通、排斥有关当事人或谋取、施予非法利益，如有不当行为，愿承担此行为所造成的不利后果和法律责任。</w:t>
      </w:r>
    </w:p>
    <w:p w14:paraId="71F727D6">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服务商名称：</w:t>
      </w:r>
      <w:r>
        <w:rPr>
          <w:rFonts w:hint="eastAsia" w:ascii="仿宋" w:hAnsi="仿宋" w:eastAsia="仿宋" w:cs="仿宋"/>
          <w:color w:val="000000"/>
          <w:sz w:val="32"/>
          <w:szCs w:val="32"/>
          <w:u w:val="single"/>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（公章）</w:t>
      </w:r>
    </w:p>
    <w:p w14:paraId="61291D27">
      <w:pPr>
        <w:widowControl/>
        <w:adjustRightInd w:val="0"/>
        <w:snapToGrid w:val="0"/>
        <w:spacing w:line="560" w:lineRule="exact"/>
        <w:rPr>
          <w:rFonts w:ascii="仿宋" w:hAnsi="仿宋" w:eastAsia="仿宋" w:cs="仿宋"/>
          <w:color w:val="000000"/>
          <w:sz w:val="32"/>
          <w:szCs w:val="32"/>
        </w:rPr>
      </w:pPr>
      <w:r>
        <w:rPr>
          <w:rFonts w:hint="eastAsia" w:ascii="仿宋" w:hAnsi="仿宋" w:eastAsia="仿宋" w:cs="仿宋"/>
          <w:color w:val="000000"/>
          <w:sz w:val="32"/>
          <w:szCs w:val="32"/>
        </w:rPr>
        <w:t>法定代表人：</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（签名或盖章）</w:t>
      </w:r>
    </w:p>
    <w:p w14:paraId="78FF8542">
      <w:pPr>
        <w:adjustRightInd w:val="0"/>
        <w:snapToGrid w:val="0"/>
        <w:spacing w:line="560" w:lineRule="exact"/>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被授权人：</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u w:val="single"/>
        </w:rPr>
        <w:t>（亲笔签名）</w: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rPr>
        <w:t>职务：</w:t>
      </w:r>
      <w:r>
        <w:rPr>
          <w:rFonts w:hint="eastAsia" w:ascii="仿宋" w:hAnsi="仿宋" w:eastAsia="仿宋" w:cs="仿宋"/>
          <w:color w:val="000000"/>
          <w:sz w:val="32"/>
          <w:szCs w:val="32"/>
          <w:u w:val="single"/>
          <w:lang w:val="en-US" w:eastAsia="zh-CN"/>
        </w:rPr>
        <w:t xml:space="preserve">           </w:t>
      </w:r>
    </w:p>
    <w:p w14:paraId="15A1918C">
      <w:pPr>
        <w:adjustRightInd w:val="0"/>
        <w:snapToGrid w:val="0"/>
        <w:spacing w:line="560" w:lineRule="exact"/>
        <w:rPr>
          <w:rFonts w:hint="eastAsia" w:ascii="方正公文黑体" w:hAnsi="方正公文黑体" w:eastAsia="方正公文黑体" w:cs="方正公文黑体"/>
          <w:color w:val="auto"/>
          <w:sz w:val="36"/>
          <w:szCs w:val="36"/>
          <w:highlight w:val="none"/>
        </w:rPr>
      </w:pPr>
      <w:r>
        <w:rPr>
          <w:rFonts w:hint="eastAsia" w:ascii="仿宋" w:hAnsi="仿宋" w:eastAsia="仿宋" w:cs="仿宋"/>
          <w:color w:val="000000"/>
          <w:sz w:val="32"/>
          <w:szCs w:val="32"/>
        </w:rPr>
        <w:t>承诺日期：年  月  日</w:t>
      </w:r>
      <w:r>
        <w:rPr>
          <w:rFonts w:hint="eastAsia" w:ascii="仿宋" w:hAnsi="仿宋" w:eastAsia="仿宋" w:cs="仿宋"/>
          <w:sz w:val="32"/>
          <w:szCs w:val="32"/>
        </w:rPr>
        <w:br w:type="page"/>
      </w:r>
    </w:p>
    <w:p w14:paraId="2F135201">
      <w:pPr>
        <w:pStyle w:val="3"/>
        <w:spacing w:before="120"/>
        <w:rPr>
          <w:rFonts w:hint="eastAsia" w:ascii="仿宋_GB2312" w:hAnsi="仿宋_GB2312" w:eastAsia="仿宋_GB2312" w:cs="仿宋_GB2312"/>
        </w:rPr>
      </w:pPr>
      <w:r>
        <w:rPr>
          <w:rFonts w:hint="eastAsia" w:ascii="仿宋_GB2312" w:hAnsi="仿宋_GB2312" w:eastAsia="仿宋_GB2312" w:cs="仿宋_GB2312"/>
        </w:rPr>
        <w:t>附件</w:t>
      </w:r>
      <w:bookmarkEnd w:id="78"/>
      <w:bookmarkEnd w:id="79"/>
      <w:r>
        <w:rPr>
          <w:rFonts w:hint="eastAsia" w:ascii="仿宋_GB2312" w:hAnsi="仿宋_GB2312" w:eastAsia="仿宋_GB2312" w:cs="仿宋_GB2312"/>
        </w:rPr>
        <w:t>2</w:t>
      </w:r>
      <w:bookmarkEnd w:id="80"/>
      <w:bookmarkEnd w:id="81"/>
      <w:bookmarkEnd w:id="82"/>
      <w:bookmarkEnd w:id="83"/>
      <w:bookmarkStart w:id="84" w:name="_Toc356491344"/>
      <w:bookmarkStart w:id="85" w:name="_Toc356490395"/>
    </w:p>
    <w:p w14:paraId="103156EB">
      <w:pPr>
        <w:pStyle w:val="21"/>
        <w:spacing w:line="360" w:lineRule="auto"/>
        <w:jc w:val="center"/>
        <w:rPr>
          <w:rFonts w:hint="eastAsia" w:ascii="仿宋_GB2312" w:hAnsi="仿宋_GB2312" w:eastAsia="仿宋_GB2312" w:cs="仿宋_GB2312"/>
          <w:b/>
          <w:bCs w:val="0"/>
          <w:color w:val="auto"/>
          <w:sz w:val="36"/>
          <w:szCs w:val="36"/>
          <w:highlight w:val="none"/>
        </w:rPr>
      </w:pPr>
      <w:bookmarkStart w:id="86" w:name="_Toc3901"/>
      <w:bookmarkStart w:id="87" w:name="_Toc32320_WPSOffice_Level2"/>
      <w:bookmarkStart w:id="88" w:name="_Toc8229"/>
      <w:bookmarkStart w:id="89" w:name="_Toc23717"/>
      <w:bookmarkStart w:id="90" w:name="_Toc524016738"/>
      <w:bookmarkStart w:id="91" w:name="_Toc524016575"/>
      <w:bookmarkStart w:id="92" w:name="_Toc14824"/>
      <w:bookmarkStart w:id="93" w:name="_Toc28196"/>
      <w:bookmarkStart w:id="94" w:name="_Toc524016633"/>
      <w:bookmarkStart w:id="95" w:name="_Toc22979"/>
      <w:bookmarkStart w:id="96" w:name="_Toc16945"/>
    </w:p>
    <w:p w14:paraId="5EE7FE43">
      <w:pPr>
        <w:pStyle w:val="21"/>
        <w:spacing w:line="360" w:lineRule="auto"/>
        <w:jc w:val="center"/>
        <w:rPr>
          <w:rFonts w:hint="eastAsia" w:ascii="仿宋_GB2312" w:hAnsi="仿宋_GB2312" w:eastAsia="仿宋_GB2312" w:cs="仿宋_GB2312"/>
          <w:b/>
          <w:bCs w:val="0"/>
          <w:color w:val="auto"/>
          <w:sz w:val="36"/>
          <w:szCs w:val="36"/>
          <w:highlight w:val="none"/>
        </w:rPr>
      </w:pPr>
      <w:r>
        <w:rPr>
          <w:rFonts w:hint="eastAsia" w:ascii="仿宋_GB2312" w:hAnsi="仿宋_GB2312" w:eastAsia="仿宋_GB2312" w:cs="仿宋_GB2312"/>
          <w:b/>
          <w:bCs w:val="0"/>
          <w:color w:val="auto"/>
          <w:sz w:val="36"/>
          <w:szCs w:val="36"/>
          <w:highlight w:val="none"/>
        </w:rPr>
        <w:t>法定代表人身份证明</w:t>
      </w:r>
      <w:bookmarkEnd w:id="86"/>
      <w:bookmarkEnd w:id="87"/>
      <w:bookmarkEnd w:id="88"/>
      <w:bookmarkEnd w:id="89"/>
      <w:bookmarkEnd w:id="90"/>
      <w:bookmarkEnd w:id="91"/>
      <w:bookmarkEnd w:id="92"/>
      <w:bookmarkEnd w:id="93"/>
      <w:bookmarkEnd w:id="94"/>
      <w:bookmarkEnd w:id="95"/>
      <w:bookmarkEnd w:id="96"/>
    </w:p>
    <w:p w14:paraId="1790BA91">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供应商名称：</w:t>
      </w:r>
    </w:p>
    <w:p w14:paraId="2B28EFA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单位性质：</w:t>
      </w:r>
    </w:p>
    <w:p w14:paraId="4148EBB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p>
    <w:p w14:paraId="4CAEEF33">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成立时间：年</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日</w:t>
      </w:r>
    </w:p>
    <w:p w14:paraId="7B4AD4DE">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经营期限：</w:t>
      </w:r>
    </w:p>
    <w:p w14:paraId="5D2B6E8F">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姓名： 性别：年龄：职务：</w:t>
      </w:r>
    </w:p>
    <w:p w14:paraId="75CD6D40">
      <w:pPr>
        <w:keepNext w:val="0"/>
        <w:keepLines w:val="0"/>
        <w:pageBreakBefore w:val="0"/>
        <w:widowControl/>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系 （供应商名称）的法定代表人。</w:t>
      </w:r>
    </w:p>
    <w:p w14:paraId="3DAA5246">
      <w:pPr>
        <w:keepNext w:val="0"/>
        <w:keepLines w:val="0"/>
        <w:pageBreakBefore w:val="0"/>
        <w:widowControl/>
        <w:kinsoku/>
        <w:wordWrap/>
        <w:overflowPunct/>
        <w:topLinePunct w:val="0"/>
        <w:autoSpaceDE/>
        <w:autoSpaceDN/>
        <w:bidi w:val="0"/>
        <w:adjustRightInd w:val="0"/>
        <w:snapToGrid w:val="0"/>
        <w:spacing w:line="560" w:lineRule="exact"/>
        <w:ind w:firstLine="1600" w:firstLineChars="5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特此证明。</w:t>
      </w:r>
    </w:p>
    <w:p w14:paraId="79CD43CE">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p>
    <w:p w14:paraId="22D76099">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（附法定代表人身份证明复印件）</w:t>
      </w:r>
    </w:p>
    <w:p w14:paraId="791FFDE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p>
    <w:p w14:paraId="4CB619A0">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p>
    <w:p w14:paraId="251D69BA">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供应商：（盖单位章）</w:t>
      </w:r>
    </w:p>
    <w:p w14:paraId="3245D5B0">
      <w:pPr>
        <w:keepNext w:val="0"/>
        <w:keepLines w:val="0"/>
        <w:pageBreakBefore w:val="0"/>
        <w:kinsoku/>
        <w:wordWrap/>
        <w:overflowPunct/>
        <w:topLinePunct w:val="0"/>
        <w:autoSpaceDE/>
        <w:autoSpaceDN/>
        <w:bidi w:val="0"/>
        <w:adjustRightInd w:val="0"/>
        <w:snapToGrid w:val="0"/>
        <w:spacing w:line="560" w:lineRule="exact"/>
        <w:ind w:firstLine="480"/>
        <w:textAlignment w:val="auto"/>
        <w:rPr>
          <w:rFonts w:hint="eastAsia" w:ascii="仿宋" w:hAnsi="仿宋" w:eastAsia="仿宋" w:cs="仿宋"/>
          <w:color w:val="auto"/>
          <w:sz w:val="32"/>
          <w:szCs w:val="32"/>
          <w:highlight w:val="none"/>
        </w:rPr>
      </w:pPr>
    </w:p>
    <w:p w14:paraId="003369BA">
      <w:pPr>
        <w:keepNext w:val="0"/>
        <w:keepLines w:val="0"/>
        <w:pageBreakBefore w:val="0"/>
        <w:kinsoku/>
        <w:wordWrap/>
        <w:overflowPunct/>
        <w:topLinePunct w:val="0"/>
        <w:autoSpaceDE/>
        <w:autoSpaceDN/>
        <w:bidi w:val="0"/>
        <w:adjustRightInd w:val="0"/>
        <w:snapToGrid w:val="0"/>
        <w:spacing w:line="560" w:lineRule="exact"/>
        <w:ind w:firstLine="4800" w:firstLineChars="15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 xml:space="preserve">日    </w:t>
      </w:r>
    </w:p>
    <w:p w14:paraId="77950108">
      <w:pPr>
        <w:pStyle w:val="21"/>
        <w:spacing w:line="360" w:lineRule="auto"/>
        <w:jc w:val="center"/>
        <w:rPr>
          <w:rFonts w:hint="eastAsia" w:ascii="仿宋_GB2312" w:hAnsi="仿宋_GB2312" w:eastAsia="仿宋_GB2312" w:cs="仿宋_GB2312"/>
          <w:b/>
          <w:bCs w:val="0"/>
          <w:color w:val="auto"/>
          <w:sz w:val="36"/>
          <w:szCs w:val="36"/>
          <w:highlight w:val="none"/>
        </w:rPr>
      </w:pPr>
    </w:p>
    <w:p w14:paraId="626C1F19">
      <w:pPr>
        <w:pStyle w:val="21"/>
        <w:spacing w:line="360" w:lineRule="auto"/>
        <w:jc w:val="center"/>
        <w:rPr>
          <w:rFonts w:hint="eastAsia" w:ascii="仿宋_GB2312" w:hAnsi="仿宋_GB2312" w:eastAsia="仿宋_GB2312" w:cs="仿宋_GB2312"/>
          <w:b/>
          <w:bCs w:val="0"/>
          <w:color w:val="auto"/>
          <w:sz w:val="36"/>
          <w:szCs w:val="36"/>
          <w:highlight w:val="none"/>
        </w:rPr>
      </w:pPr>
    </w:p>
    <w:p w14:paraId="1B983CCD">
      <w:pPr>
        <w:pStyle w:val="21"/>
        <w:spacing w:line="360" w:lineRule="auto"/>
        <w:jc w:val="center"/>
        <w:rPr>
          <w:rFonts w:hint="eastAsia" w:ascii="仿宋_GB2312" w:hAnsi="仿宋_GB2312" w:eastAsia="仿宋_GB2312" w:cs="仿宋_GB2312"/>
          <w:b/>
          <w:bCs w:val="0"/>
          <w:color w:val="auto"/>
          <w:sz w:val="36"/>
          <w:szCs w:val="36"/>
          <w:highlight w:val="none"/>
        </w:rPr>
      </w:pPr>
    </w:p>
    <w:p w14:paraId="65BDE083">
      <w:pPr>
        <w:pStyle w:val="21"/>
        <w:spacing w:line="360" w:lineRule="auto"/>
        <w:jc w:val="center"/>
        <w:rPr>
          <w:rFonts w:hint="eastAsia" w:ascii="仿宋_GB2312" w:hAnsi="仿宋_GB2312" w:eastAsia="仿宋_GB2312" w:cs="仿宋_GB2312"/>
          <w:b/>
          <w:bCs w:val="0"/>
          <w:color w:val="auto"/>
          <w:sz w:val="36"/>
          <w:szCs w:val="36"/>
          <w:highlight w:val="none"/>
        </w:rPr>
      </w:pPr>
    </w:p>
    <w:p w14:paraId="32761F32">
      <w:pPr>
        <w:pStyle w:val="21"/>
        <w:spacing w:line="360" w:lineRule="auto"/>
        <w:jc w:val="center"/>
        <w:rPr>
          <w:rFonts w:hint="eastAsia" w:ascii="仿宋_GB2312" w:hAnsi="仿宋_GB2312" w:eastAsia="仿宋_GB2312" w:cs="仿宋_GB2312"/>
          <w:b/>
          <w:bCs w:val="0"/>
          <w:color w:val="auto"/>
          <w:sz w:val="36"/>
          <w:szCs w:val="36"/>
          <w:highlight w:val="none"/>
        </w:rPr>
      </w:pPr>
    </w:p>
    <w:p w14:paraId="75EF5414">
      <w:pPr>
        <w:pStyle w:val="21"/>
        <w:spacing w:line="360" w:lineRule="auto"/>
        <w:jc w:val="center"/>
        <w:rPr>
          <w:rFonts w:hint="eastAsia" w:ascii="仿宋_GB2312" w:hAnsi="仿宋_GB2312" w:eastAsia="仿宋_GB2312" w:cs="仿宋_GB2312"/>
          <w:b/>
          <w:bCs w:val="0"/>
          <w:color w:val="auto"/>
          <w:sz w:val="36"/>
          <w:szCs w:val="36"/>
          <w:highlight w:val="none"/>
          <w:lang w:eastAsia="zh-CN"/>
        </w:rPr>
      </w:pPr>
      <w:r>
        <w:rPr>
          <w:rFonts w:hint="eastAsia" w:ascii="仿宋_GB2312" w:hAnsi="仿宋_GB2312" w:eastAsia="仿宋_GB2312" w:cs="仿宋_GB2312"/>
          <w:b/>
          <w:bCs w:val="0"/>
          <w:color w:val="auto"/>
          <w:sz w:val="36"/>
          <w:szCs w:val="36"/>
          <w:highlight w:val="none"/>
        </w:rPr>
        <w:t>法定代表人授权委托书</w:t>
      </w:r>
      <w:r>
        <w:rPr>
          <w:rFonts w:hint="eastAsia" w:ascii="仿宋_GB2312" w:hAnsi="仿宋_GB2312" w:eastAsia="仿宋_GB2312" w:cs="仿宋_GB2312"/>
          <w:b/>
          <w:bCs w:val="0"/>
          <w:color w:val="auto"/>
          <w:sz w:val="36"/>
          <w:szCs w:val="36"/>
          <w:highlight w:val="none"/>
          <w:lang w:eastAsia="zh-CN"/>
        </w:rPr>
        <w:t>（法人参加投标无需提供此表）</w:t>
      </w:r>
    </w:p>
    <w:p w14:paraId="09E2AEA2">
      <w:pPr>
        <w:tabs>
          <w:tab w:val="left" w:pos="0"/>
          <w:tab w:val="left" w:pos="720"/>
          <w:tab w:val="left" w:pos="1440"/>
          <w:tab w:val="left" w:pos="2160"/>
          <w:tab w:val="left" w:pos="2880"/>
          <w:tab w:val="left" w:pos="3600"/>
          <w:tab w:val="left" w:pos="4320"/>
        </w:tabs>
        <w:autoSpaceDE w:val="0"/>
        <w:autoSpaceDN w:val="0"/>
        <w:adjustRightInd w:val="0"/>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海南卫生健康职业学院：</w:t>
      </w:r>
    </w:p>
    <w:p w14:paraId="01F7D1E7">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姓名）系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（投标人名称）法定代表人，现授权委托我公司的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（姓名、职务或职称）为我单位本次项目的全权代表，以本公司的名义参加海南卫生健康职业学院组织的                      （项目名称/项目编号）的招标，全权处理招标过程有关的一切事务。</w:t>
      </w:r>
    </w:p>
    <w:p w14:paraId="7449166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被授权人在授权书有效期内</w:t>
      </w:r>
      <w:r>
        <w:rPr>
          <w:rFonts w:hint="eastAsia" w:ascii="仿宋_GB2312" w:hAnsi="仿宋_GB2312" w:eastAsia="仿宋_GB2312" w:cs="仿宋_GB2312"/>
          <w:color w:val="auto"/>
          <w:sz w:val="32"/>
          <w:szCs w:val="32"/>
          <w:highlight w:val="none"/>
          <w:u w:val="single"/>
        </w:rPr>
        <w:t xml:space="preserve">   年  月  日至  年  月  日</w:t>
      </w:r>
      <w:r>
        <w:rPr>
          <w:rFonts w:hint="eastAsia" w:ascii="仿宋_GB2312" w:hAnsi="仿宋_GB2312" w:eastAsia="仿宋_GB2312" w:cs="仿宋_GB2312"/>
          <w:color w:val="auto"/>
          <w:sz w:val="32"/>
          <w:szCs w:val="32"/>
          <w:highlight w:val="none"/>
        </w:rPr>
        <w:t>签署的所有文件不因授权的撤消而失效。</w:t>
      </w:r>
    </w:p>
    <w:p w14:paraId="55058B66">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全权代表无转委托权。特此委托。</w:t>
      </w:r>
    </w:p>
    <w:p w14:paraId="641F5791">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rPr>
      </w:pPr>
    </w:p>
    <w:p w14:paraId="0101EBFB">
      <w:pPr>
        <w:tabs>
          <w:tab w:val="left" w:pos="0"/>
          <w:tab w:val="left" w:pos="720"/>
          <w:tab w:val="left" w:pos="1440"/>
          <w:tab w:val="left" w:pos="2160"/>
          <w:tab w:val="left" w:pos="2880"/>
          <w:tab w:val="left" w:pos="3600"/>
          <w:tab w:val="left" w:pos="4320"/>
        </w:tabs>
        <w:autoSpaceDE w:val="0"/>
        <w:autoSpaceDN w:val="0"/>
        <w:adjustRightIn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（附法定代表人、授权代理人身份证明复印件）</w:t>
      </w:r>
    </w:p>
    <w:p w14:paraId="756759A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p>
    <w:p w14:paraId="169AF746">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p>
    <w:p w14:paraId="56513EEC">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p>
    <w:p w14:paraId="17581B27">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投标人（盖章）：</w:t>
      </w:r>
    </w:p>
    <w:p w14:paraId="5E4CF61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p>
    <w:p w14:paraId="2F6F1A73">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法定代表人：（签字）：</w:t>
      </w:r>
    </w:p>
    <w:p w14:paraId="0D66980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p>
    <w:p w14:paraId="11F782ED">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授权代理人：（签字）：</w:t>
      </w:r>
    </w:p>
    <w:p w14:paraId="59AF0E5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p>
    <w:p w14:paraId="6808D065">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日期：   年   月   日</w:t>
      </w:r>
    </w:p>
    <w:p w14:paraId="5C64530C">
      <w:pPr>
        <w:pStyle w:val="3"/>
        <w:spacing w:before="120"/>
        <w:rPr>
          <w:rFonts w:ascii="仿宋_GB2312" w:hAnsi="仿宋_GB2312" w:eastAsia="仿宋_GB2312" w:cs="仿宋_GB2312"/>
          <w:color w:val="auto"/>
          <w:highlight w:val="none"/>
        </w:rPr>
      </w:pPr>
      <w:r>
        <w:rPr>
          <w:rFonts w:hint="eastAsia" w:ascii="仿宋_GB2312" w:hAnsi="仿宋_GB2312" w:eastAsia="仿宋_GB2312" w:cs="仿宋_GB2312"/>
          <w:color w:val="auto"/>
          <w:szCs w:val="28"/>
          <w:highlight w:val="none"/>
        </w:rPr>
        <w:br w:type="page"/>
      </w:r>
      <w:bookmarkStart w:id="97" w:name="_Toc24686"/>
      <w:bookmarkStart w:id="98" w:name="_Toc40089810"/>
      <w:bookmarkStart w:id="99" w:name="_Toc513627405"/>
      <w:r>
        <w:rPr>
          <w:rFonts w:hint="eastAsia" w:ascii="仿宋_GB2312" w:hAnsi="仿宋_GB2312" w:eastAsia="仿宋_GB2312" w:cs="仿宋_GB2312"/>
        </w:rPr>
        <w:t>附件3</w:t>
      </w:r>
    </w:p>
    <w:p w14:paraId="59C25F91">
      <w:pPr>
        <w:rPr>
          <w:rFonts w:ascii="仿宋_GB2312" w:hAnsi="仿宋_GB2312" w:eastAsia="仿宋_GB2312" w:cs="仿宋_GB2312"/>
          <w:color w:val="auto"/>
          <w:highlight w:val="none"/>
        </w:rPr>
      </w:pPr>
    </w:p>
    <w:p w14:paraId="7AFFE39C">
      <w:pPr>
        <w:pStyle w:val="21"/>
        <w:snapToGrid w:val="0"/>
        <w:spacing w:after="0" w:line="560" w:lineRule="exact"/>
        <w:jc w:val="center"/>
        <w:rPr>
          <w:rFonts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近三年内，在经营活动中没有重大违法记录的声明</w:t>
      </w:r>
      <w:bookmarkEnd w:id="97"/>
      <w:bookmarkEnd w:id="98"/>
      <w:bookmarkEnd w:id="99"/>
      <w:r>
        <w:rPr>
          <w:rFonts w:hint="eastAsia" w:ascii="仿宋_GB2312" w:hAnsi="仿宋_GB2312" w:eastAsia="仿宋_GB2312" w:cs="仿宋_GB2312"/>
          <w:b/>
          <w:bCs w:val="0"/>
          <w:color w:val="auto"/>
          <w:sz w:val="32"/>
          <w:szCs w:val="32"/>
          <w:highlight w:val="none"/>
        </w:rPr>
        <w:t>函</w:t>
      </w:r>
    </w:p>
    <w:p w14:paraId="59DAA7A8">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color w:val="auto"/>
          <w:sz w:val="32"/>
          <w:szCs w:val="32"/>
          <w:highlight w:val="none"/>
        </w:rPr>
      </w:pPr>
    </w:p>
    <w:p w14:paraId="0D825091">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致：海南卫生健康职业学院</w:t>
      </w:r>
    </w:p>
    <w:p w14:paraId="6F59105E">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我单位近三年内在经营活动中没有重大违法记录，特此声明。</w:t>
      </w:r>
    </w:p>
    <w:p w14:paraId="5D6087CC">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若招标采购单位在本项目采购过程中，发现我单位近三年内在经营活动中有重大违法记录，我单位将无条件退出本项目的报价，并承担因此引起的一切后果。</w:t>
      </w:r>
    </w:p>
    <w:p w14:paraId="67E3596B">
      <w:pPr>
        <w:snapToGrid w:val="0"/>
        <w:spacing w:line="560" w:lineRule="exact"/>
        <w:ind w:firstLine="480"/>
        <w:rPr>
          <w:rFonts w:hint="eastAsia" w:ascii="仿宋" w:hAnsi="仿宋" w:eastAsia="仿宋" w:cs="仿宋"/>
          <w:color w:val="auto"/>
          <w:sz w:val="32"/>
          <w:szCs w:val="32"/>
          <w:highlight w:val="none"/>
        </w:rPr>
      </w:pPr>
    </w:p>
    <w:p w14:paraId="65799A16">
      <w:pPr>
        <w:snapToGrid w:val="0"/>
        <w:spacing w:line="560" w:lineRule="exact"/>
        <w:rPr>
          <w:rFonts w:hint="eastAsia" w:ascii="仿宋" w:hAnsi="仿宋" w:eastAsia="仿宋" w:cs="仿宋"/>
          <w:color w:val="auto"/>
          <w:sz w:val="32"/>
          <w:szCs w:val="32"/>
          <w:highlight w:val="none"/>
        </w:rPr>
      </w:pPr>
    </w:p>
    <w:p w14:paraId="64CD9445">
      <w:pPr>
        <w:snapToGrid w:val="0"/>
        <w:spacing w:line="560" w:lineRule="exact"/>
        <w:rPr>
          <w:rFonts w:hint="eastAsia" w:ascii="仿宋" w:hAnsi="仿宋" w:eastAsia="仿宋" w:cs="仿宋"/>
          <w:color w:val="auto"/>
          <w:sz w:val="32"/>
          <w:szCs w:val="32"/>
          <w:highlight w:val="none"/>
        </w:rPr>
      </w:pPr>
    </w:p>
    <w:p w14:paraId="630177CC">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供应商（公章）：</w:t>
      </w:r>
      <w:r>
        <w:rPr>
          <w:rFonts w:hint="eastAsia" w:ascii="仿宋" w:hAnsi="仿宋" w:eastAsia="仿宋" w:cs="仿宋"/>
          <w:color w:val="auto"/>
          <w:sz w:val="32"/>
          <w:szCs w:val="32"/>
          <w:highlight w:val="none"/>
          <w:u w:val="single"/>
        </w:rPr>
        <w:t xml:space="preserve">                     </w:t>
      </w:r>
    </w:p>
    <w:p w14:paraId="03001006">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法人代表或其授权人（签字）：</w:t>
      </w:r>
      <w:r>
        <w:rPr>
          <w:rFonts w:hint="eastAsia" w:ascii="仿宋" w:hAnsi="仿宋" w:eastAsia="仿宋" w:cs="仿宋"/>
          <w:color w:val="auto"/>
          <w:sz w:val="32"/>
          <w:szCs w:val="32"/>
          <w:highlight w:val="none"/>
          <w:u w:val="single"/>
        </w:rPr>
        <w:t xml:space="preserve">               </w:t>
      </w:r>
    </w:p>
    <w:p w14:paraId="60F4600C">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日   期：</w:t>
      </w:r>
      <w:r>
        <w:rPr>
          <w:rFonts w:hint="eastAsia" w:ascii="仿宋" w:hAnsi="仿宋" w:eastAsia="仿宋" w:cs="仿宋"/>
          <w:color w:val="auto"/>
          <w:sz w:val="32"/>
          <w:szCs w:val="32"/>
          <w:highlight w:val="none"/>
          <w:u w:val="single"/>
        </w:rPr>
        <w:t xml:space="preserve">                   </w:t>
      </w:r>
    </w:p>
    <w:p w14:paraId="37852AC0">
      <w:pPr>
        <w:snapToGrid w:val="0"/>
        <w:spacing w:line="560" w:lineRule="exact"/>
        <w:ind w:firstLine="48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解释：《中华人民共和国政府采购法实施条例》条例第十九条 政府采购法第二十二条第一款第五项所称重大违法记录，是指供应商因违法经营受到刑事处罚或者责令停产停业、吊销许可证或者执照、较大数额罚款等行政处罚。供应商在参加政府采购活动前3年内因违法经营被禁止在一定期限内参加政府采购活动，期限届满的，可以参加政府采购活动。</w:t>
      </w:r>
    </w:p>
    <w:p w14:paraId="1E895A26">
      <w:pPr>
        <w:pStyle w:val="3"/>
        <w:spacing w:before="120"/>
        <w:rPr>
          <w:rFonts w:ascii="仿宋_GB2312" w:hAnsi="仿宋_GB2312" w:eastAsia="仿宋_GB2312" w:cs="仿宋_GB2312"/>
          <w:b/>
          <w:bCs w:val="0"/>
          <w:color w:val="auto"/>
          <w:sz w:val="36"/>
          <w:szCs w:val="36"/>
          <w:highlight w:val="none"/>
        </w:rPr>
      </w:pPr>
      <w:r>
        <w:rPr>
          <w:rFonts w:hint="eastAsia" w:ascii="仿宋_GB2312" w:hAnsi="仿宋_GB2312" w:eastAsia="仿宋_GB2312" w:cs="仿宋_GB2312"/>
          <w:color w:val="auto"/>
          <w:sz w:val="24"/>
          <w:highlight w:val="none"/>
        </w:rPr>
        <w:br w:type="page"/>
      </w:r>
      <w:bookmarkStart w:id="100" w:name="_Toc9292"/>
      <w:bookmarkStart w:id="101" w:name="_Toc40089811"/>
      <w:r>
        <w:rPr>
          <w:rFonts w:hint="eastAsia" w:ascii="仿宋_GB2312" w:hAnsi="仿宋_GB2312" w:eastAsia="仿宋_GB2312" w:cs="仿宋_GB2312"/>
        </w:rPr>
        <w:t>附件4</w:t>
      </w:r>
      <w:bookmarkEnd w:id="100"/>
      <w:bookmarkEnd w:id="101"/>
    </w:p>
    <w:p w14:paraId="37CB1739">
      <w:pPr>
        <w:pStyle w:val="10"/>
        <w:spacing w:before="0" w:after="0"/>
        <w:ind w:right="378" w:rightChars="135"/>
        <w:jc w:val="center"/>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6"/>
          <w:szCs w:val="36"/>
          <w:highlight w:val="none"/>
        </w:rPr>
        <w:t>商务响应表</w:t>
      </w:r>
    </w:p>
    <w:tbl>
      <w:tblPr>
        <w:tblStyle w:val="2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3402"/>
        <w:gridCol w:w="1673"/>
        <w:gridCol w:w="2544"/>
      </w:tblGrid>
      <w:tr w14:paraId="0198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552" w:type="dxa"/>
            <w:vAlign w:val="center"/>
          </w:tcPr>
          <w:p w14:paraId="45F73552">
            <w:pPr>
              <w:keepNext w:val="0"/>
              <w:keepLines w:val="0"/>
              <w:suppressLineNumbers w:val="0"/>
              <w:adjustRightInd w:val="0"/>
              <w:spacing w:before="0" w:beforeAutospacing="0" w:after="0" w:afterAutospacing="0" w:line="500" w:lineRule="atLeast"/>
              <w:ind w:left="0" w:right="0"/>
              <w:jc w:val="center"/>
              <w:rPr>
                <w:rFonts w:hint="default"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序号</w:t>
            </w:r>
          </w:p>
        </w:tc>
        <w:tc>
          <w:tcPr>
            <w:tcW w:w="3402" w:type="dxa"/>
            <w:vAlign w:val="center"/>
          </w:tcPr>
          <w:p w14:paraId="58B687E4">
            <w:pPr>
              <w:keepNext w:val="0"/>
              <w:keepLines w:val="0"/>
              <w:suppressLineNumbers w:val="0"/>
              <w:adjustRightInd w:val="0"/>
              <w:spacing w:before="0" w:beforeAutospacing="0" w:after="0" w:afterAutospacing="0" w:line="500" w:lineRule="atLeast"/>
              <w:ind w:left="0" w:right="0"/>
              <w:jc w:val="center"/>
              <w:rPr>
                <w:rFonts w:hint="default"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磋商文件要求</w:t>
            </w:r>
          </w:p>
        </w:tc>
        <w:tc>
          <w:tcPr>
            <w:tcW w:w="1673" w:type="dxa"/>
            <w:vAlign w:val="center"/>
          </w:tcPr>
          <w:p w14:paraId="3655016D">
            <w:pPr>
              <w:keepNext w:val="0"/>
              <w:keepLines w:val="0"/>
              <w:suppressLineNumbers w:val="0"/>
              <w:adjustRightInd w:val="0"/>
              <w:spacing w:before="0" w:beforeAutospacing="0" w:after="0" w:afterAutospacing="0" w:line="500" w:lineRule="atLeast"/>
              <w:ind w:left="0" w:right="0"/>
              <w:jc w:val="center"/>
              <w:rPr>
                <w:rFonts w:hint="default"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响应程度</w:t>
            </w:r>
          </w:p>
        </w:tc>
        <w:tc>
          <w:tcPr>
            <w:tcW w:w="2544" w:type="dxa"/>
            <w:vAlign w:val="center"/>
          </w:tcPr>
          <w:p w14:paraId="604BF166">
            <w:pPr>
              <w:keepNext w:val="0"/>
              <w:keepLines w:val="0"/>
              <w:suppressLineNumbers w:val="0"/>
              <w:adjustRightInd w:val="0"/>
              <w:spacing w:before="0" w:beforeAutospacing="0" w:after="0" w:afterAutospacing="0" w:line="500" w:lineRule="atLeast"/>
              <w:ind w:left="0" w:right="0"/>
              <w:jc w:val="center"/>
              <w:rPr>
                <w:rFonts w:hint="eastAsia" w:ascii="仿宋_GB2312" w:hAnsi="仿宋_GB2312" w:eastAsia="仿宋_GB2312" w:cs="仿宋_GB2312"/>
                <w:b/>
                <w:color w:val="auto"/>
                <w:sz w:val="32"/>
                <w:szCs w:val="32"/>
                <w:highlight w:val="none"/>
                <w:lang w:eastAsia="zh-CN"/>
              </w:rPr>
            </w:pPr>
            <w:r>
              <w:rPr>
                <w:rStyle w:val="33"/>
                <w:rFonts w:hint="eastAsia" w:cs="仿宋"/>
                <w:b/>
                <w:bCs w:val="0"/>
                <w:color w:val="auto"/>
                <w:sz w:val="32"/>
                <w:szCs w:val="32"/>
                <w:highlight w:val="none"/>
              </w:rPr>
              <w:t>正偏离</w:t>
            </w:r>
            <w:r>
              <w:rPr>
                <w:rStyle w:val="33"/>
                <w:rFonts w:hint="eastAsia" w:cs="仿宋"/>
                <w:b/>
                <w:bCs w:val="0"/>
                <w:color w:val="auto"/>
                <w:sz w:val="32"/>
                <w:szCs w:val="32"/>
                <w:highlight w:val="none"/>
                <w:lang w:eastAsia="zh-CN"/>
              </w:rPr>
              <w:t>理由</w:t>
            </w:r>
          </w:p>
        </w:tc>
      </w:tr>
      <w:tr w14:paraId="6BEB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552" w:type="dxa"/>
            <w:vAlign w:val="center"/>
          </w:tcPr>
          <w:p w14:paraId="35B18512">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color w:val="auto"/>
                <w:sz w:val="32"/>
                <w:szCs w:val="32"/>
                <w:highlight w:val="none"/>
              </w:rPr>
            </w:pPr>
          </w:p>
        </w:tc>
        <w:tc>
          <w:tcPr>
            <w:tcW w:w="3402" w:type="dxa"/>
            <w:vAlign w:val="center"/>
          </w:tcPr>
          <w:p w14:paraId="4AF2F17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1673" w:type="dxa"/>
            <w:vAlign w:val="center"/>
          </w:tcPr>
          <w:p w14:paraId="58C6E88C">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2544" w:type="dxa"/>
            <w:vAlign w:val="center"/>
          </w:tcPr>
          <w:p w14:paraId="049FBE15">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r>
      <w:tr w14:paraId="2C7D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552" w:type="dxa"/>
            <w:vAlign w:val="center"/>
          </w:tcPr>
          <w:p w14:paraId="653A929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color w:val="auto"/>
                <w:sz w:val="32"/>
                <w:szCs w:val="32"/>
                <w:highlight w:val="none"/>
              </w:rPr>
            </w:pPr>
          </w:p>
        </w:tc>
        <w:tc>
          <w:tcPr>
            <w:tcW w:w="3402" w:type="dxa"/>
            <w:vAlign w:val="center"/>
          </w:tcPr>
          <w:p w14:paraId="6825429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1673" w:type="dxa"/>
            <w:vAlign w:val="center"/>
          </w:tcPr>
          <w:p w14:paraId="0620B87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2544" w:type="dxa"/>
            <w:vAlign w:val="center"/>
          </w:tcPr>
          <w:p w14:paraId="58CF0BF9">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r>
      <w:tr w14:paraId="4964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552" w:type="dxa"/>
            <w:vAlign w:val="center"/>
          </w:tcPr>
          <w:p w14:paraId="15E9AFD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color w:val="auto"/>
                <w:sz w:val="32"/>
                <w:szCs w:val="32"/>
                <w:highlight w:val="none"/>
              </w:rPr>
            </w:pPr>
          </w:p>
        </w:tc>
        <w:tc>
          <w:tcPr>
            <w:tcW w:w="3402" w:type="dxa"/>
            <w:vAlign w:val="center"/>
          </w:tcPr>
          <w:p w14:paraId="184394B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1673" w:type="dxa"/>
            <w:vAlign w:val="center"/>
          </w:tcPr>
          <w:p w14:paraId="3F299FE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2544" w:type="dxa"/>
            <w:vAlign w:val="center"/>
          </w:tcPr>
          <w:p w14:paraId="2730F0B1">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r>
      <w:tr w14:paraId="7861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552" w:type="dxa"/>
            <w:vAlign w:val="center"/>
          </w:tcPr>
          <w:p w14:paraId="4FA3E4F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w:t>
            </w:r>
          </w:p>
        </w:tc>
        <w:tc>
          <w:tcPr>
            <w:tcW w:w="3402" w:type="dxa"/>
            <w:vAlign w:val="center"/>
          </w:tcPr>
          <w:p w14:paraId="3A4D6A65">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1673" w:type="dxa"/>
            <w:vAlign w:val="center"/>
          </w:tcPr>
          <w:p w14:paraId="018EA60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c>
          <w:tcPr>
            <w:tcW w:w="2544" w:type="dxa"/>
            <w:vAlign w:val="center"/>
          </w:tcPr>
          <w:p w14:paraId="131A027A">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_GB2312" w:hAnsi="仿宋_GB2312" w:eastAsia="仿宋_GB2312" w:cs="仿宋_GB2312"/>
                <w:bCs w:val="0"/>
                <w:color w:val="auto"/>
                <w:sz w:val="32"/>
                <w:szCs w:val="32"/>
                <w:highlight w:val="none"/>
              </w:rPr>
            </w:pPr>
          </w:p>
        </w:tc>
      </w:tr>
    </w:tbl>
    <w:p w14:paraId="719386F0">
      <w:pPr>
        <w:adjustRightInd w:val="0"/>
        <w:snapToGrid w:val="0"/>
        <w:spacing w:line="560" w:lineRule="exact"/>
        <w:rPr>
          <w:rFonts w:hint="eastAsia" w:ascii="仿宋" w:hAnsi="仿宋" w:eastAsia="仿宋" w:cs="仿宋"/>
          <w:bCs w:val="0"/>
          <w:color w:val="auto"/>
          <w:sz w:val="32"/>
          <w:szCs w:val="32"/>
          <w:highlight w:val="none"/>
        </w:rPr>
      </w:pPr>
      <w:r>
        <w:rPr>
          <w:rFonts w:hint="eastAsia" w:ascii="仿宋" w:hAnsi="仿宋" w:eastAsia="仿宋" w:cs="仿宋"/>
          <w:color w:val="auto"/>
          <w:sz w:val="32"/>
          <w:szCs w:val="32"/>
          <w:highlight w:val="none"/>
        </w:rPr>
        <w:t>注：1.按照磋商文件第五部分项目需求中的商务需求的顺序对应逐条应答，</w:t>
      </w:r>
      <w:r>
        <w:rPr>
          <w:rFonts w:hint="eastAsia" w:ascii="仿宋" w:hAnsi="仿宋" w:eastAsia="仿宋" w:cs="仿宋"/>
          <w:bCs w:val="0"/>
          <w:color w:val="auto"/>
          <w:sz w:val="32"/>
          <w:szCs w:val="32"/>
          <w:highlight w:val="none"/>
        </w:rPr>
        <w:t>对照磋商文件要求在“响应程度”栏填写“无偏离”或“正偏离”或“负偏离”。</w:t>
      </w:r>
    </w:p>
    <w:p w14:paraId="0D3BA005">
      <w:pPr>
        <w:adjustRightInd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2.供应商必须据实填写，不得虚假填写，否则将取消其报价或中选。</w:t>
      </w:r>
    </w:p>
    <w:p w14:paraId="5283CF1B">
      <w:pPr>
        <w:spacing w:line="480" w:lineRule="auto"/>
        <w:rPr>
          <w:rFonts w:ascii="仿宋_GB2312" w:hAnsi="仿宋_GB2312" w:eastAsia="仿宋_GB2312" w:cs="仿宋_GB2312"/>
          <w:color w:val="auto"/>
          <w:sz w:val="24"/>
          <w:highlight w:val="none"/>
        </w:rPr>
      </w:pPr>
    </w:p>
    <w:p w14:paraId="38C5BC60">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color w:val="auto"/>
          <w:sz w:val="32"/>
          <w:szCs w:val="32"/>
          <w:highlight w:val="none"/>
        </w:rPr>
      </w:pPr>
      <w:r>
        <w:rPr>
          <w:rFonts w:hint="eastAsia" w:ascii="仿宋" w:hAnsi="仿宋" w:eastAsia="仿宋" w:cs="仿宋"/>
          <w:bCs w:val="0"/>
          <w:color w:val="auto"/>
          <w:sz w:val="32"/>
          <w:szCs w:val="32"/>
          <w:highlight w:val="none"/>
        </w:rPr>
        <w:t>供应商（公章）：</w:t>
      </w:r>
      <w:r>
        <w:rPr>
          <w:rFonts w:hint="eastAsia" w:ascii="仿宋" w:hAnsi="仿宋" w:eastAsia="仿宋" w:cs="仿宋"/>
          <w:bCs w:val="0"/>
          <w:color w:val="auto"/>
          <w:sz w:val="32"/>
          <w:szCs w:val="32"/>
          <w:highlight w:val="none"/>
          <w:u w:val="single"/>
        </w:rPr>
        <w:t xml:space="preserve">                          </w:t>
      </w:r>
      <w:r>
        <w:rPr>
          <w:rFonts w:hint="eastAsia" w:ascii="仿宋" w:hAnsi="仿宋" w:eastAsia="仿宋" w:cs="仿宋"/>
          <w:bCs w:val="0"/>
          <w:color w:val="auto"/>
          <w:sz w:val="32"/>
          <w:szCs w:val="32"/>
          <w:highlight w:val="none"/>
        </w:rPr>
        <w:t xml:space="preserve">         </w:t>
      </w:r>
    </w:p>
    <w:p w14:paraId="6BA01004">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bCs w:val="0"/>
          <w:color w:val="auto"/>
          <w:sz w:val="32"/>
          <w:szCs w:val="32"/>
          <w:highlight w:val="none"/>
        </w:rPr>
      </w:pPr>
      <w:r>
        <w:rPr>
          <w:rFonts w:hint="eastAsia" w:ascii="仿宋" w:hAnsi="仿宋" w:eastAsia="仿宋" w:cs="仿宋"/>
          <w:bCs w:val="0"/>
          <w:color w:val="auto"/>
          <w:sz w:val="32"/>
          <w:szCs w:val="32"/>
          <w:highlight w:val="none"/>
        </w:rPr>
        <w:t>法人代表或其授权人（签字）：</w:t>
      </w:r>
      <w:r>
        <w:rPr>
          <w:rFonts w:hint="eastAsia" w:ascii="仿宋" w:hAnsi="仿宋" w:eastAsia="仿宋" w:cs="仿宋"/>
          <w:bCs w:val="0"/>
          <w:color w:val="auto"/>
          <w:sz w:val="32"/>
          <w:szCs w:val="32"/>
          <w:highlight w:val="none"/>
          <w:u w:val="single"/>
        </w:rPr>
        <w:t xml:space="preserve">              </w:t>
      </w:r>
      <w:r>
        <w:rPr>
          <w:rFonts w:hint="eastAsia" w:ascii="仿宋" w:hAnsi="仿宋" w:eastAsia="仿宋" w:cs="仿宋"/>
          <w:bCs w:val="0"/>
          <w:color w:val="auto"/>
          <w:sz w:val="32"/>
          <w:szCs w:val="32"/>
          <w:highlight w:val="none"/>
        </w:rPr>
        <w:t xml:space="preserve">               </w:t>
      </w:r>
    </w:p>
    <w:p w14:paraId="59D91153">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jc w:val="left"/>
        <w:rPr>
          <w:rFonts w:hint="eastAsia" w:ascii="仿宋" w:hAnsi="仿宋" w:eastAsia="仿宋" w:cs="仿宋"/>
          <w:color w:val="auto"/>
          <w:sz w:val="32"/>
          <w:szCs w:val="32"/>
          <w:highlight w:val="none"/>
          <w:u w:val="single"/>
        </w:rPr>
      </w:pPr>
      <w:r>
        <w:rPr>
          <w:rFonts w:hint="eastAsia" w:ascii="仿宋" w:hAnsi="仿宋" w:eastAsia="仿宋" w:cs="仿宋"/>
          <w:bCs w:val="0"/>
          <w:color w:val="auto"/>
          <w:sz w:val="32"/>
          <w:szCs w:val="32"/>
          <w:highlight w:val="none"/>
        </w:rPr>
        <w:t>日   期：</w:t>
      </w:r>
      <w:r>
        <w:rPr>
          <w:rFonts w:hint="eastAsia" w:ascii="仿宋" w:hAnsi="仿宋" w:eastAsia="仿宋" w:cs="仿宋"/>
          <w:color w:val="auto"/>
          <w:sz w:val="32"/>
          <w:szCs w:val="32"/>
          <w:highlight w:val="none"/>
          <w:u w:val="single"/>
        </w:rPr>
        <w:t xml:space="preserve">                                  </w:t>
      </w:r>
    </w:p>
    <w:p w14:paraId="0C217BDC">
      <w:pPr>
        <w:rPr>
          <w:color w:val="auto"/>
          <w:highlight w:val="none"/>
        </w:rPr>
      </w:pPr>
      <w:r>
        <w:rPr>
          <w:rFonts w:hint="eastAsia"/>
          <w:color w:val="auto"/>
          <w:highlight w:val="none"/>
        </w:rPr>
        <w:br w:type="page"/>
      </w:r>
      <w:bookmarkStart w:id="102" w:name="_Toc40089812"/>
      <w:bookmarkStart w:id="103" w:name="_Toc23941"/>
    </w:p>
    <w:p w14:paraId="3BDCE4C4">
      <w:pPr>
        <w:pStyle w:val="2"/>
        <w:numPr>
          <w:ilvl w:val="0"/>
          <w:numId w:val="5"/>
        </w:numPr>
        <w:spacing w:line="240" w:lineRule="auto"/>
        <w:rPr>
          <w:color w:val="auto"/>
          <w:highlight w:val="none"/>
        </w:rPr>
      </w:pPr>
      <w:bookmarkStart w:id="104" w:name="_Toc21595"/>
      <w:r>
        <w:rPr>
          <w:rFonts w:hint="eastAsia"/>
          <w:color w:val="auto"/>
          <w:highlight w:val="none"/>
        </w:rPr>
        <w:t>资信部分</w:t>
      </w:r>
      <w:bookmarkEnd w:id="104"/>
    </w:p>
    <w:p w14:paraId="2B2C02D4">
      <w:pPr>
        <w:rPr>
          <w:rFonts w:ascii="仿宋_GB2312" w:hAnsi="仿宋_GB2312" w:eastAsia="仿宋_GB2312" w:cs="仿宋_GB2312"/>
          <w:color w:val="auto"/>
          <w:kern w:val="0"/>
          <w:sz w:val="32"/>
          <w:szCs w:val="32"/>
          <w:highlight w:val="none"/>
        </w:rPr>
      </w:pPr>
    </w:p>
    <w:p w14:paraId="0A8B137B">
      <w:pPr>
        <w:pStyle w:val="32"/>
        <w:widowControl/>
        <w:adjustRightInd w:val="0"/>
        <w:snapToGrid w:val="0"/>
        <w:spacing w:line="560" w:lineRule="exact"/>
        <w:ind w:firstLine="640"/>
        <w:jc w:val="left"/>
        <w:textAlignment w:val="center"/>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1.符合《中华人民共和国政府采购法》第二十二条规定，在中国境内注册的具有独立法人资格或个体户（提供营业执照）。</w:t>
      </w:r>
    </w:p>
    <w:p w14:paraId="2388A063">
      <w:pPr>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2.未被“信用中国”网站（www.creditchina.gov.cn）列入失信被执行人、重大税收违法案件当事人名单、政府采购严重失信行为记录名单（提供网上截图加盖公章）或信用报告。</w:t>
      </w:r>
    </w:p>
    <w:p w14:paraId="10A27DF3">
      <w:pPr>
        <w:pStyle w:val="21"/>
        <w:snapToGrid w:val="0"/>
        <w:spacing w:after="0" w:line="56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3</w:t>
      </w:r>
      <w:r>
        <w:rPr>
          <w:rFonts w:hint="eastAsia" w:ascii="仿宋" w:hAnsi="仿宋" w:eastAsia="仿宋" w:cs="仿宋"/>
          <w:color w:val="auto"/>
          <w:kern w:val="0"/>
          <w:sz w:val="32"/>
          <w:szCs w:val="32"/>
          <w:highlight w:val="none"/>
        </w:rPr>
        <w:t>.承诺函(样本)</w:t>
      </w:r>
    </w:p>
    <w:p w14:paraId="1A45FC8C">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color w:val="auto"/>
          <w:sz w:val="32"/>
          <w:szCs w:val="32"/>
          <w:highlight w:val="none"/>
        </w:rPr>
      </w:pPr>
    </w:p>
    <w:p w14:paraId="1369EF33">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承诺函</w:t>
      </w:r>
    </w:p>
    <w:p w14:paraId="4F5D24BD">
      <w:pPr>
        <w:tabs>
          <w:tab w:val="left" w:pos="0"/>
          <w:tab w:val="left" w:pos="720"/>
          <w:tab w:val="left" w:pos="1440"/>
          <w:tab w:val="left" w:pos="2160"/>
          <w:tab w:val="left" w:pos="2880"/>
          <w:tab w:val="left" w:pos="3600"/>
          <w:tab w:val="left" w:pos="4320"/>
        </w:tabs>
        <w:autoSpaceDE w:val="0"/>
        <w:autoSpaceDN w:val="0"/>
        <w:snapToGrid w:val="0"/>
        <w:spacing w:line="560" w:lineRule="exact"/>
        <w:jc w:val="center"/>
        <w:rPr>
          <w:rFonts w:hint="eastAsia" w:ascii="仿宋" w:hAnsi="仿宋" w:eastAsia="仿宋" w:cs="仿宋"/>
          <w:color w:val="auto"/>
          <w:kern w:val="0"/>
          <w:sz w:val="32"/>
          <w:szCs w:val="32"/>
          <w:highlight w:val="none"/>
        </w:rPr>
      </w:pPr>
    </w:p>
    <w:p w14:paraId="2FDD6247">
      <w:pPr>
        <w:tabs>
          <w:tab w:val="left" w:pos="0"/>
          <w:tab w:val="left" w:pos="720"/>
          <w:tab w:val="left" w:pos="1440"/>
          <w:tab w:val="left" w:pos="2160"/>
          <w:tab w:val="left" w:pos="2880"/>
          <w:tab w:val="left" w:pos="3600"/>
          <w:tab w:val="left" w:pos="4320"/>
        </w:tabs>
        <w:autoSpaceDE w:val="0"/>
        <w:autoSpaceDN w:val="0"/>
        <w:snapToGrid w:val="0"/>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致：海南卫生健康职业学院</w:t>
      </w:r>
    </w:p>
    <w:p w14:paraId="65FDADC7">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我单位</w:t>
      </w:r>
      <w:r>
        <w:rPr>
          <w:rFonts w:hint="eastAsia" w:ascii="仿宋" w:hAnsi="仿宋" w:eastAsia="仿宋" w:cs="仿宋"/>
          <w:color w:val="auto"/>
          <w:kern w:val="0"/>
          <w:sz w:val="32"/>
          <w:szCs w:val="32"/>
          <w:highlight w:val="none"/>
        </w:rPr>
        <w:t>不是联合体参与报价，我单位承诺成交后不转包、不分包</w:t>
      </w:r>
      <w:r>
        <w:rPr>
          <w:rFonts w:hint="eastAsia" w:ascii="仿宋" w:hAnsi="仿宋" w:eastAsia="仿宋" w:cs="仿宋"/>
          <w:color w:val="auto"/>
          <w:sz w:val="32"/>
          <w:szCs w:val="32"/>
          <w:highlight w:val="none"/>
        </w:rPr>
        <w:t>，并承担因此引起的一切后果。</w:t>
      </w:r>
    </w:p>
    <w:p w14:paraId="461254F4">
      <w:pPr>
        <w:snapToGrid w:val="0"/>
        <w:spacing w:line="560" w:lineRule="exact"/>
        <w:rPr>
          <w:rFonts w:hint="eastAsia" w:ascii="仿宋" w:hAnsi="仿宋" w:eastAsia="仿宋" w:cs="仿宋"/>
          <w:color w:val="auto"/>
          <w:sz w:val="32"/>
          <w:szCs w:val="32"/>
          <w:highlight w:val="none"/>
        </w:rPr>
      </w:pPr>
    </w:p>
    <w:p w14:paraId="7DCCE6FF">
      <w:pPr>
        <w:snapToGrid w:val="0"/>
        <w:spacing w:line="560" w:lineRule="exact"/>
        <w:rPr>
          <w:rFonts w:hint="eastAsia" w:ascii="仿宋" w:hAnsi="仿宋" w:eastAsia="仿宋" w:cs="仿宋"/>
          <w:color w:val="auto"/>
          <w:sz w:val="32"/>
          <w:szCs w:val="32"/>
          <w:highlight w:val="none"/>
        </w:rPr>
      </w:pPr>
    </w:p>
    <w:p w14:paraId="50996CD0">
      <w:pPr>
        <w:snapToGrid w:val="0"/>
        <w:spacing w:line="560" w:lineRule="exact"/>
        <w:rPr>
          <w:rFonts w:hint="eastAsia" w:ascii="仿宋" w:hAnsi="仿宋" w:eastAsia="仿宋" w:cs="仿宋"/>
          <w:color w:val="auto"/>
          <w:sz w:val="32"/>
          <w:szCs w:val="32"/>
          <w:highlight w:val="none"/>
        </w:rPr>
      </w:pPr>
    </w:p>
    <w:p w14:paraId="7FBE872A">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供应商（公章）：</w:t>
      </w:r>
      <w:r>
        <w:rPr>
          <w:rFonts w:hint="eastAsia" w:ascii="仿宋" w:hAnsi="仿宋" w:eastAsia="仿宋" w:cs="仿宋"/>
          <w:color w:val="auto"/>
          <w:sz w:val="32"/>
          <w:szCs w:val="32"/>
          <w:highlight w:val="none"/>
          <w:u w:val="single"/>
        </w:rPr>
        <w:t xml:space="preserve">                     </w:t>
      </w:r>
    </w:p>
    <w:p w14:paraId="3AE2121B">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法人代表或其授权人（签字）：</w:t>
      </w:r>
      <w:r>
        <w:rPr>
          <w:rFonts w:hint="eastAsia" w:ascii="仿宋" w:hAnsi="仿宋" w:eastAsia="仿宋" w:cs="仿宋"/>
          <w:color w:val="auto"/>
          <w:sz w:val="32"/>
          <w:szCs w:val="32"/>
          <w:highlight w:val="none"/>
          <w:u w:val="single"/>
        </w:rPr>
        <w:t xml:space="preserve">               </w:t>
      </w:r>
    </w:p>
    <w:p w14:paraId="079C2501">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日   期：</w:t>
      </w:r>
      <w:r>
        <w:rPr>
          <w:rFonts w:hint="eastAsia" w:ascii="仿宋" w:hAnsi="仿宋" w:eastAsia="仿宋" w:cs="仿宋"/>
          <w:color w:val="auto"/>
          <w:sz w:val="32"/>
          <w:szCs w:val="32"/>
          <w:highlight w:val="none"/>
          <w:u w:val="single"/>
        </w:rPr>
        <w:t xml:space="preserve">                   </w:t>
      </w:r>
    </w:p>
    <w:p w14:paraId="12F22E16">
      <w:pPr>
        <w:rPr>
          <w:rFonts w:hint="eastAsia" w:ascii="仿宋" w:hAnsi="仿宋" w:eastAsia="仿宋" w:cs="仿宋"/>
          <w:color w:val="auto"/>
          <w:highlight w:val="none"/>
        </w:rPr>
      </w:pPr>
    </w:p>
    <w:p w14:paraId="24B51EDC">
      <w:pPr>
        <w:rPr>
          <w:rFonts w:hint="eastAsia" w:ascii="仿宋" w:hAnsi="仿宋" w:eastAsia="仿宋" w:cs="仿宋"/>
          <w:color w:val="auto"/>
          <w:kern w:val="0"/>
          <w:sz w:val="32"/>
          <w:szCs w:val="32"/>
          <w:highlight w:val="none"/>
        </w:rPr>
      </w:pPr>
    </w:p>
    <w:p w14:paraId="6EB9DC95">
      <w:pPr>
        <w:rPr>
          <w:rFonts w:hint="eastAsia" w:ascii="仿宋" w:hAnsi="仿宋" w:eastAsia="仿宋" w:cs="仿宋"/>
          <w:color w:val="auto"/>
          <w:highlight w:val="none"/>
        </w:rPr>
      </w:pPr>
    </w:p>
    <w:p w14:paraId="1E6A64A2">
      <w:pPr>
        <w:rPr>
          <w:rFonts w:hint="eastAsia" w:ascii="仿宋" w:hAnsi="仿宋" w:eastAsia="仿宋" w:cs="仿宋"/>
          <w:color w:val="auto"/>
          <w:highlight w:val="none"/>
        </w:rPr>
      </w:pPr>
    </w:p>
    <w:p w14:paraId="6C008EB5">
      <w:pPr>
        <w:rPr>
          <w:rFonts w:hint="eastAsia" w:ascii="仿宋" w:hAnsi="仿宋" w:eastAsia="仿宋" w:cs="仿宋"/>
          <w:color w:val="auto"/>
          <w:highlight w:val="none"/>
        </w:rPr>
      </w:pPr>
    </w:p>
    <w:p w14:paraId="15E3B058">
      <w:pPr>
        <w:rPr>
          <w:color w:val="auto"/>
          <w:highlight w:val="none"/>
        </w:rPr>
      </w:pPr>
    </w:p>
    <w:p w14:paraId="33D9F1BC">
      <w:pPr>
        <w:rPr>
          <w:color w:val="auto"/>
          <w:highlight w:val="none"/>
        </w:rPr>
      </w:pPr>
    </w:p>
    <w:p w14:paraId="02BCF606">
      <w:pPr>
        <w:rPr>
          <w:color w:val="auto"/>
          <w:highlight w:val="none"/>
        </w:rPr>
      </w:pPr>
    </w:p>
    <w:p w14:paraId="09375EC2">
      <w:pPr>
        <w:rPr>
          <w:color w:val="auto"/>
          <w:highlight w:val="none"/>
        </w:rPr>
      </w:pPr>
    </w:p>
    <w:p w14:paraId="7962DE05">
      <w:pPr>
        <w:pStyle w:val="2"/>
        <w:numPr>
          <w:ilvl w:val="0"/>
          <w:numId w:val="5"/>
        </w:numPr>
        <w:spacing w:line="240" w:lineRule="auto"/>
        <w:rPr>
          <w:color w:val="auto"/>
          <w:highlight w:val="none"/>
        </w:rPr>
      </w:pPr>
      <w:bookmarkStart w:id="105" w:name="_Toc28212"/>
      <w:r>
        <w:rPr>
          <w:rFonts w:hint="eastAsia"/>
          <w:color w:val="auto"/>
          <w:highlight w:val="none"/>
        </w:rPr>
        <w:t>技术部分</w:t>
      </w:r>
      <w:bookmarkEnd w:id="105"/>
    </w:p>
    <w:p w14:paraId="0ECC9848">
      <w:pPr>
        <w:rPr>
          <w:rFonts w:ascii="仿宋_GB2312" w:hAnsi="仿宋_GB2312" w:eastAsia="仿宋_GB2312" w:cs="仿宋_GB2312"/>
          <w:b/>
          <w:color w:val="auto"/>
          <w:kern w:val="0"/>
          <w:sz w:val="36"/>
          <w:szCs w:val="36"/>
          <w:highlight w:val="none"/>
        </w:rPr>
      </w:pPr>
      <w:bookmarkStart w:id="106" w:name="_Toc248"/>
    </w:p>
    <w:bookmarkEnd w:id="106"/>
    <w:p w14:paraId="7A6D4A59">
      <w:pPr>
        <w:pStyle w:val="3"/>
        <w:spacing w:before="120"/>
        <w:rPr>
          <w:rFonts w:hint="eastAsia" w:ascii="仿宋_GB2312" w:hAnsi="仿宋_GB2312" w:eastAsia="仿宋_GB2312" w:cs="仿宋_GB2312"/>
        </w:rPr>
      </w:pPr>
      <w:r>
        <w:rPr>
          <w:rFonts w:hint="eastAsia" w:ascii="仿宋_GB2312" w:hAnsi="仿宋_GB2312" w:eastAsia="仿宋_GB2312" w:cs="仿宋_GB2312"/>
        </w:rPr>
        <w:t>附件5</w:t>
      </w:r>
    </w:p>
    <w:p w14:paraId="7CBC6977">
      <w:pPr>
        <w:pStyle w:val="10"/>
        <w:spacing w:before="0" w:after="0"/>
        <w:ind w:right="378" w:rightChars="135"/>
        <w:jc w:val="center"/>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rPr>
        <w:t>技术响应</w:t>
      </w:r>
      <w:r>
        <w:rPr>
          <w:rFonts w:hint="eastAsia" w:ascii="仿宋" w:hAnsi="仿宋" w:eastAsia="仿宋" w:cs="仿宋"/>
          <w:b/>
          <w:color w:val="auto"/>
          <w:sz w:val="36"/>
          <w:szCs w:val="36"/>
          <w:highlight w:val="none"/>
          <w:lang w:val="en-US" w:eastAsia="zh-CN"/>
        </w:rPr>
        <w:t>表</w:t>
      </w:r>
    </w:p>
    <w:tbl>
      <w:tblPr>
        <w:tblStyle w:val="25"/>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2208"/>
        <w:gridCol w:w="2181"/>
        <w:gridCol w:w="1565"/>
        <w:gridCol w:w="1850"/>
      </w:tblGrid>
      <w:tr w14:paraId="1C7B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024" w:type="dxa"/>
            <w:vAlign w:val="center"/>
          </w:tcPr>
          <w:p w14:paraId="443CB1C3">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b/>
                <w:bCs w:val="0"/>
                <w:color w:val="auto"/>
                <w:sz w:val="32"/>
                <w:szCs w:val="32"/>
                <w:highlight w:val="none"/>
              </w:rPr>
            </w:pPr>
            <w:r>
              <w:rPr>
                <w:rStyle w:val="33"/>
                <w:rFonts w:hint="eastAsia" w:cs="仿宋"/>
                <w:b/>
                <w:bCs w:val="0"/>
                <w:color w:val="auto"/>
                <w:sz w:val="32"/>
                <w:szCs w:val="32"/>
                <w:highlight w:val="none"/>
              </w:rPr>
              <w:t>项目</w:t>
            </w:r>
          </w:p>
        </w:tc>
        <w:tc>
          <w:tcPr>
            <w:tcW w:w="2208" w:type="dxa"/>
            <w:vAlign w:val="center"/>
          </w:tcPr>
          <w:p w14:paraId="5D11641D">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b/>
                <w:bCs w:val="0"/>
                <w:color w:val="auto"/>
                <w:sz w:val="32"/>
                <w:szCs w:val="32"/>
                <w:highlight w:val="none"/>
              </w:rPr>
            </w:pPr>
            <w:r>
              <w:rPr>
                <w:rStyle w:val="33"/>
                <w:rFonts w:hint="eastAsia" w:cs="仿宋"/>
                <w:b/>
                <w:bCs w:val="0"/>
                <w:color w:val="auto"/>
                <w:sz w:val="32"/>
                <w:szCs w:val="32"/>
                <w:highlight w:val="none"/>
              </w:rPr>
              <w:t>磋商文件要求</w:t>
            </w:r>
          </w:p>
        </w:tc>
        <w:tc>
          <w:tcPr>
            <w:tcW w:w="2181" w:type="dxa"/>
            <w:vAlign w:val="center"/>
          </w:tcPr>
          <w:p w14:paraId="79B5E32D">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b/>
                <w:bCs w:val="0"/>
                <w:color w:val="auto"/>
                <w:sz w:val="32"/>
                <w:szCs w:val="32"/>
                <w:highlight w:val="none"/>
              </w:rPr>
            </w:pPr>
            <w:r>
              <w:rPr>
                <w:rStyle w:val="33"/>
                <w:rFonts w:hint="eastAsia" w:cs="仿宋"/>
                <w:b/>
                <w:bCs w:val="0"/>
                <w:color w:val="auto"/>
                <w:sz w:val="32"/>
                <w:szCs w:val="32"/>
                <w:highlight w:val="none"/>
              </w:rPr>
              <w:t>报价文件响应情况</w:t>
            </w:r>
          </w:p>
        </w:tc>
        <w:tc>
          <w:tcPr>
            <w:tcW w:w="1565" w:type="dxa"/>
            <w:vAlign w:val="center"/>
          </w:tcPr>
          <w:p w14:paraId="4B3D0AD2">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b/>
                <w:bCs w:val="0"/>
                <w:color w:val="auto"/>
                <w:sz w:val="32"/>
                <w:szCs w:val="32"/>
                <w:highlight w:val="none"/>
              </w:rPr>
            </w:pPr>
            <w:r>
              <w:rPr>
                <w:rStyle w:val="33"/>
                <w:rFonts w:hint="eastAsia" w:cs="仿宋"/>
                <w:b/>
                <w:bCs w:val="0"/>
                <w:color w:val="auto"/>
                <w:sz w:val="32"/>
                <w:szCs w:val="32"/>
                <w:highlight w:val="none"/>
              </w:rPr>
              <w:t>响应程度</w:t>
            </w:r>
          </w:p>
        </w:tc>
        <w:tc>
          <w:tcPr>
            <w:tcW w:w="1850" w:type="dxa"/>
            <w:vAlign w:val="center"/>
          </w:tcPr>
          <w:p w14:paraId="61647012">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eastAsia" w:eastAsia="仿宋" w:cs="仿宋"/>
                <w:b/>
                <w:bCs w:val="0"/>
                <w:color w:val="auto"/>
                <w:sz w:val="32"/>
                <w:szCs w:val="32"/>
                <w:highlight w:val="none"/>
                <w:lang w:eastAsia="zh-CN"/>
              </w:rPr>
            </w:pPr>
            <w:r>
              <w:rPr>
                <w:rStyle w:val="33"/>
                <w:rFonts w:hint="eastAsia" w:cs="仿宋"/>
                <w:b/>
                <w:bCs w:val="0"/>
                <w:color w:val="auto"/>
                <w:sz w:val="32"/>
                <w:szCs w:val="32"/>
                <w:highlight w:val="none"/>
              </w:rPr>
              <w:t>正偏离</w:t>
            </w:r>
            <w:r>
              <w:rPr>
                <w:rStyle w:val="33"/>
                <w:rFonts w:hint="eastAsia" w:cs="仿宋"/>
                <w:b/>
                <w:bCs w:val="0"/>
                <w:color w:val="auto"/>
                <w:sz w:val="32"/>
                <w:szCs w:val="32"/>
                <w:highlight w:val="none"/>
                <w:lang w:eastAsia="zh-CN"/>
              </w:rPr>
              <w:t>理由</w:t>
            </w:r>
          </w:p>
        </w:tc>
      </w:tr>
      <w:tr w14:paraId="4A9F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024" w:type="dxa"/>
            <w:vAlign w:val="center"/>
          </w:tcPr>
          <w:p w14:paraId="1C461C69">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c>
          <w:tcPr>
            <w:tcW w:w="2208" w:type="dxa"/>
            <w:vAlign w:val="center"/>
          </w:tcPr>
          <w:p w14:paraId="4FABBDA5">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eastAsia" w:eastAsia="仿宋" w:cs="仿宋"/>
                <w:color w:val="auto"/>
                <w:sz w:val="32"/>
                <w:szCs w:val="32"/>
                <w:highlight w:val="none"/>
                <w:lang w:val="en-US" w:eastAsia="zh-CN"/>
              </w:rPr>
            </w:pPr>
          </w:p>
        </w:tc>
        <w:tc>
          <w:tcPr>
            <w:tcW w:w="2181" w:type="dxa"/>
            <w:vAlign w:val="center"/>
          </w:tcPr>
          <w:p w14:paraId="1B29904D">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c>
          <w:tcPr>
            <w:tcW w:w="1565" w:type="dxa"/>
            <w:vAlign w:val="center"/>
          </w:tcPr>
          <w:p w14:paraId="04172E57">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c>
          <w:tcPr>
            <w:tcW w:w="1850" w:type="dxa"/>
          </w:tcPr>
          <w:p w14:paraId="75579ABF">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r>
      <w:tr w14:paraId="34F2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24" w:type="dxa"/>
            <w:vAlign w:val="center"/>
          </w:tcPr>
          <w:p w14:paraId="65D1583E">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c>
          <w:tcPr>
            <w:tcW w:w="2208" w:type="dxa"/>
            <w:vAlign w:val="center"/>
          </w:tcPr>
          <w:p w14:paraId="216DB59A">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c>
          <w:tcPr>
            <w:tcW w:w="2181" w:type="dxa"/>
            <w:vAlign w:val="center"/>
          </w:tcPr>
          <w:p w14:paraId="50AC8CCF">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c>
          <w:tcPr>
            <w:tcW w:w="1565" w:type="dxa"/>
            <w:vAlign w:val="center"/>
          </w:tcPr>
          <w:p w14:paraId="54A71414">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c>
          <w:tcPr>
            <w:tcW w:w="1850" w:type="dxa"/>
          </w:tcPr>
          <w:p w14:paraId="2473DFB6">
            <w:pPr>
              <w:keepNext w:val="0"/>
              <w:keepLines w:val="0"/>
              <w:widowControl/>
              <w:suppressLineNumbers w:val="0"/>
              <w:autoSpaceDE w:val="0"/>
              <w:autoSpaceDN w:val="0"/>
              <w:adjustRightInd w:val="0"/>
              <w:spacing w:before="50" w:beforeAutospacing="0" w:after="50" w:afterAutospacing="0" w:line="440" w:lineRule="exact"/>
              <w:ind w:left="0" w:right="0"/>
              <w:jc w:val="center"/>
              <w:rPr>
                <w:rStyle w:val="33"/>
                <w:rFonts w:hint="default" w:cs="仿宋"/>
                <w:color w:val="auto"/>
                <w:sz w:val="32"/>
                <w:szCs w:val="32"/>
                <w:highlight w:val="none"/>
              </w:rPr>
            </w:pPr>
          </w:p>
        </w:tc>
      </w:tr>
      <w:tr w14:paraId="6A3C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24" w:type="dxa"/>
            <w:vAlign w:val="center"/>
          </w:tcPr>
          <w:p w14:paraId="4BE6FA9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 w:hAnsi="仿宋" w:eastAsia="仿宋" w:cs="仿宋"/>
                <w:bCs w:val="0"/>
                <w:color w:val="auto"/>
                <w:sz w:val="32"/>
                <w:szCs w:val="32"/>
                <w:highlight w:val="none"/>
              </w:rPr>
            </w:pPr>
          </w:p>
        </w:tc>
        <w:tc>
          <w:tcPr>
            <w:tcW w:w="2208" w:type="dxa"/>
            <w:vAlign w:val="center"/>
          </w:tcPr>
          <w:p w14:paraId="71035392">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2181" w:type="dxa"/>
            <w:vAlign w:val="center"/>
          </w:tcPr>
          <w:p w14:paraId="398C5CB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1565" w:type="dxa"/>
            <w:vAlign w:val="center"/>
          </w:tcPr>
          <w:p w14:paraId="2B70BEEB">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1850" w:type="dxa"/>
          </w:tcPr>
          <w:p w14:paraId="62C16E4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r>
      <w:tr w14:paraId="26DA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024" w:type="dxa"/>
            <w:vAlign w:val="center"/>
          </w:tcPr>
          <w:p w14:paraId="3997C6A0">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 w:hAnsi="仿宋" w:eastAsia="仿宋" w:cs="仿宋"/>
                <w:bCs w:val="0"/>
                <w:color w:val="auto"/>
                <w:sz w:val="32"/>
                <w:szCs w:val="32"/>
                <w:highlight w:val="none"/>
              </w:rPr>
            </w:pPr>
          </w:p>
        </w:tc>
        <w:tc>
          <w:tcPr>
            <w:tcW w:w="2208" w:type="dxa"/>
            <w:vAlign w:val="center"/>
          </w:tcPr>
          <w:p w14:paraId="6386331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2181" w:type="dxa"/>
            <w:vAlign w:val="center"/>
          </w:tcPr>
          <w:p w14:paraId="2131ADC1">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1565" w:type="dxa"/>
            <w:vAlign w:val="center"/>
          </w:tcPr>
          <w:p w14:paraId="68DDEB1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1850" w:type="dxa"/>
          </w:tcPr>
          <w:p w14:paraId="1EAD385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r>
      <w:tr w14:paraId="4E63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024" w:type="dxa"/>
            <w:vAlign w:val="center"/>
          </w:tcPr>
          <w:p w14:paraId="18E2941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jc w:val="center"/>
              <w:rPr>
                <w:rFonts w:hint="default" w:ascii="仿宋" w:hAnsi="仿宋" w:eastAsia="仿宋" w:cs="仿宋"/>
                <w:bCs w:val="0"/>
                <w:color w:val="auto"/>
                <w:sz w:val="32"/>
                <w:szCs w:val="32"/>
                <w:highlight w:val="none"/>
              </w:rPr>
            </w:pPr>
          </w:p>
        </w:tc>
        <w:tc>
          <w:tcPr>
            <w:tcW w:w="2208" w:type="dxa"/>
            <w:vAlign w:val="center"/>
          </w:tcPr>
          <w:p w14:paraId="40EFACA4">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2181" w:type="dxa"/>
            <w:vAlign w:val="center"/>
          </w:tcPr>
          <w:p w14:paraId="1FBD7AC3">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1565" w:type="dxa"/>
            <w:vAlign w:val="center"/>
          </w:tcPr>
          <w:p w14:paraId="6D398FC1">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c>
          <w:tcPr>
            <w:tcW w:w="1850" w:type="dxa"/>
          </w:tcPr>
          <w:p w14:paraId="05A825E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pacing w:before="0" w:beforeAutospacing="0" w:after="0" w:afterAutospacing="0" w:line="600" w:lineRule="exact"/>
              <w:ind w:left="0" w:right="0"/>
              <w:rPr>
                <w:rFonts w:hint="default" w:ascii="仿宋" w:hAnsi="仿宋" w:eastAsia="仿宋" w:cs="仿宋"/>
                <w:bCs w:val="0"/>
                <w:color w:val="auto"/>
                <w:sz w:val="32"/>
                <w:szCs w:val="32"/>
                <w:highlight w:val="none"/>
              </w:rPr>
            </w:pPr>
          </w:p>
        </w:tc>
      </w:tr>
    </w:tbl>
    <w:p w14:paraId="2B30C9B6">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bCs w:val="0"/>
          <w:color w:val="auto"/>
          <w:sz w:val="32"/>
          <w:szCs w:val="32"/>
          <w:highlight w:val="none"/>
        </w:rPr>
      </w:pPr>
      <w:r>
        <w:rPr>
          <w:rFonts w:hint="eastAsia" w:ascii="仿宋" w:hAnsi="仿宋" w:eastAsia="仿宋" w:cs="仿宋"/>
          <w:bCs w:val="0"/>
          <w:color w:val="auto"/>
          <w:sz w:val="32"/>
          <w:szCs w:val="32"/>
          <w:highlight w:val="none"/>
        </w:rPr>
        <w:t>注：</w:t>
      </w:r>
    </w:p>
    <w:p w14:paraId="4FA581AD">
      <w:pPr>
        <w:adjustRightInd w:val="0"/>
        <w:snapToGrid w:val="0"/>
        <w:spacing w:line="560" w:lineRule="exact"/>
        <w:ind w:firstLine="640" w:firstLineChars="200"/>
        <w:rPr>
          <w:rFonts w:hint="eastAsia" w:ascii="仿宋" w:hAnsi="仿宋" w:eastAsia="仿宋" w:cs="仿宋"/>
          <w:bCs w:val="0"/>
          <w:color w:val="auto"/>
          <w:sz w:val="32"/>
          <w:szCs w:val="32"/>
          <w:highlight w:val="none"/>
        </w:rPr>
      </w:pPr>
      <w:r>
        <w:rPr>
          <w:rFonts w:hint="eastAsia" w:ascii="仿宋" w:hAnsi="仿宋" w:eastAsia="仿宋" w:cs="仿宋"/>
          <w:color w:val="auto"/>
          <w:sz w:val="32"/>
          <w:szCs w:val="32"/>
          <w:highlight w:val="none"/>
        </w:rPr>
        <w:t>1.按照磋商文件第五部分项目需求</w:t>
      </w:r>
      <w:r>
        <w:rPr>
          <w:rFonts w:hint="eastAsia" w:ascii="仿宋" w:hAnsi="仿宋" w:eastAsia="仿宋" w:cs="仿宋"/>
          <w:color w:val="auto"/>
          <w:sz w:val="32"/>
          <w:szCs w:val="32"/>
          <w:highlight w:val="none"/>
          <w:lang w:eastAsia="zh-CN"/>
        </w:rPr>
        <w:t>中的技术需求</w:t>
      </w:r>
      <w:r>
        <w:rPr>
          <w:rFonts w:hint="eastAsia" w:ascii="仿宋" w:hAnsi="仿宋" w:eastAsia="仿宋" w:cs="仿宋"/>
          <w:color w:val="auto"/>
          <w:sz w:val="32"/>
          <w:szCs w:val="32"/>
          <w:highlight w:val="none"/>
        </w:rPr>
        <w:t>顺序对应逐条应答，</w:t>
      </w:r>
      <w:r>
        <w:rPr>
          <w:rFonts w:hint="eastAsia" w:ascii="仿宋" w:hAnsi="仿宋" w:eastAsia="仿宋" w:cs="仿宋"/>
          <w:bCs w:val="0"/>
          <w:color w:val="auto"/>
          <w:sz w:val="32"/>
          <w:szCs w:val="32"/>
          <w:highlight w:val="none"/>
        </w:rPr>
        <w:t>对照磋商文件要求在“响应程度”栏填写“无偏离”或“正偏离”或“负偏离”。</w:t>
      </w:r>
    </w:p>
    <w:p w14:paraId="61C672CD">
      <w:pPr>
        <w:tabs>
          <w:tab w:val="left" w:pos="0"/>
          <w:tab w:val="left" w:pos="720"/>
          <w:tab w:val="left" w:pos="1440"/>
          <w:tab w:val="left" w:pos="2160"/>
          <w:tab w:val="left" w:pos="2880"/>
          <w:tab w:val="left" w:pos="3600"/>
          <w:tab w:val="left" w:pos="4320"/>
        </w:tabs>
        <w:autoSpaceDE w:val="0"/>
        <w:autoSpaceDN w:val="0"/>
        <w:snapToGrid w:val="0"/>
        <w:spacing w:line="560" w:lineRule="exact"/>
        <w:ind w:firstLine="640" w:firstLineChars="200"/>
        <w:rPr>
          <w:rFonts w:hint="eastAsia" w:ascii="仿宋" w:hAnsi="仿宋" w:eastAsia="仿宋" w:cs="仿宋"/>
          <w:bCs w:val="0"/>
          <w:color w:val="auto"/>
          <w:sz w:val="32"/>
          <w:szCs w:val="32"/>
          <w:highlight w:val="none"/>
        </w:rPr>
      </w:pPr>
      <w:r>
        <w:rPr>
          <w:rFonts w:hint="eastAsia" w:ascii="仿宋" w:hAnsi="仿宋" w:eastAsia="仿宋" w:cs="仿宋"/>
          <w:bCs w:val="0"/>
          <w:color w:val="auto"/>
          <w:sz w:val="32"/>
          <w:szCs w:val="32"/>
          <w:highlight w:val="none"/>
        </w:rPr>
        <w:t>2.不填写对应指标，而只填写响应情况或弄虚作假、前后不一致的，其报价文件有可能被拒绝。</w:t>
      </w:r>
    </w:p>
    <w:p w14:paraId="0B2DA031">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供应商（公章）：</w:t>
      </w:r>
      <w:r>
        <w:rPr>
          <w:rFonts w:hint="eastAsia" w:ascii="仿宋" w:hAnsi="仿宋" w:eastAsia="仿宋" w:cs="仿宋"/>
          <w:color w:val="auto"/>
          <w:sz w:val="32"/>
          <w:szCs w:val="32"/>
          <w:highlight w:val="none"/>
          <w:u w:val="single"/>
        </w:rPr>
        <w:t xml:space="preserve">                           </w:t>
      </w:r>
    </w:p>
    <w:p w14:paraId="4D9E9482">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法人代表或其授权人（签字）：</w:t>
      </w:r>
      <w:r>
        <w:rPr>
          <w:rFonts w:hint="eastAsia" w:ascii="仿宋" w:hAnsi="仿宋" w:eastAsia="仿宋" w:cs="仿宋"/>
          <w:color w:val="auto"/>
          <w:sz w:val="32"/>
          <w:szCs w:val="32"/>
          <w:highlight w:val="none"/>
          <w:u w:val="single"/>
        </w:rPr>
        <w:t xml:space="preserve">               </w:t>
      </w:r>
    </w:p>
    <w:p w14:paraId="34FFECFF">
      <w:pPr>
        <w:snapToGrid w:val="0"/>
        <w:spacing w:line="560" w:lineRule="exact"/>
        <w:ind w:firstLine="480"/>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日   期：</w:t>
      </w:r>
      <w:r>
        <w:rPr>
          <w:rFonts w:hint="eastAsia" w:ascii="仿宋" w:hAnsi="仿宋" w:eastAsia="仿宋" w:cs="仿宋"/>
          <w:color w:val="auto"/>
          <w:sz w:val="32"/>
          <w:szCs w:val="32"/>
          <w:highlight w:val="none"/>
          <w:u w:val="single"/>
        </w:rPr>
        <w:t xml:space="preserve">                                 </w:t>
      </w:r>
    </w:p>
    <w:p w14:paraId="675DAA43">
      <w:pPr>
        <w:spacing w:line="480" w:lineRule="auto"/>
        <w:ind w:firstLine="480"/>
        <w:rPr>
          <w:rFonts w:ascii="仿宋_GB2312" w:hAnsi="仿宋_GB2312" w:eastAsia="仿宋_GB2312" w:cs="仿宋_GB2312"/>
          <w:color w:val="auto"/>
          <w:sz w:val="24"/>
          <w:highlight w:val="none"/>
        </w:rPr>
      </w:pPr>
    </w:p>
    <w:p w14:paraId="16ACC280">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br w:type="page"/>
      </w:r>
    </w:p>
    <w:p w14:paraId="75C670E0">
      <w:pPr>
        <w:jc w:val="center"/>
        <w:rPr>
          <w:rFonts w:hint="eastAsia" w:ascii="仿宋" w:hAnsi="仿宋" w:eastAsia="仿宋" w:cs="仿宋"/>
          <w:color w:val="auto"/>
          <w:sz w:val="44"/>
          <w:szCs w:val="44"/>
          <w:highlight w:val="none"/>
        </w:rPr>
      </w:pPr>
      <w:bookmarkStart w:id="107" w:name="_Toc25388"/>
      <w:r>
        <w:rPr>
          <w:rFonts w:hint="eastAsia" w:ascii="仿宋" w:hAnsi="仿宋" w:eastAsia="仿宋" w:cs="仿宋"/>
          <w:color w:val="auto"/>
          <w:sz w:val="44"/>
          <w:szCs w:val="44"/>
          <w:highlight w:val="none"/>
        </w:rPr>
        <w:t>商务及技术证明材料</w:t>
      </w:r>
    </w:p>
    <w:p w14:paraId="18531EED">
      <w:pPr>
        <w:pStyle w:val="13"/>
        <w:spacing w:before="84"/>
        <w:jc w:val="left"/>
        <w:rPr>
          <w:rFonts w:hint="eastAsia" w:ascii="仿宋" w:hAnsi="仿宋" w:eastAsia="仿宋" w:cs="仿宋"/>
          <w:color w:val="auto"/>
          <w:spacing w:val="-2"/>
          <w:sz w:val="32"/>
          <w:szCs w:val="32"/>
          <w:highlight w:val="none"/>
        </w:rPr>
      </w:pPr>
    </w:p>
    <w:p w14:paraId="4CC248DA">
      <w:pPr>
        <w:pStyle w:val="13"/>
        <w:spacing w:before="84"/>
        <w:jc w:val="left"/>
        <w:rPr>
          <w:rFonts w:hint="eastAsia" w:ascii="仿宋" w:hAnsi="仿宋" w:eastAsia="仿宋" w:cs="仿宋"/>
          <w:color w:val="auto"/>
          <w:spacing w:val="-2"/>
          <w:sz w:val="32"/>
          <w:szCs w:val="32"/>
          <w:highlight w:val="none"/>
        </w:rPr>
      </w:pPr>
      <w:r>
        <w:rPr>
          <w:rFonts w:hint="eastAsia" w:ascii="仿宋" w:hAnsi="仿宋" w:eastAsia="仿宋" w:cs="仿宋"/>
          <w:color w:val="auto"/>
          <w:spacing w:val="-2"/>
          <w:sz w:val="32"/>
          <w:szCs w:val="32"/>
          <w:highlight w:val="none"/>
        </w:rPr>
        <w:t>（供应商根据竞争性磋商文件第三部分附表 2评分细则表中的要求提供，格式自拟）</w:t>
      </w:r>
    </w:p>
    <w:p w14:paraId="4312DF3E">
      <w:pPr>
        <w:rPr>
          <w:rFonts w:hint="eastAsia" w:ascii="仿宋" w:hAnsi="仿宋" w:eastAsia="仿宋" w:cs="仿宋"/>
          <w:color w:val="auto"/>
          <w:sz w:val="32"/>
          <w:szCs w:val="32"/>
          <w:highlight w:val="none"/>
        </w:rPr>
      </w:pPr>
    </w:p>
    <w:p w14:paraId="7091E8B0">
      <w:pPr>
        <w:rPr>
          <w:color w:val="auto"/>
          <w:highlight w:val="none"/>
        </w:rPr>
      </w:pPr>
    </w:p>
    <w:p w14:paraId="5932EEF8">
      <w:pPr>
        <w:rPr>
          <w:color w:val="auto"/>
          <w:highlight w:val="none"/>
        </w:rPr>
      </w:pPr>
    </w:p>
    <w:p w14:paraId="5468EE96">
      <w:pPr>
        <w:rPr>
          <w:color w:val="auto"/>
          <w:highlight w:val="none"/>
        </w:rPr>
      </w:pPr>
    </w:p>
    <w:p w14:paraId="264075D7">
      <w:pPr>
        <w:rPr>
          <w:color w:val="auto"/>
          <w:highlight w:val="none"/>
        </w:rPr>
      </w:pPr>
    </w:p>
    <w:p w14:paraId="3B9D50E8">
      <w:pPr>
        <w:rPr>
          <w:color w:val="auto"/>
          <w:highlight w:val="none"/>
        </w:rPr>
      </w:pPr>
    </w:p>
    <w:p w14:paraId="16B6318C">
      <w:pPr>
        <w:rPr>
          <w:color w:val="auto"/>
          <w:highlight w:val="none"/>
        </w:rPr>
      </w:pPr>
    </w:p>
    <w:p w14:paraId="06AEA25C">
      <w:pPr>
        <w:rPr>
          <w:color w:val="auto"/>
          <w:highlight w:val="none"/>
        </w:rPr>
      </w:pPr>
    </w:p>
    <w:p w14:paraId="4E48845F">
      <w:pPr>
        <w:rPr>
          <w:color w:val="auto"/>
          <w:highlight w:val="none"/>
        </w:rPr>
      </w:pPr>
    </w:p>
    <w:p w14:paraId="4FE755BF">
      <w:pPr>
        <w:rPr>
          <w:color w:val="auto"/>
          <w:highlight w:val="none"/>
        </w:rPr>
      </w:pPr>
    </w:p>
    <w:p w14:paraId="012CB657">
      <w:pPr>
        <w:rPr>
          <w:color w:val="auto"/>
          <w:highlight w:val="none"/>
        </w:rPr>
      </w:pPr>
    </w:p>
    <w:p w14:paraId="432B107D">
      <w:pPr>
        <w:rPr>
          <w:color w:val="auto"/>
          <w:highlight w:val="none"/>
        </w:rPr>
      </w:pPr>
    </w:p>
    <w:p w14:paraId="1B7EB743">
      <w:pPr>
        <w:rPr>
          <w:color w:val="auto"/>
          <w:highlight w:val="none"/>
        </w:rPr>
      </w:pPr>
    </w:p>
    <w:p w14:paraId="3BCA824C">
      <w:pPr>
        <w:rPr>
          <w:color w:val="auto"/>
          <w:highlight w:val="none"/>
        </w:rPr>
      </w:pPr>
    </w:p>
    <w:p w14:paraId="69CACE5C">
      <w:pPr>
        <w:rPr>
          <w:color w:val="auto"/>
          <w:highlight w:val="none"/>
        </w:rPr>
      </w:pPr>
    </w:p>
    <w:p w14:paraId="3B9C8069">
      <w:pPr>
        <w:rPr>
          <w:color w:val="auto"/>
          <w:highlight w:val="none"/>
        </w:rPr>
      </w:pPr>
    </w:p>
    <w:p w14:paraId="4B5AB90E">
      <w:pPr>
        <w:rPr>
          <w:color w:val="auto"/>
          <w:highlight w:val="none"/>
        </w:rPr>
      </w:pPr>
    </w:p>
    <w:p w14:paraId="63415EB7">
      <w:pPr>
        <w:rPr>
          <w:color w:val="auto"/>
          <w:highlight w:val="none"/>
        </w:rPr>
      </w:pPr>
    </w:p>
    <w:p w14:paraId="4DC8EF3C">
      <w:pPr>
        <w:rPr>
          <w:color w:val="auto"/>
          <w:highlight w:val="none"/>
        </w:rPr>
      </w:pPr>
    </w:p>
    <w:p w14:paraId="201BF785">
      <w:pPr>
        <w:rPr>
          <w:color w:val="auto"/>
          <w:highlight w:val="none"/>
        </w:rPr>
      </w:pPr>
    </w:p>
    <w:p w14:paraId="39D06A87">
      <w:pPr>
        <w:rPr>
          <w:color w:val="auto"/>
          <w:highlight w:val="none"/>
        </w:rPr>
      </w:pPr>
    </w:p>
    <w:p w14:paraId="6DEF1322">
      <w:pPr>
        <w:rPr>
          <w:color w:val="auto"/>
          <w:highlight w:val="none"/>
        </w:rPr>
      </w:pPr>
    </w:p>
    <w:p w14:paraId="7E63969A">
      <w:pPr>
        <w:rPr>
          <w:color w:val="auto"/>
          <w:highlight w:val="none"/>
        </w:rPr>
      </w:pPr>
    </w:p>
    <w:p w14:paraId="79E8CBC2">
      <w:pPr>
        <w:rPr>
          <w:color w:val="auto"/>
          <w:highlight w:val="none"/>
        </w:rPr>
      </w:pPr>
    </w:p>
    <w:p w14:paraId="55D9D5BB">
      <w:pPr>
        <w:rPr>
          <w:color w:val="auto"/>
          <w:highlight w:val="none"/>
        </w:rPr>
      </w:pPr>
    </w:p>
    <w:p w14:paraId="7BA6F9B2">
      <w:pPr>
        <w:rPr>
          <w:color w:val="auto"/>
          <w:highlight w:val="none"/>
        </w:rPr>
      </w:pPr>
    </w:p>
    <w:p w14:paraId="7EAC8434">
      <w:pPr>
        <w:rPr>
          <w:color w:val="auto"/>
          <w:highlight w:val="none"/>
        </w:rPr>
      </w:pPr>
    </w:p>
    <w:p w14:paraId="5FC33D96">
      <w:pPr>
        <w:rPr>
          <w:color w:val="auto"/>
          <w:highlight w:val="none"/>
        </w:rPr>
      </w:pPr>
    </w:p>
    <w:p w14:paraId="1B782A25">
      <w:pPr>
        <w:rPr>
          <w:color w:val="auto"/>
          <w:highlight w:val="none"/>
        </w:rPr>
      </w:pPr>
    </w:p>
    <w:p w14:paraId="1EC7525C">
      <w:pPr>
        <w:rPr>
          <w:color w:val="auto"/>
          <w:highlight w:val="none"/>
        </w:rPr>
      </w:pPr>
    </w:p>
    <w:p w14:paraId="05334C36">
      <w:pPr>
        <w:rPr>
          <w:color w:val="auto"/>
          <w:highlight w:val="none"/>
        </w:rPr>
      </w:pPr>
    </w:p>
    <w:p w14:paraId="0AB934D2">
      <w:pPr>
        <w:rPr>
          <w:color w:val="auto"/>
          <w:highlight w:val="none"/>
        </w:rPr>
      </w:pPr>
    </w:p>
    <w:p w14:paraId="77DB6DB6">
      <w:pPr>
        <w:pStyle w:val="2"/>
        <w:spacing w:line="240" w:lineRule="auto"/>
        <w:rPr>
          <w:color w:val="auto"/>
          <w:highlight w:val="none"/>
        </w:rPr>
      </w:pPr>
      <w:bookmarkStart w:id="108" w:name="_Toc2093"/>
      <w:r>
        <w:rPr>
          <w:rFonts w:hint="eastAsia"/>
          <w:color w:val="auto"/>
          <w:highlight w:val="none"/>
        </w:rPr>
        <w:t>四、报价部分</w:t>
      </w:r>
      <w:bookmarkEnd w:id="107"/>
      <w:bookmarkEnd w:id="108"/>
    </w:p>
    <w:p w14:paraId="015EB794">
      <w:pPr>
        <w:pStyle w:val="3"/>
        <w:spacing w:before="120"/>
        <w:rPr>
          <w:rFonts w:hint="eastAsia" w:ascii="仿宋_GB2312" w:hAnsi="仿宋_GB2312" w:eastAsia="仿宋_GB2312" w:cs="仿宋_GB2312"/>
        </w:rPr>
      </w:pPr>
      <w:bookmarkStart w:id="109" w:name="_Toc15965"/>
      <w:r>
        <w:rPr>
          <w:rFonts w:hint="eastAsia" w:ascii="仿宋_GB2312" w:hAnsi="仿宋_GB2312" w:eastAsia="仿宋_GB2312" w:cs="仿宋_GB2312"/>
        </w:rPr>
        <w:t>附件</w:t>
      </w:r>
      <w:bookmarkEnd w:id="109"/>
      <w:r>
        <w:rPr>
          <w:rFonts w:hint="eastAsia" w:ascii="仿宋_GB2312" w:hAnsi="仿宋_GB2312" w:eastAsia="仿宋_GB2312" w:cs="仿宋_GB2312"/>
        </w:rPr>
        <w:t>6</w:t>
      </w:r>
    </w:p>
    <w:p w14:paraId="1C0BB805">
      <w:pPr>
        <w:jc w:val="center"/>
        <w:rPr>
          <w:rFonts w:ascii="仿宋_GB2312" w:hAnsi="仿宋_GB2312" w:eastAsia="仿宋_GB2312" w:cs="仿宋_GB2312"/>
          <w:b/>
          <w:bCs w:val="0"/>
          <w:color w:val="auto"/>
          <w:sz w:val="36"/>
          <w:szCs w:val="36"/>
          <w:highlight w:val="none"/>
        </w:rPr>
      </w:pPr>
    </w:p>
    <w:p w14:paraId="4E1FA6EB">
      <w:pPr>
        <w:jc w:val="center"/>
        <w:rPr>
          <w:rFonts w:ascii="仿宋_GB2312" w:hAnsi="仿宋_GB2312" w:eastAsia="仿宋_GB2312" w:cs="仿宋_GB2312"/>
          <w:b/>
          <w:bCs w:val="0"/>
          <w:color w:val="auto"/>
          <w:sz w:val="36"/>
          <w:szCs w:val="36"/>
          <w:highlight w:val="none"/>
        </w:rPr>
      </w:pPr>
      <w:r>
        <w:rPr>
          <w:rFonts w:hint="eastAsia" w:ascii="仿宋_GB2312" w:hAnsi="仿宋_GB2312" w:eastAsia="仿宋_GB2312" w:cs="仿宋_GB2312"/>
          <w:b/>
          <w:bCs w:val="0"/>
          <w:color w:val="auto"/>
          <w:sz w:val="36"/>
          <w:szCs w:val="36"/>
          <w:highlight w:val="none"/>
        </w:rPr>
        <w:t>报价一览表</w:t>
      </w:r>
    </w:p>
    <w:p w14:paraId="071C4BD2">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 xml:space="preserve">项目编号：                  </w:t>
      </w:r>
    </w:p>
    <w:p w14:paraId="1D5606D8">
      <w:pPr>
        <w:tabs>
          <w:tab w:val="left" w:pos="0"/>
          <w:tab w:val="left" w:pos="720"/>
          <w:tab w:val="left" w:pos="1440"/>
          <w:tab w:val="left" w:pos="2160"/>
          <w:tab w:val="left" w:pos="2880"/>
          <w:tab w:val="left" w:pos="3600"/>
          <w:tab w:val="left" w:pos="4320"/>
        </w:tabs>
        <w:autoSpaceDE w:val="0"/>
        <w:autoSpaceDN w:val="0"/>
        <w:adjustRightInd w:val="0"/>
        <w:snapToGrid w:val="0"/>
        <w:spacing w:line="560" w:lineRule="exact"/>
        <w:rPr>
          <w:rFonts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项目名称：</w:t>
      </w:r>
    </w:p>
    <w:tbl>
      <w:tblPr>
        <w:tblStyle w:val="25"/>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7141"/>
      </w:tblGrid>
      <w:tr w14:paraId="7EAC1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jc w:val="center"/>
        </w:trPr>
        <w:tc>
          <w:tcPr>
            <w:tcW w:w="2167" w:type="dxa"/>
            <w:vAlign w:val="center"/>
          </w:tcPr>
          <w:p w14:paraId="2FD1DB7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投标人名称</w:t>
            </w:r>
          </w:p>
        </w:tc>
        <w:tc>
          <w:tcPr>
            <w:tcW w:w="7141" w:type="dxa"/>
            <w:vAlign w:val="center"/>
          </w:tcPr>
          <w:p w14:paraId="4B912BC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color w:val="auto"/>
                <w:sz w:val="32"/>
                <w:szCs w:val="32"/>
                <w:highlight w:val="none"/>
              </w:rPr>
            </w:pPr>
          </w:p>
        </w:tc>
      </w:tr>
      <w:tr w14:paraId="129C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2" w:hRule="atLeast"/>
          <w:jc w:val="center"/>
        </w:trPr>
        <w:tc>
          <w:tcPr>
            <w:tcW w:w="2167" w:type="dxa"/>
            <w:vAlign w:val="center"/>
          </w:tcPr>
          <w:p w14:paraId="05E8D6DD">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总报价</w:t>
            </w:r>
          </w:p>
          <w:p w14:paraId="50F4346F">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（人民币/元）</w:t>
            </w:r>
          </w:p>
        </w:tc>
        <w:tc>
          <w:tcPr>
            <w:tcW w:w="7141" w:type="dxa"/>
            <w:vAlign w:val="center"/>
          </w:tcPr>
          <w:p w14:paraId="4CF7999A">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firstLine="320" w:firstLineChars="100"/>
              <w:rPr>
                <w:rFonts w:hint="default"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大写：</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   </w:t>
            </w:r>
          </w:p>
          <w:p w14:paraId="033403C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firstLine="320" w:firstLineChars="10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小写：</w:t>
            </w:r>
            <w:r>
              <w:rPr>
                <w:rFonts w:hint="eastAsia" w:ascii="仿宋_GB2312" w:hAnsi="仿宋_GB2312" w:eastAsia="仿宋_GB2312" w:cs="仿宋_GB2312"/>
                <w:color w:val="auto"/>
                <w:sz w:val="32"/>
                <w:szCs w:val="32"/>
                <w:highlight w:val="none"/>
                <w:u w:val="single"/>
              </w:rPr>
              <w:t xml:space="preserve">                         </w:t>
            </w:r>
          </w:p>
        </w:tc>
      </w:tr>
      <w:tr w14:paraId="2448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8" w:hRule="atLeast"/>
          <w:jc w:val="center"/>
        </w:trPr>
        <w:tc>
          <w:tcPr>
            <w:tcW w:w="2167" w:type="dxa"/>
            <w:vAlign w:val="center"/>
          </w:tcPr>
          <w:p w14:paraId="4DDDB4D7">
            <w:pPr>
              <w:keepNext w:val="0"/>
              <w:keepLines w:val="0"/>
              <w:suppressLineNumbers w:val="0"/>
              <w:tabs>
                <w:tab w:val="left" w:pos="720"/>
                <w:tab w:val="left" w:pos="144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color w:val="auto"/>
                <w:sz w:val="32"/>
                <w:szCs w:val="32"/>
                <w:highlight w:val="none"/>
              </w:rPr>
            </w:pPr>
            <w:r>
              <w:rPr>
                <w:rFonts w:hint="eastAsia" w:ascii="仿宋" w:hAnsi="仿宋" w:eastAsia="仿宋" w:cs="仿宋"/>
                <w:color w:val="auto"/>
                <w:sz w:val="32"/>
                <w:szCs w:val="32"/>
                <w:highlight w:val="none"/>
              </w:rPr>
              <w:t>项目完成期限</w:t>
            </w:r>
          </w:p>
        </w:tc>
        <w:tc>
          <w:tcPr>
            <w:tcW w:w="7141" w:type="dxa"/>
            <w:vAlign w:val="center"/>
          </w:tcPr>
          <w:p w14:paraId="39D08E7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color w:val="auto"/>
                <w:sz w:val="32"/>
                <w:szCs w:val="32"/>
                <w:highlight w:val="none"/>
              </w:rPr>
            </w:pPr>
          </w:p>
        </w:tc>
      </w:tr>
      <w:tr w14:paraId="0DCE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167" w:type="dxa"/>
            <w:vAlign w:val="center"/>
          </w:tcPr>
          <w:p w14:paraId="46F19D8C">
            <w:pPr>
              <w:keepNext w:val="0"/>
              <w:keepLines w:val="0"/>
              <w:suppressLineNumbers w:val="0"/>
              <w:tabs>
                <w:tab w:val="left" w:pos="720"/>
                <w:tab w:val="left" w:pos="1440"/>
                <w:tab w:val="left" w:pos="2880"/>
                <w:tab w:val="left" w:pos="3600"/>
                <w:tab w:val="left" w:pos="4320"/>
              </w:tabs>
              <w:autoSpaceDE w:val="0"/>
              <w:autoSpaceDN w:val="0"/>
              <w:adjustRightInd w:val="0"/>
              <w:snapToGrid w:val="0"/>
              <w:spacing w:before="0" w:beforeAutospacing="0" w:after="0" w:afterAutospacing="0" w:line="560" w:lineRule="exact"/>
              <w:ind w:left="0" w:right="0"/>
              <w:jc w:val="center"/>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备注</w:t>
            </w:r>
          </w:p>
        </w:tc>
        <w:tc>
          <w:tcPr>
            <w:tcW w:w="7141" w:type="dxa"/>
            <w:vAlign w:val="center"/>
          </w:tcPr>
          <w:p w14:paraId="771C8778">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color w:val="auto"/>
                <w:sz w:val="32"/>
                <w:szCs w:val="32"/>
                <w:highlight w:val="none"/>
              </w:rPr>
            </w:pPr>
          </w:p>
        </w:tc>
      </w:tr>
    </w:tbl>
    <w:p w14:paraId="306EB36D">
      <w:pPr>
        <w:adjustRightInd w:val="0"/>
        <w:snapToGrid w:val="0"/>
        <w:spacing w:line="560" w:lineRule="exact"/>
        <w:rPr>
          <w:rFonts w:ascii="仿宋_GB2312" w:hAnsi="仿宋_GB2312" w:eastAsia="仿宋_GB2312" w:cs="仿宋_GB2312"/>
          <w:bCs w:val="0"/>
          <w:color w:val="auto"/>
          <w:sz w:val="32"/>
          <w:szCs w:val="32"/>
          <w:highlight w:val="none"/>
        </w:rPr>
      </w:pPr>
    </w:p>
    <w:p w14:paraId="07B03D29">
      <w:pPr>
        <w:adjustRightInd w:val="0"/>
        <w:snapToGrid w:val="0"/>
        <w:spacing w:line="560" w:lineRule="exact"/>
        <w:ind w:firstLine="320" w:firstLineChars="100"/>
        <w:rPr>
          <w:rFonts w:ascii="仿宋_GB2312" w:hAnsi="仿宋_GB2312" w:eastAsia="仿宋_GB2312" w:cs="仿宋_GB2312"/>
          <w:bCs w:val="0"/>
          <w:color w:val="auto"/>
          <w:sz w:val="32"/>
          <w:szCs w:val="32"/>
          <w:highlight w:val="none"/>
          <w:u w:val="single"/>
        </w:rPr>
      </w:pPr>
      <w:r>
        <w:rPr>
          <w:rFonts w:hint="eastAsia" w:ascii="仿宋_GB2312" w:hAnsi="仿宋_GB2312" w:eastAsia="仿宋_GB2312" w:cs="仿宋_GB2312"/>
          <w:color w:val="auto"/>
          <w:sz w:val="32"/>
          <w:szCs w:val="32"/>
          <w:highlight w:val="none"/>
        </w:rPr>
        <w:t>投标人名称（公章）：</w:t>
      </w:r>
    </w:p>
    <w:p w14:paraId="4647348A">
      <w:pPr>
        <w:adjustRightInd w:val="0"/>
        <w:snapToGrid w:val="0"/>
        <w:spacing w:line="560" w:lineRule="exact"/>
        <w:ind w:firstLine="320" w:firstLineChars="100"/>
        <w:rPr>
          <w:rFonts w:ascii="仿宋_GB2312" w:hAnsi="仿宋_GB2312" w:eastAsia="仿宋_GB2312" w:cs="仿宋_GB2312"/>
          <w:color w:val="auto"/>
          <w:sz w:val="32"/>
          <w:szCs w:val="32"/>
          <w:highlight w:val="none"/>
        </w:rPr>
      </w:pPr>
    </w:p>
    <w:p w14:paraId="4DCF17B1">
      <w:pPr>
        <w:adjustRightInd w:val="0"/>
        <w:snapToGrid w:val="0"/>
        <w:spacing w:line="560" w:lineRule="exact"/>
        <w:ind w:firstLine="320" w:firstLineChars="100"/>
        <w:rPr>
          <w:rFonts w:ascii="仿宋_GB2312" w:hAnsi="仿宋_GB2312" w:eastAsia="仿宋_GB2312" w:cs="仿宋_GB2312"/>
          <w:bCs w:val="0"/>
          <w:color w:val="auto"/>
          <w:sz w:val="32"/>
          <w:szCs w:val="32"/>
          <w:highlight w:val="none"/>
        </w:rPr>
      </w:pPr>
      <w:r>
        <w:rPr>
          <w:rFonts w:hint="eastAsia" w:ascii="仿宋_GB2312" w:hAnsi="仿宋_GB2312" w:eastAsia="仿宋_GB2312" w:cs="仿宋_GB2312"/>
          <w:color w:val="auto"/>
          <w:sz w:val="32"/>
          <w:szCs w:val="32"/>
          <w:highlight w:val="none"/>
        </w:rPr>
        <w:t>法定代表人或授权代理人（签字）：</w:t>
      </w:r>
    </w:p>
    <w:p w14:paraId="73B8DB68">
      <w:pPr>
        <w:adjustRightInd w:val="0"/>
        <w:snapToGrid w:val="0"/>
        <w:spacing w:line="560" w:lineRule="exact"/>
        <w:ind w:firstLine="1600" w:firstLineChars="500"/>
        <w:rPr>
          <w:rFonts w:hint="eastAsia" w:ascii="仿宋_GB2312" w:hAnsi="仿宋_GB2312" w:eastAsia="仿宋_GB2312" w:cs="仿宋_GB2312"/>
          <w:color w:val="auto"/>
          <w:sz w:val="32"/>
          <w:szCs w:val="32"/>
          <w:highlight w:val="none"/>
        </w:rPr>
      </w:pPr>
    </w:p>
    <w:p w14:paraId="53570EF0">
      <w:pPr>
        <w:adjustRightInd w:val="0"/>
        <w:snapToGrid w:val="0"/>
        <w:spacing w:line="560" w:lineRule="exact"/>
        <w:ind w:firstLine="1600" w:firstLineChars="5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年   月   日 </w:t>
      </w:r>
    </w:p>
    <w:p w14:paraId="00BBC6D5">
      <w:pPr>
        <w:pStyle w:val="16"/>
        <w:adjustRightInd w:val="0"/>
        <w:snapToGrid w:val="0"/>
        <w:spacing w:after="0" w:line="560" w:lineRule="exact"/>
        <w:ind w:left="0" w:leftChars="0"/>
        <w:rPr>
          <w:rFonts w:ascii="仿宋_GB2312" w:hAnsi="仿宋_GB2312" w:eastAsia="仿宋_GB2312" w:cs="仿宋_GB2312"/>
          <w:color w:val="auto"/>
          <w:kern w:val="2"/>
          <w:sz w:val="32"/>
          <w:szCs w:val="32"/>
          <w:highlight w:val="none"/>
        </w:rPr>
      </w:pPr>
    </w:p>
    <w:p w14:paraId="6FA3086F">
      <w:pPr>
        <w:pStyle w:val="16"/>
        <w:adjustRightInd w:val="0"/>
        <w:snapToGrid w:val="0"/>
        <w:spacing w:after="0" w:line="560" w:lineRule="exact"/>
        <w:ind w:left="0" w:leftChars="0"/>
        <w:rPr>
          <w:rFonts w:ascii="仿宋_GB2312" w:hAnsi="仿宋_GB2312" w:eastAsia="仿宋_GB2312" w:cs="仿宋_GB2312"/>
          <w:color w:val="auto"/>
          <w:kern w:val="2"/>
          <w:sz w:val="32"/>
          <w:szCs w:val="32"/>
          <w:highlight w:val="none"/>
        </w:rPr>
      </w:pPr>
    </w:p>
    <w:bookmarkEnd w:id="84"/>
    <w:bookmarkEnd w:id="85"/>
    <w:bookmarkEnd w:id="102"/>
    <w:bookmarkEnd w:id="103"/>
    <w:p w14:paraId="5C305AEE">
      <w:pPr>
        <w:pStyle w:val="2"/>
        <w:spacing w:line="240" w:lineRule="auto"/>
        <w:rPr>
          <w:color w:val="auto"/>
          <w:highlight w:val="none"/>
        </w:rPr>
      </w:pPr>
      <w:bookmarkStart w:id="110" w:name="_Toc22438"/>
      <w:bookmarkStart w:id="111" w:name="_Toc4812"/>
      <w:r>
        <w:rPr>
          <w:rFonts w:hint="eastAsia"/>
          <w:color w:val="auto"/>
          <w:highlight w:val="none"/>
        </w:rPr>
        <w:t>封套格式</w:t>
      </w:r>
      <w:bookmarkEnd w:id="110"/>
      <w:bookmarkEnd w:id="111"/>
    </w:p>
    <w:tbl>
      <w:tblPr>
        <w:tblStyle w:val="25"/>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3079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6" w:hRule="atLeast"/>
          <w:jc w:val="center"/>
        </w:trPr>
        <w:tc>
          <w:tcPr>
            <w:tcW w:w="9080" w:type="dxa"/>
          </w:tcPr>
          <w:p w14:paraId="676DF0EA">
            <w:pPr>
              <w:pStyle w:val="14"/>
              <w:keepNext w:val="0"/>
              <w:keepLines w:val="0"/>
              <w:suppressLineNumbers w:val="0"/>
              <w:adjustRightInd w:val="0"/>
              <w:snapToGrid w:val="0"/>
              <w:spacing w:before="0" w:beforeAutospacing="0" w:after="0" w:afterAutospacing="0" w:line="560" w:lineRule="exact"/>
              <w:ind w:left="0" w:right="0" w:firstLine="0" w:firstLineChars="0"/>
              <w:rPr>
                <w:rFonts w:hint="default" w:ascii="仿宋_GB2312" w:hAnsi="仿宋_GB2312" w:eastAsia="仿宋_GB2312" w:cs="仿宋_GB2312"/>
                <w:color w:val="auto"/>
                <w:sz w:val="32"/>
                <w:szCs w:val="32"/>
                <w:highlight w:val="none"/>
              </w:rPr>
            </w:pPr>
          </w:p>
          <w:p w14:paraId="241DAA25">
            <w:pPr>
              <w:pStyle w:val="14"/>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仿宋_GB2312" w:hAnsi="仿宋_GB2312" w:eastAsia="仿宋_GB2312" w:cs="仿宋_GB2312"/>
                <w:color w:val="auto"/>
                <w:sz w:val="32"/>
                <w:szCs w:val="32"/>
                <w:highlight w:val="none"/>
              </w:rPr>
            </w:pPr>
          </w:p>
          <w:p w14:paraId="5D3BFEA6">
            <w:pPr>
              <w:pStyle w:val="14"/>
              <w:keepNext w:val="0"/>
              <w:keepLines w:val="0"/>
              <w:suppressLineNumbers w:val="0"/>
              <w:adjustRightInd w:val="0"/>
              <w:snapToGrid w:val="0"/>
              <w:spacing w:before="0" w:beforeAutospacing="0" w:after="0" w:afterAutospacing="0" w:line="560" w:lineRule="exact"/>
              <w:ind w:left="0" w:right="0" w:firstLine="0" w:firstLineChars="0"/>
              <w:jc w:val="center"/>
              <w:rPr>
                <w:rFonts w:hint="default"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报价文件（正本/副本）</w:t>
            </w:r>
          </w:p>
          <w:p w14:paraId="4FEDEB82">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 xml:space="preserve">项目编号：      </w:t>
            </w:r>
          </w:p>
          <w:p w14:paraId="0347DBB6">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项目名称：</w:t>
            </w:r>
          </w:p>
          <w:p w14:paraId="0DBA1970">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投标人名称（公章）：</w:t>
            </w:r>
          </w:p>
          <w:p w14:paraId="2601BFE2">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地址：</w:t>
            </w:r>
          </w:p>
          <w:p w14:paraId="21C3FC01">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电话：</w:t>
            </w:r>
          </w:p>
          <w:p w14:paraId="7B9D80AE">
            <w:pPr>
              <w:keepNext w:val="0"/>
              <w:keepLines w:val="0"/>
              <w:suppressLineNumbers w:val="0"/>
              <w:tabs>
                <w:tab w:val="left" w:pos="0"/>
                <w:tab w:val="left" w:pos="720"/>
                <w:tab w:val="left" w:pos="1440"/>
                <w:tab w:val="left" w:pos="2160"/>
                <w:tab w:val="left" w:pos="2880"/>
                <w:tab w:val="left" w:pos="3600"/>
                <w:tab w:val="left" w:pos="4320"/>
              </w:tabs>
              <w:autoSpaceDE w:val="0"/>
              <w:autoSpaceDN w:val="0"/>
              <w:adjustRightInd w:val="0"/>
              <w:snapToGrid w:val="0"/>
              <w:spacing w:before="0" w:beforeAutospacing="0" w:after="0" w:afterAutospacing="0" w:line="560" w:lineRule="exact"/>
              <w:ind w:left="0" w:right="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bCs w:val="0"/>
                <w:color w:val="auto"/>
                <w:sz w:val="32"/>
                <w:szCs w:val="32"/>
                <w:highlight w:val="none"/>
              </w:rPr>
              <w:t>传真：</w:t>
            </w:r>
          </w:p>
        </w:tc>
      </w:tr>
    </w:tbl>
    <w:p w14:paraId="270122B4">
      <w:pPr>
        <w:adjustRightInd w:val="0"/>
        <w:snapToGrid w:val="0"/>
        <w:spacing w:line="560" w:lineRule="exact"/>
        <w:rPr>
          <w:rFonts w:ascii="仿宋_GB2312" w:hAnsi="仿宋_GB2312" w:eastAsia="仿宋_GB2312" w:cs="仿宋_GB2312"/>
          <w:vanish/>
          <w:color w:val="auto"/>
          <w:sz w:val="32"/>
          <w:szCs w:val="32"/>
          <w:highlight w:val="none"/>
        </w:rPr>
      </w:pPr>
    </w:p>
    <w:p w14:paraId="48CFC1EB">
      <w:pPr>
        <w:adjustRightInd w:val="0"/>
        <w:snapToGrid w:val="0"/>
        <w:spacing w:line="560" w:lineRule="exact"/>
        <w:rPr>
          <w:rFonts w:ascii="仿宋_GB2312" w:hAnsi="仿宋_GB2312" w:eastAsia="仿宋_GB2312" w:cs="仿宋_GB2312"/>
          <w:vanish/>
          <w:color w:val="auto"/>
          <w:sz w:val="32"/>
          <w:szCs w:val="32"/>
          <w:highlight w:val="none"/>
        </w:rPr>
      </w:pPr>
    </w:p>
    <w:tbl>
      <w:tblPr>
        <w:tblStyle w:val="25"/>
        <w:tblpPr w:leftFromText="180" w:rightFromText="180" w:vertAnchor="text" w:horzAnchor="page" w:tblpX="1608" w:tblpY="9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4"/>
      </w:tblGrid>
      <w:tr w14:paraId="718C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8964" w:type="dxa"/>
            <w:tcBorders>
              <w:bottom w:val="single" w:color="auto" w:sz="4" w:space="0"/>
            </w:tcBorders>
            <w:vAlign w:val="center"/>
          </w:tcPr>
          <w:p w14:paraId="0F2AD1E4">
            <w:pPr>
              <w:pStyle w:val="14"/>
              <w:keepNext w:val="0"/>
              <w:keepLines w:val="0"/>
              <w:suppressLineNumbers w:val="0"/>
              <w:adjustRightInd w:val="0"/>
              <w:snapToGrid w:val="0"/>
              <w:spacing w:before="0" w:beforeAutospacing="0" w:after="0" w:afterAutospacing="0" w:line="560" w:lineRule="exact"/>
              <w:ind w:left="0" w:right="0" w:firstLine="0" w:firstLineChars="0"/>
              <w:rPr>
                <w:rFonts w:hint="default"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………于202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   月   日    时之前不准启封………</w:t>
            </w:r>
          </w:p>
        </w:tc>
      </w:tr>
    </w:tbl>
    <w:p w14:paraId="380E60A2">
      <w:pPr>
        <w:adjustRightInd w:val="0"/>
        <w:snapToGrid w:val="0"/>
        <w:spacing w:line="560" w:lineRule="exact"/>
        <w:rPr>
          <w:rFonts w:ascii="仿宋_GB2312" w:hAnsi="仿宋_GB2312" w:eastAsia="仿宋_GB2312" w:cs="仿宋_GB2312"/>
          <w:color w:val="auto"/>
          <w:sz w:val="32"/>
          <w:szCs w:val="32"/>
          <w:highlight w:val="none"/>
        </w:rPr>
      </w:pPr>
    </w:p>
    <w:sectPr>
      <w:headerReference r:id="rId12" w:type="first"/>
      <w:headerReference r:id="rId11" w:type="default"/>
      <w:footerReference r:id="rId13" w:type="default"/>
      <w:footerReference r:id="rId14" w:type="even"/>
      <w:pgSz w:w="11907" w:h="16840"/>
      <w:pgMar w:top="1417" w:right="1587" w:bottom="1418" w:left="158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6213B2-DAC7-4750-B16C-B4AB895C08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AF616472-C922-4C59-A99D-C140F446E3DD}"/>
  </w:font>
  <w:font w:name="Calibri Light">
    <w:panose1 w:val="020F03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Georgia">
    <w:panose1 w:val="02040502050405020303"/>
    <w:charset w:val="00"/>
    <w:family w:val="roman"/>
    <w:pitch w:val="default"/>
    <w:sig w:usb0="00000287" w:usb1="00000000" w:usb2="00000000" w:usb3="00000000" w:csb0="2000009F" w:csb1="00000000"/>
  </w:font>
  <w:font w:name="方正公文小标宋">
    <w:panose1 w:val="02000500000000000000"/>
    <w:charset w:val="86"/>
    <w:family w:val="auto"/>
    <w:pitch w:val="default"/>
    <w:sig w:usb0="A00002BF" w:usb1="38CF7CFA" w:usb2="00000016" w:usb3="00000000" w:csb0="00040001" w:csb1="00000000"/>
    <w:embedRegular r:id="rId3" w:fontKey="{50352553-372C-428A-A14B-1CD7BFE3A829}"/>
  </w:font>
  <w:font w:name="仿宋_GB2312">
    <w:altName w:val="仿宋"/>
    <w:panose1 w:val="02010609030101010101"/>
    <w:charset w:val="86"/>
    <w:family w:val="modern"/>
    <w:pitch w:val="default"/>
    <w:sig w:usb0="00000000" w:usb1="00000000" w:usb2="00000000" w:usb3="00000000" w:csb0="00040000" w:csb1="00000000"/>
    <w:embedRegular r:id="rId4" w:fontKey="{493607CA-D959-46FD-83FD-B5E917015E85}"/>
  </w:font>
  <w:font w:name="方正公文黑体">
    <w:altName w:val="黑体"/>
    <w:panose1 w:val="02000500000000000000"/>
    <w:charset w:val="86"/>
    <w:family w:val="auto"/>
    <w:pitch w:val="default"/>
    <w:sig w:usb0="00000000" w:usb1="00000000" w:usb2="00000016" w:usb3="00000000" w:csb0="00040001" w:csb1="00000000"/>
    <w:embedRegular r:id="rId5" w:fontKey="{07B0D347-A56A-454F-9F4A-F1CCD382300F}"/>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A45F2">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4DFF2">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B4DFF2">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BDBE7">
    <w:pPr>
      <w:pStyle w:val="17"/>
      <w:tabs>
        <w:tab w:val="center" w:pos="4426"/>
        <w:tab w:val="left" w:pos="6262"/>
      </w:tabs>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C17A7">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0EC17A7">
                    <w:pPr>
                      <w:pStyle w:val="17"/>
                    </w:pPr>
                    <w:r>
                      <w:fldChar w:fldCharType="begin"/>
                    </w:r>
                    <w:r>
                      <w:instrText xml:space="preserve"> PAGE  \* MERGEFORMAT </w:instrText>
                    </w:r>
                    <w:r>
                      <w:fldChar w:fldCharType="separate"/>
                    </w:r>
                    <w:r>
                      <w:t>- 2 -</w:t>
                    </w:r>
                    <w:r>
                      <w:fldChar w:fldCharType="end"/>
                    </w:r>
                  </w:p>
                </w:txbxContent>
              </v:textbox>
            </v:shape>
          </w:pict>
        </mc:Fallback>
      </mc:AlternateContent>
    </w:r>
    <w:r>
      <w:rPr>
        <w:lang w:val="en-US"/>
      </w:rPr>
      <w:tab/>
    </w:r>
    <w:r>
      <w:rPr>
        <w:lang w:val="en-US"/>
      </w:rPr>
      <w:tab/>
    </w:r>
    <w:r>
      <w:rPr>
        <w:lang w:val="en-US"/>
      </w:rPr>
      <w:tab/>
    </w:r>
    <w:r>
      <w:rPr>
        <w:lang w:val="en-US"/>
      </w:rPr>
      <w:tab/>
    </w:r>
  </w:p>
  <w:p w14:paraId="1A512E5B">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53DB1">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20C5C">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5120C5C">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887F6">
    <w:pPr>
      <w:spacing w:line="14" w:lineRule="auto"/>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4E40B">
                          <w:pPr>
                            <w:pStyle w:val="17"/>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A04E40B">
                    <w:pPr>
                      <w:pStyle w:val="17"/>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6B540">
    <w:pPr>
      <w:pStyle w:val="17"/>
      <w:ind w:right="360" w:firstLine="4860" w:firstLineChars="270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9E492">
                          <w:pPr>
                            <w:pStyle w:val="17"/>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919E492">
                    <w:pPr>
                      <w:pStyle w:val="17"/>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60613">
    <w:pPr>
      <w:pStyle w:val="17"/>
      <w:framePr w:wrap="around" w:vAnchor="text" w:hAnchor="margin" w:xAlign="center" w:y="1"/>
      <w:rPr>
        <w:rStyle w:val="29"/>
      </w:rPr>
    </w:pPr>
    <w:r>
      <w:fldChar w:fldCharType="begin"/>
    </w:r>
    <w:r>
      <w:rPr>
        <w:rStyle w:val="29"/>
      </w:rPr>
      <w:instrText xml:space="preserve">PAGE  </w:instrText>
    </w:r>
    <w:r>
      <w:fldChar w:fldCharType="separate"/>
    </w:r>
    <w:r>
      <w:rPr>
        <w:rStyle w:val="29"/>
      </w:rPr>
      <w:t>32</w:t>
    </w:r>
    <w:r>
      <w:fldChar w:fldCharType="end"/>
    </w:r>
  </w:p>
  <w:p w14:paraId="00DD0878">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EC679">
    <w:pPr>
      <w:pStyle w:val="18"/>
      <w:pBdr>
        <w:top w:val="none" w:color="auto" w:sz="0" w:space="1"/>
        <w:left w:val="none" w:color="auto" w:sz="0" w:space="4"/>
        <w:bottom w:val="none" w:color="auto" w:sz="0" w:space="0"/>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0E039">
    <w:pPr>
      <w:pStyle w:val="18"/>
      <w:pBdr>
        <w:top w:val="none" w:color="auto" w:sz="0" w:space="1"/>
        <w:left w:val="none" w:color="auto" w:sz="0" w:space="4"/>
        <w:bottom w:val="none" w:color="auto" w:sz="0" w:space="1"/>
        <w:right w:val="none" w:color="auto" w:sz="0" w:space="4"/>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83EB">
    <w:pPr>
      <w:pStyle w:val="18"/>
      <w:pBdr>
        <w:top w:val="none" w:color="auto" w:sz="0" w:space="1"/>
        <w:left w:val="none" w:color="auto" w:sz="0" w:space="4"/>
        <w:bottom w:val="none" w:color="auto" w:sz="0" w:space="0"/>
        <w:right w:val="none" w:color="auto" w:sz="0" w:space="4"/>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ED677">
    <w:pPr>
      <w:pStyle w:val="18"/>
      <w:pBdr>
        <w:top w:val="none" w:color="auto" w:sz="0" w:space="1"/>
        <w:left w:val="none" w:color="auto" w:sz="0" w:space="4"/>
        <w:bottom w:val="none" w:color="auto" w:sz="0" w:space="1"/>
        <w:right w:val="none" w:color="auto" w:sz="0" w:space="4"/>
      </w:pBdr>
      <w:ind w:right="36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BBC13">
    <w:pPr>
      <w:pStyle w:val="18"/>
      <w:pBdr>
        <w:top w:val="none" w:color="auto" w:sz="0" w:space="1"/>
        <w:left w:val="none" w:color="auto" w:sz="0" w:space="4"/>
        <w:bottom w:val="none" w:color="auto" w:sz="0" w:space="0"/>
        <w:right w:val="none" w:color="auto" w:sz="0" w:space="4"/>
      </w:pBdr>
      <w:jc w:val="both"/>
    </w:pPr>
    <w:r>
      <w:rPr>
        <w:rFonts w:hint="eastAsia" w:hAnsi="宋体"/>
        <w:sz w:val="21"/>
        <w:szCs w:val="21"/>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90A66">
    <w:pPr>
      <w:pStyle w:val="18"/>
    </w:pPr>
    <w:r>
      <w:rPr>
        <w:rFonts w:hint="eastAsia"/>
        <w:kern w:val="0"/>
        <w:szCs w:val="21"/>
      </w:rPr>
      <w:t>山东鲁育招标有限公司                                                                   SDJZ2006-11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F798A"/>
    <w:multiLevelType w:val="singleLevel"/>
    <w:tmpl w:val="97EF798A"/>
    <w:lvl w:ilvl="0" w:tentative="0">
      <w:start w:val="1"/>
      <w:numFmt w:val="decimal"/>
      <w:lvlText w:val="%1."/>
      <w:lvlJc w:val="left"/>
      <w:pPr>
        <w:tabs>
          <w:tab w:val="left" w:pos="312"/>
        </w:tabs>
      </w:pPr>
    </w:lvl>
  </w:abstractNum>
  <w:abstractNum w:abstractNumId="1">
    <w:nsid w:val="A111BF37"/>
    <w:multiLevelType w:val="singleLevel"/>
    <w:tmpl w:val="A111BF37"/>
    <w:lvl w:ilvl="0" w:tentative="0">
      <w:start w:val="2"/>
      <w:numFmt w:val="chineseCounting"/>
      <w:suff w:val="nothing"/>
      <w:lvlText w:val="%1、"/>
      <w:lvlJc w:val="left"/>
      <w:rPr>
        <w:rFonts w:hint="eastAsia"/>
      </w:rPr>
    </w:lvl>
  </w:abstractNum>
  <w:abstractNum w:abstractNumId="2">
    <w:nsid w:val="06760612"/>
    <w:multiLevelType w:val="multilevel"/>
    <w:tmpl w:val="06760612"/>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7"/>
      <w:suff w:val="nothing"/>
      <w:lvlText w:val="%1.%2.%3"/>
      <w:lvlJc w:val="left"/>
      <w:pPr>
        <w:ind w:left="0" w:firstLine="0"/>
      </w:pPr>
      <w:rPr>
        <w:rFonts w:hint="eastAsia"/>
      </w:rPr>
    </w:lvl>
    <w:lvl w:ilvl="3" w:tentative="0">
      <w:start w:val="1"/>
      <w:numFmt w:val="decimal"/>
      <w:pStyle w:val="8"/>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3">
    <w:nsid w:val="177F6A84"/>
    <w:multiLevelType w:val="singleLevel"/>
    <w:tmpl w:val="177F6A84"/>
    <w:lvl w:ilvl="0" w:tentative="0">
      <w:start w:val="2"/>
      <w:numFmt w:val="chineseCounting"/>
      <w:suff w:val="nothing"/>
      <w:lvlText w:val="%1、"/>
      <w:lvlJc w:val="left"/>
      <w:rPr>
        <w:rFonts w:hint="eastAsia"/>
      </w:rPr>
    </w:lvl>
  </w:abstractNum>
  <w:abstractNum w:abstractNumId="4">
    <w:nsid w:val="35A95F97"/>
    <w:multiLevelType w:val="multilevel"/>
    <w:tmpl w:val="35A95F97"/>
    <w:lvl w:ilvl="0" w:tentative="0">
      <w:start w:val="1"/>
      <w:numFmt w:val="chineseCountingThousand"/>
      <w:lvlText w:val="%1、"/>
      <w:lvlJc w:val="left"/>
      <w:pPr>
        <w:ind w:left="432" w:hanging="432"/>
      </w:pPr>
      <w:rPr>
        <w:rFonts w:hint="eastAsia"/>
      </w:rPr>
    </w:lvl>
    <w:lvl w:ilvl="1" w:tentative="0">
      <w:start w:val="1"/>
      <w:numFmt w:val="decimal"/>
      <w:isLgl/>
      <w:lvlText w:val="%1.%2"/>
      <w:lvlJc w:val="left"/>
      <w:pPr>
        <w:ind w:left="576" w:hanging="576"/>
      </w:pPr>
      <w:rPr>
        <w:rFonts w:hint="default" w:ascii="Times New Roman" w:hAnsi="Times New Roman"/>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default" w:ascii="Times New Roman" w:hAnsi="Times New Roman"/>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default" w:ascii="Times New Roman" w:hAnsi="Times New Roman"/>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986C49"/>
    <w:rsid w:val="00003064"/>
    <w:rsid w:val="0002075D"/>
    <w:rsid w:val="00025991"/>
    <w:rsid w:val="000273FD"/>
    <w:rsid w:val="000613D1"/>
    <w:rsid w:val="000A6129"/>
    <w:rsid w:val="000B329A"/>
    <w:rsid w:val="000C7BD5"/>
    <w:rsid w:val="00105A68"/>
    <w:rsid w:val="001164B5"/>
    <w:rsid w:val="001351AA"/>
    <w:rsid w:val="001519E6"/>
    <w:rsid w:val="00160194"/>
    <w:rsid w:val="00171DBC"/>
    <w:rsid w:val="00181324"/>
    <w:rsid w:val="001A1B19"/>
    <w:rsid w:val="001D1DAD"/>
    <w:rsid w:val="001D3C3A"/>
    <w:rsid w:val="00237A6E"/>
    <w:rsid w:val="00243C19"/>
    <w:rsid w:val="002455C0"/>
    <w:rsid w:val="0025701E"/>
    <w:rsid w:val="002829F4"/>
    <w:rsid w:val="00282BE6"/>
    <w:rsid w:val="002B1AFF"/>
    <w:rsid w:val="002D11F7"/>
    <w:rsid w:val="003012DA"/>
    <w:rsid w:val="00307A48"/>
    <w:rsid w:val="00334CA9"/>
    <w:rsid w:val="003D295E"/>
    <w:rsid w:val="00440AD4"/>
    <w:rsid w:val="004631B8"/>
    <w:rsid w:val="00463866"/>
    <w:rsid w:val="00493632"/>
    <w:rsid w:val="00547BFA"/>
    <w:rsid w:val="00563FEF"/>
    <w:rsid w:val="005D793B"/>
    <w:rsid w:val="00614FDC"/>
    <w:rsid w:val="00640DDC"/>
    <w:rsid w:val="00643548"/>
    <w:rsid w:val="00647BFA"/>
    <w:rsid w:val="006A2E9F"/>
    <w:rsid w:val="006A627C"/>
    <w:rsid w:val="006A6581"/>
    <w:rsid w:val="006D5ACB"/>
    <w:rsid w:val="0070536A"/>
    <w:rsid w:val="00723C70"/>
    <w:rsid w:val="00785950"/>
    <w:rsid w:val="0079174A"/>
    <w:rsid w:val="007934CC"/>
    <w:rsid w:val="00845118"/>
    <w:rsid w:val="00851A1C"/>
    <w:rsid w:val="008560D3"/>
    <w:rsid w:val="008806B9"/>
    <w:rsid w:val="00932EF4"/>
    <w:rsid w:val="009848F2"/>
    <w:rsid w:val="00995A62"/>
    <w:rsid w:val="009B0D00"/>
    <w:rsid w:val="00A11BD6"/>
    <w:rsid w:val="00A13675"/>
    <w:rsid w:val="00A212B3"/>
    <w:rsid w:val="00A3539F"/>
    <w:rsid w:val="00A90DC2"/>
    <w:rsid w:val="00AA61C0"/>
    <w:rsid w:val="00AE01B1"/>
    <w:rsid w:val="00BD1B66"/>
    <w:rsid w:val="00BE6D42"/>
    <w:rsid w:val="00BF04E9"/>
    <w:rsid w:val="00C24CB0"/>
    <w:rsid w:val="00CB1EB4"/>
    <w:rsid w:val="00CE4297"/>
    <w:rsid w:val="00CF1702"/>
    <w:rsid w:val="00D13D87"/>
    <w:rsid w:val="00D31982"/>
    <w:rsid w:val="00DA35B1"/>
    <w:rsid w:val="00DC2271"/>
    <w:rsid w:val="00E27680"/>
    <w:rsid w:val="00E4733C"/>
    <w:rsid w:val="00E707D8"/>
    <w:rsid w:val="00E817E5"/>
    <w:rsid w:val="00E865C2"/>
    <w:rsid w:val="00F1031F"/>
    <w:rsid w:val="00F70E5C"/>
    <w:rsid w:val="00F73779"/>
    <w:rsid w:val="00F87360"/>
    <w:rsid w:val="00FA0DB4"/>
    <w:rsid w:val="00FA7158"/>
    <w:rsid w:val="00FF50E6"/>
    <w:rsid w:val="010E4F6E"/>
    <w:rsid w:val="013712F7"/>
    <w:rsid w:val="013C246A"/>
    <w:rsid w:val="01535BBA"/>
    <w:rsid w:val="016F7099"/>
    <w:rsid w:val="01AE10A4"/>
    <w:rsid w:val="01AF3A4F"/>
    <w:rsid w:val="01C27B77"/>
    <w:rsid w:val="01E0373D"/>
    <w:rsid w:val="02451033"/>
    <w:rsid w:val="026F7BA0"/>
    <w:rsid w:val="028C62E2"/>
    <w:rsid w:val="02D8307B"/>
    <w:rsid w:val="02EC2996"/>
    <w:rsid w:val="02FE5FA0"/>
    <w:rsid w:val="03190CB5"/>
    <w:rsid w:val="03215DBB"/>
    <w:rsid w:val="03912F41"/>
    <w:rsid w:val="03B92498"/>
    <w:rsid w:val="03BA4A14"/>
    <w:rsid w:val="03C03826"/>
    <w:rsid w:val="03E1761F"/>
    <w:rsid w:val="04210BBD"/>
    <w:rsid w:val="043A0EC2"/>
    <w:rsid w:val="048119FF"/>
    <w:rsid w:val="04BD1B14"/>
    <w:rsid w:val="04C21C5A"/>
    <w:rsid w:val="05080FE1"/>
    <w:rsid w:val="051536FE"/>
    <w:rsid w:val="0521245C"/>
    <w:rsid w:val="0524197F"/>
    <w:rsid w:val="0539563E"/>
    <w:rsid w:val="0569541C"/>
    <w:rsid w:val="05BF72F6"/>
    <w:rsid w:val="05E80E12"/>
    <w:rsid w:val="06220A34"/>
    <w:rsid w:val="063B0A20"/>
    <w:rsid w:val="063D115E"/>
    <w:rsid w:val="063D7F45"/>
    <w:rsid w:val="06515A71"/>
    <w:rsid w:val="06966A2B"/>
    <w:rsid w:val="06986394"/>
    <w:rsid w:val="069D2831"/>
    <w:rsid w:val="06B362BB"/>
    <w:rsid w:val="06CC1424"/>
    <w:rsid w:val="06E03B70"/>
    <w:rsid w:val="06E67100"/>
    <w:rsid w:val="06FF6413"/>
    <w:rsid w:val="07043A2A"/>
    <w:rsid w:val="07281BB4"/>
    <w:rsid w:val="07571DAC"/>
    <w:rsid w:val="07586296"/>
    <w:rsid w:val="076013B7"/>
    <w:rsid w:val="077417A0"/>
    <w:rsid w:val="077E558A"/>
    <w:rsid w:val="07854B6B"/>
    <w:rsid w:val="07943000"/>
    <w:rsid w:val="07AA637F"/>
    <w:rsid w:val="080203CE"/>
    <w:rsid w:val="08156C5F"/>
    <w:rsid w:val="081D4626"/>
    <w:rsid w:val="084F19EE"/>
    <w:rsid w:val="08DA0EE6"/>
    <w:rsid w:val="09542027"/>
    <w:rsid w:val="09635565"/>
    <w:rsid w:val="09692E5A"/>
    <w:rsid w:val="09831F2B"/>
    <w:rsid w:val="09A432A2"/>
    <w:rsid w:val="09BC4A90"/>
    <w:rsid w:val="09BE64C0"/>
    <w:rsid w:val="09FB55B8"/>
    <w:rsid w:val="0A3F0100"/>
    <w:rsid w:val="0A560A40"/>
    <w:rsid w:val="0A7B2255"/>
    <w:rsid w:val="0B04224A"/>
    <w:rsid w:val="0B16263E"/>
    <w:rsid w:val="0B443652"/>
    <w:rsid w:val="0B8B2FBA"/>
    <w:rsid w:val="0B9B2EA1"/>
    <w:rsid w:val="0BDA3067"/>
    <w:rsid w:val="0BED6A7B"/>
    <w:rsid w:val="0BF70C1C"/>
    <w:rsid w:val="0C65652A"/>
    <w:rsid w:val="0C6C07D5"/>
    <w:rsid w:val="0C8353F1"/>
    <w:rsid w:val="0C9D49EB"/>
    <w:rsid w:val="0CA5180B"/>
    <w:rsid w:val="0CB02DAF"/>
    <w:rsid w:val="0CB63A18"/>
    <w:rsid w:val="0CD143AE"/>
    <w:rsid w:val="0CF74AB8"/>
    <w:rsid w:val="0D181FDD"/>
    <w:rsid w:val="0D3D1A44"/>
    <w:rsid w:val="0D4B23B2"/>
    <w:rsid w:val="0D5648B3"/>
    <w:rsid w:val="0D5D3E94"/>
    <w:rsid w:val="0D761459"/>
    <w:rsid w:val="0D766D04"/>
    <w:rsid w:val="0E812BF3"/>
    <w:rsid w:val="0E8A515C"/>
    <w:rsid w:val="0E9733D5"/>
    <w:rsid w:val="0EB06E60"/>
    <w:rsid w:val="0EB10E23"/>
    <w:rsid w:val="0EF07055"/>
    <w:rsid w:val="0EFB1BB6"/>
    <w:rsid w:val="0F1A7048"/>
    <w:rsid w:val="0F312C7C"/>
    <w:rsid w:val="0F317386"/>
    <w:rsid w:val="0F5574D8"/>
    <w:rsid w:val="0F601A19"/>
    <w:rsid w:val="0F6C64AC"/>
    <w:rsid w:val="0F6E4136"/>
    <w:rsid w:val="0F77741D"/>
    <w:rsid w:val="0FA1275E"/>
    <w:rsid w:val="0FB76D11"/>
    <w:rsid w:val="0FC63F72"/>
    <w:rsid w:val="0FD55F4E"/>
    <w:rsid w:val="0FE16FFE"/>
    <w:rsid w:val="0FE32D76"/>
    <w:rsid w:val="0FE33B06"/>
    <w:rsid w:val="0FF3288D"/>
    <w:rsid w:val="0FF705D0"/>
    <w:rsid w:val="10017FB3"/>
    <w:rsid w:val="10090BD7"/>
    <w:rsid w:val="10235B8D"/>
    <w:rsid w:val="10515328"/>
    <w:rsid w:val="1088396D"/>
    <w:rsid w:val="108B0D18"/>
    <w:rsid w:val="109567B4"/>
    <w:rsid w:val="10A73DA4"/>
    <w:rsid w:val="111700D2"/>
    <w:rsid w:val="11190C87"/>
    <w:rsid w:val="11B83D8F"/>
    <w:rsid w:val="11D67F1C"/>
    <w:rsid w:val="12270C7D"/>
    <w:rsid w:val="123A29F6"/>
    <w:rsid w:val="123E35CF"/>
    <w:rsid w:val="12450EE5"/>
    <w:rsid w:val="12490E8B"/>
    <w:rsid w:val="12724255"/>
    <w:rsid w:val="127546CF"/>
    <w:rsid w:val="12DE7825"/>
    <w:rsid w:val="12E070F9"/>
    <w:rsid w:val="12E952FB"/>
    <w:rsid w:val="13176A48"/>
    <w:rsid w:val="131821D8"/>
    <w:rsid w:val="132A2348"/>
    <w:rsid w:val="13347445"/>
    <w:rsid w:val="133C34EE"/>
    <w:rsid w:val="133F619B"/>
    <w:rsid w:val="13551D5C"/>
    <w:rsid w:val="136C3083"/>
    <w:rsid w:val="13853604"/>
    <w:rsid w:val="138F79D2"/>
    <w:rsid w:val="13DF0BCE"/>
    <w:rsid w:val="13E0137B"/>
    <w:rsid w:val="13E56991"/>
    <w:rsid w:val="13EC5CCF"/>
    <w:rsid w:val="13F84916"/>
    <w:rsid w:val="140908D1"/>
    <w:rsid w:val="14187963"/>
    <w:rsid w:val="145C05DA"/>
    <w:rsid w:val="1468384A"/>
    <w:rsid w:val="14793E91"/>
    <w:rsid w:val="147A2925"/>
    <w:rsid w:val="14A730DD"/>
    <w:rsid w:val="150572EB"/>
    <w:rsid w:val="15945E81"/>
    <w:rsid w:val="15AC3C0A"/>
    <w:rsid w:val="15CA407F"/>
    <w:rsid w:val="15DF7B3C"/>
    <w:rsid w:val="15FD2BBA"/>
    <w:rsid w:val="16900E36"/>
    <w:rsid w:val="16D77AEA"/>
    <w:rsid w:val="16D96054"/>
    <w:rsid w:val="17127A9D"/>
    <w:rsid w:val="17140673"/>
    <w:rsid w:val="17141B46"/>
    <w:rsid w:val="17231CAA"/>
    <w:rsid w:val="172F13BB"/>
    <w:rsid w:val="17365147"/>
    <w:rsid w:val="17417AEF"/>
    <w:rsid w:val="17617B9E"/>
    <w:rsid w:val="176C18A3"/>
    <w:rsid w:val="17710C68"/>
    <w:rsid w:val="17B531B3"/>
    <w:rsid w:val="17C50FB3"/>
    <w:rsid w:val="17EE07BE"/>
    <w:rsid w:val="18883998"/>
    <w:rsid w:val="189D5A8C"/>
    <w:rsid w:val="18C2202E"/>
    <w:rsid w:val="18C33745"/>
    <w:rsid w:val="18F31AB7"/>
    <w:rsid w:val="1901426D"/>
    <w:rsid w:val="191C10A7"/>
    <w:rsid w:val="191C2DD1"/>
    <w:rsid w:val="1925050E"/>
    <w:rsid w:val="19322678"/>
    <w:rsid w:val="19397563"/>
    <w:rsid w:val="197B254B"/>
    <w:rsid w:val="19A46172"/>
    <w:rsid w:val="19AF0D41"/>
    <w:rsid w:val="19C46CD8"/>
    <w:rsid w:val="19C84D8B"/>
    <w:rsid w:val="19DE010A"/>
    <w:rsid w:val="19F245C4"/>
    <w:rsid w:val="1A014E15"/>
    <w:rsid w:val="1A0A7151"/>
    <w:rsid w:val="1A18186E"/>
    <w:rsid w:val="1A2B0002"/>
    <w:rsid w:val="1A2C531A"/>
    <w:rsid w:val="1A361CF4"/>
    <w:rsid w:val="1A5361CB"/>
    <w:rsid w:val="1A5D54D3"/>
    <w:rsid w:val="1A785A33"/>
    <w:rsid w:val="1AA2382E"/>
    <w:rsid w:val="1B3A4B9B"/>
    <w:rsid w:val="1B46065D"/>
    <w:rsid w:val="1B4E306E"/>
    <w:rsid w:val="1BA50EE0"/>
    <w:rsid w:val="1BAB583C"/>
    <w:rsid w:val="1BB3C7C0"/>
    <w:rsid w:val="1BDD4B1E"/>
    <w:rsid w:val="1C146065"/>
    <w:rsid w:val="1CFA6CD7"/>
    <w:rsid w:val="1D3C1D18"/>
    <w:rsid w:val="1D726A12"/>
    <w:rsid w:val="1D863B83"/>
    <w:rsid w:val="1DD42870"/>
    <w:rsid w:val="1DD45AAC"/>
    <w:rsid w:val="1DE91A1B"/>
    <w:rsid w:val="1DF50EBD"/>
    <w:rsid w:val="1DF87FC5"/>
    <w:rsid w:val="1E122A78"/>
    <w:rsid w:val="1E2D340E"/>
    <w:rsid w:val="1E7554E1"/>
    <w:rsid w:val="1E7A7A86"/>
    <w:rsid w:val="1E804B75"/>
    <w:rsid w:val="1ED57D2E"/>
    <w:rsid w:val="1EF62324"/>
    <w:rsid w:val="1F491496"/>
    <w:rsid w:val="1F765554"/>
    <w:rsid w:val="1F845AC6"/>
    <w:rsid w:val="1F884CCF"/>
    <w:rsid w:val="1F9B949E"/>
    <w:rsid w:val="1F9F033C"/>
    <w:rsid w:val="1FEC25BF"/>
    <w:rsid w:val="1FEF6E6E"/>
    <w:rsid w:val="20193933"/>
    <w:rsid w:val="20350AB8"/>
    <w:rsid w:val="204607B7"/>
    <w:rsid w:val="209B0A84"/>
    <w:rsid w:val="20C0056A"/>
    <w:rsid w:val="210D14B1"/>
    <w:rsid w:val="21505D92"/>
    <w:rsid w:val="21887642"/>
    <w:rsid w:val="219407F2"/>
    <w:rsid w:val="219F2875"/>
    <w:rsid w:val="21CF5E82"/>
    <w:rsid w:val="21DB2A55"/>
    <w:rsid w:val="21E87D78"/>
    <w:rsid w:val="220B1CB9"/>
    <w:rsid w:val="220F3557"/>
    <w:rsid w:val="22227D34"/>
    <w:rsid w:val="22250FCC"/>
    <w:rsid w:val="224E4F75"/>
    <w:rsid w:val="225E0B1F"/>
    <w:rsid w:val="22AD2D70"/>
    <w:rsid w:val="22B366F6"/>
    <w:rsid w:val="22B660C8"/>
    <w:rsid w:val="22E6561F"/>
    <w:rsid w:val="23005595"/>
    <w:rsid w:val="23294AEC"/>
    <w:rsid w:val="232E330C"/>
    <w:rsid w:val="2330729E"/>
    <w:rsid w:val="233139A1"/>
    <w:rsid w:val="23377EE9"/>
    <w:rsid w:val="23C2284B"/>
    <w:rsid w:val="23FE7B1E"/>
    <w:rsid w:val="2412563B"/>
    <w:rsid w:val="241412F8"/>
    <w:rsid w:val="243674C1"/>
    <w:rsid w:val="2443398C"/>
    <w:rsid w:val="24963C3A"/>
    <w:rsid w:val="24D77410"/>
    <w:rsid w:val="25903244"/>
    <w:rsid w:val="25C94365"/>
    <w:rsid w:val="25CD79B1"/>
    <w:rsid w:val="25F5597A"/>
    <w:rsid w:val="263E440B"/>
    <w:rsid w:val="26924756"/>
    <w:rsid w:val="269A09F7"/>
    <w:rsid w:val="2739601D"/>
    <w:rsid w:val="27433CA3"/>
    <w:rsid w:val="27706A7D"/>
    <w:rsid w:val="2771221C"/>
    <w:rsid w:val="278136ED"/>
    <w:rsid w:val="278E3045"/>
    <w:rsid w:val="279B0C50"/>
    <w:rsid w:val="279D270A"/>
    <w:rsid w:val="27A75FE0"/>
    <w:rsid w:val="27B626C7"/>
    <w:rsid w:val="27DA0163"/>
    <w:rsid w:val="288938C1"/>
    <w:rsid w:val="28924901"/>
    <w:rsid w:val="28B3769A"/>
    <w:rsid w:val="28DD71C8"/>
    <w:rsid w:val="290F795D"/>
    <w:rsid w:val="2976189C"/>
    <w:rsid w:val="29BD4AD2"/>
    <w:rsid w:val="29C410CB"/>
    <w:rsid w:val="29CD6601"/>
    <w:rsid w:val="29E9585C"/>
    <w:rsid w:val="29F758E8"/>
    <w:rsid w:val="2A307B20"/>
    <w:rsid w:val="2A566664"/>
    <w:rsid w:val="2A701253"/>
    <w:rsid w:val="2A8274CB"/>
    <w:rsid w:val="2A8D3BB3"/>
    <w:rsid w:val="2AAF03D5"/>
    <w:rsid w:val="2AC82E3D"/>
    <w:rsid w:val="2ADF07C0"/>
    <w:rsid w:val="2AF1729B"/>
    <w:rsid w:val="2BBA5F3F"/>
    <w:rsid w:val="2BD10AFE"/>
    <w:rsid w:val="2BD501A2"/>
    <w:rsid w:val="2C301C6E"/>
    <w:rsid w:val="2C6B57EF"/>
    <w:rsid w:val="2C9454FE"/>
    <w:rsid w:val="2C9A25B7"/>
    <w:rsid w:val="2CAD22EA"/>
    <w:rsid w:val="2CB238EE"/>
    <w:rsid w:val="2CBC077F"/>
    <w:rsid w:val="2CD94552"/>
    <w:rsid w:val="2D2500D2"/>
    <w:rsid w:val="2D71156A"/>
    <w:rsid w:val="2D8A262B"/>
    <w:rsid w:val="2D947006"/>
    <w:rsid w:val="2DD732E8"/>
    <w:rsid w:val="2DE312CD"/>
    <w:rsid w:val="2DEF248E"/>
    <w:rsid w:val="2E1E55CD"/>
    <w:rsid w:val="2E3A65F9"/>
    <w:rsid w:val="2E432355"/>
    <w:rsid w:val="2E6800CC"/>
    <w:rsid w:val="2E9B79E3"/>
    <w:rsid w:val="2EB455B4"/>
    <w:rsid w:val="2ED40002"/>
    <w:rsid w:val="2EFA733D"/>
    <w:rsid w:val="2F283F03"/>
    <w:rsid w:val="2F397E65"/>
    <w:rsid w:val="2F487110"/>
    <w:rsid w:val="2F544C9F"/>
    <w:rsid w:val="2F7470EF"/>
    <w:rsid w:val="2FD44032"/>
    <w:rsid w:val="2FED7D34"/>
    <w:rsid w:val="302A5A00"/>
    <w:rsid w:val="302E54F0"/>
    <w:rsid w:val="30542A7D"/>
    <w:rsid w:val="3058256D"/>
    <w:rsid w:val="307F3D64"/>
    <w:rsid w:val="30E87D95"/>
    <w:rsid w:val="30F42AE5"/>
    <w:rsid w:val="31175F84"/>
    <w:rsid w:val="31262305"/>
    <w:rsid w:val="31327262"/>
    <w:rsid w:val="31D9148B"/>
    <w:rsid w:val="31EA4EA1"/>
    <w:rsid w:val="324F6CEB"/>
    <w:rsid w:val="325B2EC3"/>
    <w:rsid w:val="326E1087"/>
    <w:rsid w:val="327F7178"/>
    <w:rsid w:val="32986C49"/>
    <w:rsid w:val="32992B58"/>
    <w:rsid w:val="32A2020C"/>
    <w:rsid w:val="32A46599"/>
    <w:rsid w:val="32A7158A"/>
    <w:rsid w:val="32F02F31"/>
    <w:rsid w:val="32F72DCA"/>
    <w:rsid w:val="332B7EA7"/>
    <w:rsid w:val="33423678"/>
    <w:rsid w:val="33512320"/>
    <w:rsid w:val="33644F60"/>
    <w:rsid w:val="336B25B7"/>
    <w:rsid w:val="33D20888"/>
    <w:rsid w:val="33E41628"/>
    <w:rsid w:val="33EE0701"/>
    <w:rsid w:val="33FB7DDF"/>
    <w:rsid w:val="33FF6CF8"/>
    <w:rsid w:val="340C5B48"/>
    <w:rsid w:val="34131094"/>
    <w:rsid w:val="342033A2"/>
    <w:rsid w:val="343E372E"/>
    <w:rsid w:val="344828F8"/>
    <w:rsid w:val="3451508A"/>
    <w:rsid w:val="34520673"/>
    <w:rsid w:val="34607C42"/>
    <w:rsid w:val="34E268A9"/>
    <w:rsid w:val="34E44900"/>
    <w:rsid w:val="35176F31"/>
    <w:rsid w:val="351C625F"/>
    <w:rsid w:val="3529097C"/>
    <w:rsid w:val="35487054"/>
    <w:rsid w:val="356779FE"/>
    <w:rsid w:val="3579427A"/>
    <w:rsid w:val="359B6AF0"/>
    <w:rsid w:val="35B74975"/>
    <w:rsid w:val="35E52AF5"/>
    <w:rsid w:val="36405F7D"/>
    <w:rsid w:val="36591B2F"/>
    <w:rsid w:val="366A2FFA"/>
    <w:rsid w:val="3676199F"/>
    <w:rsid w:val="36A96651"/>
    <w:rsid w:val="36C42F0E"/>
    <w:rsid w:val="36D04C5A"/>
    <w:rsid w:val="36D22A64"/>
    <w:rsid w:val="36DC2DE1"/>
    <w:rsid w:val="3711707E"/>
    <w:rsid w:val="37647A49"/>
    <w:rsid w:val="379C71E3"/>
    <w:rsid w:val="37E312B6"/>
    <w:rsid w:val="37E56DDC"/>
    <w:rsid w:val="37F214F9"/>
    <w:rsid w:val="37FA5416"/>
    <w:rsid w:val="37FFE6AC"/>
    <w:rsid w:val="38691F82"/>
    <w:rsid w:val="38B13162"/>
    <w:rsid w:val="391D15F5"/>
    <w:rsid w:val="398475C6"/>
    <w:rsid w:val="3A410CD0"/>
    <w:rsid w:val="3A5F655A"/>
    <w:rsid w:val="3A7B57D6"/>
    <w:rsid w:val="3AAE7AE6"/>
    <w:rsid w:val="3AB72586"/>
    <w:rsid w:val="3B153CF8"/>
    <w:rsid w:val="3B3616FD"/>
    <w:rsid w:val="3B6E533A"/>
    <w:rsid w:val="3B7D32FB"/>
    <w:rsid w:val="3B9D352A"/>
    <w:rsid w:val="3BC4654E"/>
    <w:rsid w:val="3BFC2946"/>
    <w:rsid w:val="3C137C90"/>
    <w:rsid w:val="3C1C4D96"/>
    <w:rsid w:val="3C380806"/>
    <w:rsid w:val="3C5677D7"/>
    <w:rsid w:val="3C577B7C"/>
    <w:rsid w:val="3C6D183D"/>
    <w:rsid w:val="3CBE61C5"/>
    <w:rsid w:val="3CD15B81"/>
    <w:rsid w:val="3CE112D9"/>
    <w:rsid w:val="3D7959A4"/>
    <w:rsid w:val="3D8E3A72"/>
    <w:rsid w:val="3D98189B"/>
    <w:rsid w:val="3DBF1E7D"/>
    <w:rsid w:val="3DC120E1"/>
    <w:rsid w:val="3DDC1999"/>
    <w:rsid w:val="3DDEB4E4"/>
    <w:rsid w:val="3E6B3412"/>
    <w:rsid w:val="3E976956"/>
    <w:rsid w:val="3EC6723B"/>
    <w:rsid w:val="3ED92ACB"/>
    <w:rsid w:val="3EE85404"/>
    <w:rsid w:val="3EF721D5"/>
    <w:rsid w:val="3EFA354B"/>
    <w:rsid w:val="3F0B4E92"/>
    <w:rsid w:val="3F56236D"/>
    <w:rsid w:val="3F7A2D95"/>
    <w:rsid w:val="3F8841F5"/>
    <w:rsid w:val="3FBB2D68"/>
    <w:rsid w:val="3FCC0881"/>
    <w:rsid w:val="3FE78442"/>
    <w:rsid w:val="408D71EA"/>
    <w:rsid w:val="409F3A59"/>
    <w:rsid w:val="40AD17DF"/>
    <w:rsid w:val="40EB4D37"/>
    <w:rsid w:val="40F25411"/>
    <w:rsid w:val="411A6F63"/>
    <w:rsid w:val="419D4069"/>
    <w:rsid w:val="41A97E1E"/>
    <w:rsid w:val="41AA4BF2"/>
    <w:rsid w:val="41FF0A9A"/>
    <w:rsid w:val="42294664"/>
    <w:rsid w:val="42462B6D"/>
    <w:rsid w:val="428B4A24"/>
    <w:rsid w:val="429D17C3"/>
    <w:rsid w:val="42B40F7C"/>
    <w:rsid w:val="42B7058F"/>
    <w:rsid w:val="42F779C3"/>
    <w:rsid w:val="430B0B78"/>
    <w:rsid w:val="430F2450"/>
    <w:rsid w:val="43291B47"/>
    <w:rsid w:val="43344A35"/>
    <w:rsid w:val="437D25BE"/>
    <w:rsid w:val="438C45B0"/>
    <w:rsid w:val="43AB0A6B"/>
    <w:rsid w:val="43AF120B"/>
    <w:rsid w:val="43C81360"/>
    <w:rsid w:val="43F17F21"/>
    <w:rsid w:val="441A4EF4"/>
    <w:rsid w:val="444958B2"/>
    <w:rsid w:val="448B0D0B"/>
    <w:rsid w:val="448D4A83"/>
    <w:rsid w:val="44901E7E"/>
    <w:rsid w:val="44E64193"/>
    <w:rsid w:val="451F3201"/>
    <w:rsid w:val="45394A3E"/>
    <w:rsid w:val="456450B8"/>
    <w:rsid w:val="458012DF"/>
    <w:rsid w:val="45856265"/>
    <w:rsid w:val="45E060FE"/>
    <w:rsid w:val="45FA6FCC"/>
    <w:rsid w:val="45FF375F"/>
    <w:rsid w:val="46001216"/>
    <w:rsid w:val="46396545"/>
    <w:rsid w:val="46603AD2"/>
    <w:rsid w:val="46833C2E"/>
    <w:rsid w:val="468E6891"/>
    <w:rsid w:val="46AB11F1"/>
    <w:rsid w:val="46C155FF"/>
    <w:rsid w:val="46CE0318"/>
    <w:rsid w:val="46DB773D"/>
    <w:rsid w:val="46F506BE"/>
    <w:rsid w:val="470D4DDB"/>
    <w:rsid w:val="4743722B"/>
    <w:rsid w:val="47476ADD"/>
    <w:rsid w:val="475C073D"/>
    <w:rsid w:val="47680E90"/>
    <w:rsid w:val="476A10AC"/>
    <w:rsid w:val="47B6FF77"/>
    <w:rsid w:val="47D93B3C"/>
    <w:rsid w:val="48304052"/>
    <w:rsid w:val="483616A5"/>
    <w:rsid w:val="485458B8"/>
    <w:rsid w:val="485C6F76"/>
    <w:rsid w:val="486453C9"/>
    <w:rsid w:val="486A6E89"/>
    <w:rsid w:val="488F68F0"/>
    <w:rsid w:val="4891774B"/>
    <w:rsid w:val="48A50E28"/>
    <w:rsid w:val="48F36E7F"/>
    <w:rsid w:val="48F65CAE"/>
    <w:rsid w:val="490966A2"/>
    <w:rsid w:val="49234F3A"/>
    <w:rsid w:val="494E0559"/>
    <w:rsid w:val="49935F6C"/>
    <w:rsid w:val="49C600F0"/>
    <w:rsid w:val="49EC224C"/>
    <w:rsid w:val="4A1365B8"/>
    <w:rsid w:val="4A722AB5"/>
    <w:rsid w:val="4AF2550B"/>
    <w:rsid w:val="4B1878F5"/>
    <w:rsid w:val="4B4C383A"/>
    <w:rsid w:val="4B670273"/>
    <w:rsid w:val="4B746C0F"/>
    <w:rsid w:val="4B95246F"/>
    <w:rsid w:val="4BC6087B"/>
    <w:rsid w:val="4C2966FC"/>
    <w:rsid w:val="4C51283A"/>
    <w:rsid w:val="4C581661"/>
    <w:rsid w:val="4C5E6D05"/>
    <w:rsid w:val="4C7F417C"/>
    <w:rsid w:val="4C875185"/>
    <w:rsid w:val="4C8F03ED"/>
    <w:rsid w:val="4CC3201B"/>
    <w:rsid w:val="4D4128AF"/>
    <w:rsid w:val="4D4E28D6"/>
    <w:rsid w:val="4D826A23"/>
    <w:rsid w:val="4D942C25"/>
    <w:rsid w:val="4DA91E14"/>
    <w:rsid w:val="4DA9F889"/>
    <w:rsid w:val="4E0B430A"/>
    <w:rsid w:val="4E20644E"/>
    <w:rsid w:val="4E740A62"/>
    <w:rsid w:val="4E875F10"/>
    <w:rsid w:val="4E876790"/>
    <w:rsid w:val="4EB533A9"/>
    <w:rsid w:val="4ED92673"/>
    <w:rsid w:val="4EFF657E"/>
    <w:rsid w:val="4F0C71D9"/>
    <w:rsid w:val="4F140E7E"/>
    <w:rsid w:val="4F2B26E0"/>
    <w:rsid w:val="4F604B42"/>
    <w:rsid w:val="4F610F13"/>
    <w:rsid w:val="4F716D4F"/>
    <w:rsid w:val="4F7640F5"/>
    <w:rsid w:val="4F8B2F41"/>
    <w:rsid w:val="4F93361D"/>
    <w:rsid w:val="4F9A44F8"/>
    <w:rsid w:val="4F9E0374"/>
    <w:rsid w:val="4F9E7FF4"/>
    <w:rsid w:val="4FA90414"/>
    <w:rsid w:val="4FB93147"/>
    <w:rsid w:val="4FC305DC"/>
    <w:rsid w:val="4FCD4A8E"/>
    <w:rsid w:val="4FFA9109"/>
    <w:rsid w:val="503462A6"/>
    <w:rsid w:val="507871BF"/>
    <w:rsid w:val="50BE7671"/>
    <w:rsid w:val="50D937EF"/>
    <w:rsid w:val="51142088"/>
    <w:rsid w:val="511E6A63"/>
    <w:rsid w:val="51313675"/>
    <w:rsid w:val="51501312"/>
    <w:rsid w:val="516079D1"/>
    <w:rsid w:val="516B7B44"/>
    <w:rsid w:val="51721D7C"/>
    <w:rsid w:val="52081BED"/>
    <w:rsid w:val="52131FB2"/>
    <w:rsid w:val="523D285F"/>
    <w:rsid w:val="524644C3"/>
    <w:rsid w:val="527A5F1B"/>
    <w:rsid w:val="528172AA"/>
    <w:rsid w:val="52927709"/>
    <w:rsid w:val="52990A97"/>
    <w:rsid w:val="529F7C3F"/>
    <w:rsid w:val="52A1781D"/>
    <w:rsid w:val="52A766E1"/>
    <w:rsid w:val="52CC7D2D"/>
    <w:rsid w:val="52E21FCD"/>
    <w:rsid w:val="53560736"/>
    <w:rsid w:val="535624F5"/>
    <w:rsid w:val="535C6BD8"/>
    <w:rsid w:val="53852DC9"/>
    <w:rsid w:val="53876B42"/>
    <w:rsid w:val="53DF2D8E"/>
    <w:rsid w:val="53F9269E"/>
    <w:rsid w:val="53FF2B7C"/>
    <w:rsid w:val="54065CB8"/>
    <w:rsid w:val="54370568"/>
    <w:rsid w:val="544F44F7"/>
    <w:rsid w:val="5461435C"/>
    <w:rsid w:val="547B6AD0"/>
    <w:rsid w:val="549C3AA8"/>
    <w:rsid w:val="54BD29C9"/>
    <w:rsid w:val="54E57FC4"/>
    <w:rsid w:val="54F77CF7"/>
    <w:rsid w:val="551C1A85"/>
    <w:rsid w:val="555313D1"/>
    <w:rsid w:val="55684751"/>
    <w:rsid w:val="557B1097"/>
    <w:rsid w:val="5587107B"/>
    <w:rsid w:val="55AB5C7A"/>
    <w:rsid w:val="55B27534"/>
    <w:rsid w:val="55C7591B"/>
    <w:rsid w:val="55CE0A58"/>
    <w:rsid w:val="55CE3334"/>
    <w:rsid w:val="55D4285A"/>
    <w:rsid w:val="5605091D"/>
    <w:rsid w:val="5616066A"/>
    <w:rsid w:val="562211C9"/>
    <w:rsid w:val="564D6793"/>
    <w:rsid w:val="56A1616C"/>
    <w:rsid w:val="56C35CCA"/>
    <w:rsid w:val="56CA3161"/>
    <w:rsid w:val="56D45B12"/>
    <w:rsid w:val="56EE60A5"/>
    <w:rsid w:val="56FC793A"/>
    <w:rsid w:val="57FA1966"/>
    <w:rsid w:val="583D0E0B"/>
    <w:rsid w:val="585D494D"/>
    <w:rsid w:val="586B6A32"/>
    <w:rsid w:val="58B935B5"/>
    <w:rsid w:val="58CB5722"/>
    <w:rsid w:val="58D85297"/>
    <w:rsid w:val="58EC5B9C"/>
    <w:rsid w:val="58EE5808"/>
    <w:rsid w:val="590757B1"/>
    <w:rsid w:val="59581206"/>
    <w:rsid w:val="59622E18"/>
    <w:rsid w:val="59BD32BD"/>
    <w:rsid w:val="59DC36CB"/>
    <w:rsid w:val="59E5440B"/>
    <w:rsid w:val="5A6C2FE9"/>
    <w:rsid w:val="5A8838A1"/>
    <w:rsid w:val="5AA82EA1"/>
    <w:rsid w:val="5AC91B3E"/>
    <w:rsid w:val="5AD809D1"/>
    <w:rsid w:val="5ADF7B69"/>
    <w:rsid w:val="5AE34010"/>
    <w:rsid w:val="5AE57128"/>
    <w:rsid w:val="5AFAF733"/>
    <w:rsid w:val="5B2F6A01"/>
    <w:rsid w:val="5B865931"/>
    <w:rsid w:val="5BAF4A67"/>
    <w:rsid w:val="5BDF731D"/>
    <w:rsid w:val="5C421DD1"/>
    <w:rsid w:val="5C4E58CF"/>
    <w:rsid w:val="5C78796F"/>
    <w:rsid w:val="5CFD2954"/>
    <w:rsid w:val="5D351CF6"/>
    <w:rsid w:val="5D4F6922"/>
    <w:rsid w:val="5D6109F5"/>
    <w:rsid w:val="5D681792"/>
    <w:rsid w:val="5D9C027E"/>
    <w:rsid w:val="5DB03139"/>
    <w:rsid w:val="5DBFE2E4"/>
    <w:rsid w:val="5DDF7A87"/>
    <w:rsid w:val="5DE278B7"/>
    <w:rsid w:val="5E40270F"/>
    <w:rsid w:val="5E772EC1"/>
    <w:rsid w:val="5E82108D"/>
    <w:rsid w:val="5E824AD5"/>
    <w:rsid w:val="5E8E6FD6"/>
    <w:rsid w:val="5E9C71C5"/>
    <w:rsid w:val="5E9E3287"/>
    <w:rsid w:val="5ED846F5"/>
    <w:rsid w:val="5F034C6F"/>
    <w:rsid w:val="5F622211"/>
    <w:rsid w:val="5F6847A5"/>
    <w:rsid w:val="5F8F28CB"/>
    <w:rsid w:val="5FB44B2E"/>
    <w:rsid w:val="5FFD49A1"/>
    <w:rsid w:val="6019388E"/>
    <w:rsid w:val="601E16EE"/>
    <w:rsid w:val="60512F91"/>
    <w:rsid w:val="60667D3B"/>
    <w:rsid w:val="60864B16"/>
    <w:rsid w:val="608E2818"/>
    <w:rsid w:val="60D47FE9"/>
    <w:rsid w:val="613F7EC8"/>
    <w:rsid w:val="61652C49"/>
    <w:rsid w:val="617C580C"/>
    <w:rsid w:val="6192071F"/>
    <w:rsid w:val="61CB6793"/>
    <w:rsid w:val="61D45648"/>
    <w:rsid w:val="626F614B"/>
    <w:rsid w:val="62BC011C"/>
    <w:rsid w:val="62DB2A06"/>
    <w:rsid w:val="62DD0CC0"/>
    <w:rsid w:val="631D6B7A"/>
    <w:rsid w:val="632223E3"/>
    <w:rsid w:val="63527CBF"/>
    <w:rsid w:val="63604CB9"/>
    <w:rsid w:val="63B868A3"/>
    <w:rsid w:val="63D7141F"/>
    <w:rsid w:val="63F76AEF"/>
    <w:rsid w:val="64040C59"/>
    <w:rsid w:val="64306D81"/>
    <w:rsid w:val="64524F4A"/>
    <w:rsid w:val="64564049"/>
    <w:rsid w:val="6479B950"/>
    <w:rsid w:val="6481138B"/>
    <w:rsid w:val="65165F77"/>
    <w:rsid w:val="655908A2"/>
    <w:rsid w:val="65666DB9"/>
    <w:rsid w:val="65723276"/>
    <w:rsid w:val="659438DB"/>
    <w:rsid w:val="65CF7132"/>
    <w:rsid w:val="65D9039F"/>
    <w:rsid w:val="661B74FF"/>
    <w:rsid w:val="668FFD52"/>
    <w:rsid w:val="66AB26EF"/>
    <w:rsid w:val="66BC351E"/>
    <w:rsid w:val="67206C39"/>
    <w:rsid w:val="673D5A3D"/>
    <w:rsid w:val="678533FB"/>
    <w:rsid w:val="67A51172"/>
    <w:rsid w:val="67B101D9"/>
    <w:rsid w:val="67CE1AEA"/>
    <w:rsid w:val="6819678B"/>
    <w:rsid w:val="685E3EBD"/>
    <w:rsid w:val="68660FC4"/>
    <w:rsid w:val="68C36416"/>
    <w:rsid w:val="68EB3277"/>
    <w:rsid w:val="68EB6A0B"/>
    <w:rsid w:val="68EF0FB9"/>
    <w:rsid w:val="6907627A"/>
    <w:rsid w:val="690E575F"/>
    <w:rsid w:val="69180D06"/>
    <w:rsid w:val="691C1682"/>
    <w:rsid w:val="692A7707"/>
    <w:rsid w:val="692C0A4C"/>
    <w:rsid w:val="6933534A"/>
    <w:rsid w:val="69336C29"/>
    <w:rsid w:val="69375D48"/>
    <w:rsid w:val="69692B1A"/>
    <w:rsid w:val="696A0640"/>
    <w:rsid w:val="69766FE4"/>
    <w:rsid w:val="698649C0"/>
    <w:rsid w:val="69951B60"/>
    <w:rsid w:val="69D77881"/>
    <w:rsid w:val="69FB573C"/>
    <w:rsid w:val="6A372C18"/>
    <w:rsid w:val="6A5D01A4"/>
    <w:rsid w:val="6AB04778"/>
    <w:rsid w:val="6AD2649C"/>
    <w:rsid w:val="6B5C045C"/>
    <w:rsid w:val="6B6F3E15"/>
    <w:rsid w:val="6B7036D0"/>
    <w:rsid w:val="6B722607"/>
    <w:rsid w:val="6B841E8D"/>
    <w:rsid w:val="6BB64010"/>
    <w:rsid w:val="6BBF2EC5"/>
    <w:rsid w:val="6BFB5EC7"/>
    <w:rsid w:val="6C066D46"/>
    <w:rsid w:val="6C07661A"/>
    <w:rsid w:val="6C3A69EF"/>
    <w:rsid w:val="6C714041"/>
    <w:rsid w:val="6C850CCB"/>
    <w:rsid w:val="6C89702F"/>
    <w:rsid w:val="6C9A748E"/>
    <w:rsid w:val="6CB31D0E"/>
    <w:rsid w:val="6D3A6E8E"/>
    <w:rsid w:val="6D8F4B19"/>
    <w:rsid w:val="6DAA3701"/>
    <w:rsid w:val="6DB17E51"/>
    <w:rsid w:val="6DBA3B2E"/>
    <w:rsid w:val="6DFD14DA"/>
    <w:rsid w:val="6E0E3C8F"/>
    <w:rsid w:val="6E2A0D69"/>
    <w:rsid w:val="6E4C2A0A"/>
    <w:rsid w:val="6E4E0530"/>
    <w:rsid w:val="6EA97E5C"/>
    <w:rsid w:val="6ED651FE"/>
    <w:rsid w:val="6F467505"/>
    <w:rsid w:val="6F5150BD"/>
    <w:rsid w:val="702F68EB"/>
    <w:rsid w:val="70453800"/>
    <w:rsid w:val="70AD748E"/>
    <w:rsid w:val="70BB1F0C"/>
    <w:rsid w:val="70DB235B"/>
    <w:rsid w:val="71092E34"/>
    <w:rsid w:val="711E68DF"/>
    <w:rsid w:val="714874B8"/>
    <w:rsid w:val="71897AFB"/>
    <w:rsid w:val="728A3B01"/>
    <w:rsid w:val="72AE2727"/>
    <w:rsid w:val="72C72CA2"/>
    <w:rsid w:val="7309650C"/>
    <w:rsid w:val="731627D3"/>
    <w:rsid w:val="733A7699"/>
    <w:rsid w:val="737A5923"/>
    <w:rsid w:val="737F118B"/>
    <w:rsid w:val="73BC418E"/>
    <w:rsid w:val="73CA207F"/>
    <w:rsid w:val="73F70C5C"/>
    <w:rsid w:val="740D083A"/>
    <w:rsid w:val="741E10D9"/>
    <w:rsid w:val="744877CF"/>
    <w:rsid w:val="745213E3"/>
    <w:rsid w:val="74681D68"/>
    <w:rsid w:val="748A31AB"/>
    <w:rsid w:val="74A72748"/>
    <w:rsid w:val="74AB2123"/>
    <w:rsid w:val="74CE23CA"/>
    <w:rsid w:val="74DC4AE7"/>
    <w:rsid w:val="751853F4"/>
    <w:rsid w:val="753955FE"/>
    <w:rsid w:val="756923C9"/>
    <w:rsid w:val="75705230"/>
    <w:rsid w:val="759E1D9D"/>
    <w:rsid w:val="759E7FEF"/>
    <w:rsid w:val="75FE7BC6"/>
    <w:rsid w:val="76171B4F"/>
    <w:rsid w:val="767F0AB9"/>
    <w:rsid w:val="76CC46E8"/>
    <w:rsid w:val="76D1673E"/>
    <w:rsid w:val="76FF717E"/>
    <w:rsid w:val="77035C3C"/>
    <w:rsid w:val="77313CD6"/>
    <w:rsid w:val="77334767"/>
    <w:rsid w:val="77790089"/>
    <w:rsid w:val="77D43766"/>
    <w:rsid w:val="77FA1D1D"/>
    <w:rsid w:val="781F1BE1"/>
    <w:rsid w:val="783E3DBF"/>
    <w:rsid w:val="7847671C"/>
    <w:rsid w:val="78873B38"/>
    <w:rsid w:val="78A376CA"/>
    <w:rsid w:val="78AB4366"/>
    <w:rsid w:val="78C23FF4"/>
    <w:rsid w:val="793A221E"/>
    <w:rsid w:val="79F47917"/>
    <w:rsid w:val="79F521A7"/>
    <w:rsid w:val="79F71A7C"/>
    <w:rsid w:val="79FF4DD4"/>
    <w:rsid w:val="7A6705D1"/>
    <w:rsid w:val="7AAC0AB8"/>
    <w:rsid w:val="7AAFEAD9"/>
    <w:rsid w:val="7ABB208A"/>
    <w:rsid w:val="7AD65B35"/>
    <w:rsid w:val="7AEC35AA"/>
    <w:rsid w:val="7AEF8F0A"/>
    <w:rsid w:val="7B164E20"/>
    <w:rsid w:val="7B252618"/>
    <w:rsid w:val="7B5B24DE"/>
    <w:rsid w:val="7B5F5B2A"/>
    <w:rsid w:val="7B7729FD"/>
    <w:rsid w:val="7BA6A1BC"/>
    <w:rsid w:val="7BA94FF8"/>
    <w:rsid w:val="7BDA78A7"/>
    <w:rsid w:val="7BDD5915"/>
    <w:rsid w:val="7C077AC2"/>
    <w:rsid w:val="7C375D2D"/>
    <w:rsid w:val="7C496298"/>
    <w:rsid w:val="7C5633CB"/>
    <w:rsid w:val="7C727ADF"/>
    <w:rsid w:val="7C8141C6"/>
    <w:rsid w:val="7CC14D89"/>
    <w:rsid w:val="7CC53F58"/>
    <w:rsid w:val="7D083FA0"/>
    <w:rsid w:val="7D0C3A90"/>
    <w:rsid w:val="7D567401"/>
    <w:rsid w:val="7D627B54"/>
    <w:rsid w:val="7D6903CE"/>
    <w:rsid w:val="7D7A4E9D"/>
    <w:rsid w:val="7D822BDD"/>
    <w:rsid w:val="7DBD489D"/>
    <w:rsid w:val="7DE60D6B"/>
    <w:rsid w:val="7DEF6F7A"/>
    <w:rsid w:val="7DF6029C"/>
    <w:rsid w:val="7DFA0FA7"/>
    <w:rsid w:val="7E097FCF"/>
    <w:rsid w:val="7E1A2770"/>
    <w:rsid w:val="7E1D19FF"/>
    <w:rsid w:val="7EB77A2B"/>
    <w:rsid w:val="7ECF5C04"/>
    <w:rsid w:val="7ED76320"/>
    <w:rsid w:val="7EDBB46D"/>
    <w:rsid w:val="7EEF7932"/>
    <w:rsid w:val="7EF96031"/>
    <w:rsid w:val="7F17C953"/>
    <w:rsid w:val="7F385010"/>
    <w:rsid w:val="7F47478E"/>
    <w:rsid w:val="7F547970"/>
    <w:rsid w:val="7F7F3ECC"/>
    <w:rsid w:val="7F8A5218"/>
    <w:rsid w:val="7FB44005"/>
    <w:rsid w:val="7FBA5628"/>
    <w:rsid w:val="7FC1463E"/>
    <w:rsid w:val="7FE42AA2"/>
    <w:rsid w:val="7FF1D104"/>
    <w:rsid w:val="7FFF02C2"/>
    <w:rsid w:val="7FFF7290"/>
    <w:rsid w:val="89FFE25E"/>
    <w:rsid w:val="8E77A75C"/>
    <w:rsid w:val="8FAEDAF7"/>
    <w:rsid w:val="9C6695D8"/>
    <w:rsid w:val="9F1DF5B6"/>
    <w:rsid w:val="9FC7D7A0"/>
    <w:rsid w:val="9FEBD47A"/>
    <w:rsid w:val="9FFB1BB0"/>
    <w:rsid w:val="B3FA7BD4"/>
    <w:rsid w:val="BBDC010C"/>
    <w:rsid w:val="BD6FC866"/>
    <w:rsid w:val="C5EEC2B8"/>
    <w:rsid w:val="CD769B72"/>
    <w:rsid w:val="CFF75846"/>
    <w:rsid w:val="D02E98C1"/>
    <w:rsid w:val="D39F11C1"/>
    <w:rsid w:val="D75B3E5F"/>
    <w:rsid w:val="D9FBD706"/>
    <w:rsid w:val="DDBA2C75"/>
    <w:rsid w:val="DDD7B5A2"/>
    <w:rsid w:val="DEF0A3FE"/>
    <w:rsid w:val="DF79B985"/>
    <w:rsid w:val="DFE907B8"/>
    <w:rsid w:val="E6B5B3F0"/>
    <w:rsid w:val="E6DD95A2"/>
    <w:rsid w:val="EBD94E16"/>
    <w:rsid w:val="EBFB2486"/>
    <w:rsid w:val="EBFF9917"/>
    <w:rsid w:val="EF5DC7F0"/>
    <w:rsid w:val="F7BF9ABD"/>
    <w:rsid w:val="F99E4C4B"/>
    <w:rsid w:val="FC74C654"/>
    <w:rsid w:val="FC9444D8"/>
    <w:rsid w:val="FD5F2E8F"/>
    <w:rsid w:val="FDEFA17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9" w:semiHidden="0" w:name="heading 4"/>
    <w:lsdException w:qFormat="1" w:unhideWhenUsed="0" w:uiPriority="0" w:semiHidden="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bCs/>
      <w:kern w:val="2"/>
      <w:sz w:val="28"/>
      <w:szCs w:val="24"/>
      <w:lang w:val="en-US" w:eastAsia="zh-CN" w:bidi="ar-SA"/>
    </w:rPr>
  </w:style>
  <w:style w:type="paragraph" w:styleId="2">
    <w:name w:val="heading 1"/>
    <w:basedOn w:val="1"/>
    <w:next w:val="1"/>
    <w:link w:val="31"/>
    <w:qFormat/>
    <w:uiPriority w:val="0"/>
    <w:pPr>
      <w:keepNext/>
      <w:keepLines/>
      <w:spacing w:line="360" w:lineRule="auto"/>
      <w:jc w:val="center"/>
      <w:outlineLvl w:val="0"/>
    </w:pPr>
    <w:rPr>
      <w:b/>
      <w:kern w:val="44"/>
      <w:sz w:val="36"/>
      <w:szCs w:val="44"/>
    </w:rPr>
  </w:style>
  <w:style w:type="paragraph" w:styleId="3">
    <w:name w:val="heading 2"/>
    <w:basedOn w:val="1"/>
    <w:next w:val="1"/>
    <w:qFormat/>
    <w:uiPriority w:val="0"/>
    <w:pPr>
      <w:widowControl/>
      <w:spacing w:before="50" w:beforeLines="50"/>
      <w:jc w:val="left"/>
      <w:outlineLvl w:val="1"/>
    </w:pPr>
    <w:rPr>
      <w:rFonts w:hAnsi="宋体" w:cs="宋体"/>
      <w:b/>
      <w:kern w:val="0"/>
      <w:sz w:val="36"/>
      <w:szCs w:val="36"/>
    </w:rPr>
  </w:style>
  <w:style w:type="paragraph" w:styleId="4">
    <w:name w:val="heading 3"/>
    <w:basedOn w:val="1"/>
    <w:next w:val="1"/>
    <w:qFormat/>
    <w:uiPriority w:val="1"/>
    <w:pPr>
      <w:outlineLvl w:val="2"/>
    </w:pPr>
    <w:rPr>
      <w:rFonts w:ascii="仿宋" w:hAnsi="仿宋" w:eastAsia="仿宋"/>
      <w:b/>
      <w:sz w:val="32"/>
      <w:szCs w:val="32"/>
    </w:rPr>
  </w:style>
  <w:style w:type="paragraph" w:styleId="5">
    <w:name w:val="heading 4"/>
    <w:basedOn w:val="1"/>
    <w:next w:val="6"/>
    <w:unhideWhenUsed/>
    <w:qFormat/>
    <w:uiPriority w:val="9"/>
    <w:pPr>
      <w:keepNext/>
      <w:keepLines/>
      <w:numPr>
        <w:ilvl w:val="3"/>
        <w:numId w:val="1"/>
      </w:numPr>
      <w:spacing w:line="377" w:lineRule="auto"/>
      <w:outlineLvl w:val="3"/>
    </w:pPr>
    <w:rPr>
      <w:rFonts w:asciiTheme="majorHAnsi" w:hAnsiTheme="majorHAnsi" w:cstheme="majorBidi"/>
      <w:b/>
      <w:szCs w:val="28"/>
    </w:rPr>
  </w:style>
  <w:style w:type="paragraph" w:styleId="7">
    <w:name w:val="heading 5"/>
    <w:basedOn w:val="1"/>
    <w:next w:val="1"/>
    <w:qFormat/>
    <w:uiPriority w:val="0"/>
    <w:pPr>
      <w:keepNext/>
      <w:keepLines/>
      <w:numPr>
        <w:ilvl w:val="2"/>
        <w:numId w:val="2"/>
      </w:numPr>
      <w:tabs>
        <w:tab w:val="left" w:pos="1260"/>
      </w:tabs>
      <w:spacing w:before="156" w:after="156" w:line="377" w:lineRule="auto"/>
      <w:outlineLvl w:val="4"/>
    </w:pPr>
    <w:rPr>
      <w:rFonts w:hAnsi="宋体"/>
      <w:b/>
      <w:color w:val="000000"/>
      <w:szCs w:val="21"/>
      <w:lang w:val="zh-CN"/>
    </w:rPr>
  </w:style>
  <w:style w:type="paragraph" w:styleId="8">
    <w:name w:val="heading 6"/>
    <w:basedOn w:val="1"/>
    <w:next w:val="1"/>
    <w:unhideWhenUsed/>
    <w:qFormat/>
    <w:uiPriority w:val="9"/>
    <w:pPr>
      <w:keepNext/>
      <w:keepLines/>
      <w:numPr>
        <w:ilvl w:val="3"/>
        <w:numId w:val="2"/>
      </w:numPr>
      <w:spacing w:before="240" w:after="64" w:line="320" w:lineRule="auto"/>
      <w:outlineLvl w:val="5"/>
    </w:pPr>
    <w:rPr>
      <w:rFonts w:ascii="等线 Light" w:hAnsi="等线 Light" w:eastAsia="等线 Light"/>
      <w:b/>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6">
    <w:name w:val="方案正文"/>
    <w:basedOn w:val="1"/>
    <w:qFormat/>
    <w:uiPriority w:val="0"/>
    <w:pPr>
      <w:spacing w:line="360" w:lineRule="auto"/>
      <w:ind w:firstLine="200" w:firstLineChars="200"/>
    </w:pPr>
    <w:rPr>
      <w:sz w:val="24"/>
    </w:rPr>
  </w:style>
  <w:style w:type="paragraph" w:styleId="9">
    <w:name w:val="Normal Indent"/>
    <w:basedOn w:val="1"/>
    <w:qFormat/>
    <w:uiPriority w:val="0"/>
    <w:pPr>
      <w:autoSpaceDE w:val="0"/>
      <w:autoSpaceDN w:val="0"/>
      <w:ind w:left="181" w:firstLine="420"/>
    </w:pPr>
    <w:rPr>
      <w:szCs w:val="20"/>
    </w:rPr>
  </w:style>
  <w:style w:type="paragraph" w:styleId="10">
    <w:name w:val="caption"/>
    <w:basedOn w:val="1"/>
    <w:next w:val="1"/>
    <w:qFormat/>
    <w:uiPriority w:val="0"/>
    <w:pPr>
      <w:spacing w:before="152" w:after="160"/>
    </w:pPr>
    <w:rPr>
      <w:rFonts w:ascii="Arial" w:hAnsi="Arial" w:eastAsia="黑体" w:cs="Arial"/>
      <w:bCs w:val="0"/>
      <w:sz w:val="20"/>
      <w:szCs w:val="20"/>
    </w:rPr>
  </w:style>
  <w:style w:type="paragraph" w:styleId="11">
    <w:name w:val="annotation text"/>
    <w:basedOn w:val="1"/>
    <w:qFormat/>
    <w:uiPriority w:val="0"/>
    <w:pPr>
      <w:jc w:val="left"/>
    </w:pPr>
  </w:style>
  <w:style w:type="paragraph" w:styleId="12">
    <w:name w:val="Salutation"/>
    <w:basedOn w:val="1"/>
    <w:next w:val="1"/>
    <w:qFormat/>
    <w:uiPriority w:val="0"/>
    <w:rPr>
      <w:rFonts w:ascii="Calibri" w:hAnsi="Calibri"/>
      <w:szCs w:val="20"/>
    </w:rPr>
  </w:style>
  <w:style w:type="paragraph" w:styleId="13">
    <w:name w:val="Body Text"/>
    <w:basedOn w:val="1"/>
    <w:qFormat/>
    <w:uiPriority w:val="0"/>
    <w:rPr>
      <w:rFonts w:hAnsi="宋体"/>
      <w:sz w:val="32"/>
      <w:szCs w:val="20"/>
    </w:rPr>
  </w:style>
  <w:style w:type="paragraph" w:styleId="14">
    <w:name w:val="Body Text Indent"/>
    <w:basedOn w:val="1"/>
    <w:next w:val="15"/>
    <w:qFormat/>
    <w:uiPriority w:val="0"/>
    <w:pPr>
      <w:spacing w:line="480" w:lineRule="exact"/>
      <w:ind w:firstLine="538" w:firstLineChars="192"/>
      <w:jc w:val="left"/>
    </w:pPr>
    <w:rPr>
      <w:bCs w:val="0"/>
    </w:rPr>
  </w:style>
  <w:style w:type="paragraph" w:styleId="15">
    <w:name w:val="envelope return"/>
    <w:basedOn w:val="1"/>
    <w:qFormat/>
    <w:uiPriority w:val="0"/>
    <w:pPr>
      <w:adjustRightInd w:val="0"/>
      <w:snapToGrid w:val="0"/>
      <w:spacing w:after="200"/>
    </w:pPr>
    <w:rPr>
      <w:rFonts w:ascii="Arial" w:hAnsi="Arial" w:eastAsia="微软雅黑"/>
      <w:kern w:val="0"/>
      <w:sz w:val="22"/>
    </w:rPr>
  </w:style>
  <w:style w:type="paragraph" w:styleId="16">
    <w:name w:val="Body Text Indent 2"/>
    <w:basedOn w:val="1"/>
    <w:qFormat/>
    <w:uiPriority w:val="0"/>
    <w:pPr>
      <w:spacing w:after="120" w:line="480" w:lineRule="auto"/>
      <w:ind w:left="420" w:leftChars="200"/>
    </w:pPr>
    <w:rPr>
      <w:kern w:val="0"/>
      <w:sz w:val="20"/>
    </w:rPr>
  </w:style>
  <w:style w:type="paragraph" w:styleId="17">
    <w:name w:val="footer"/>
    <w:basedOn w:val="1"/>
    <w:unhideWhenUsed/>
    <w:qFormat/>
    <w:uiPriority w:val="99"/>
    <w:pPr>
      <w:tabs>
        <w:tab w:val="center" w:pos="4153"/>
        <w:tab w:val="right" w:pos="8306"/>
      </w:tabs>
      <w:snapToGrid w:val="0"/>
      <w:jc w:val="left"/>
    </w:pPr>
    <w:rPr>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toc 2"/>
    <w:basedOn w:val="1"/>
    <w:next w:val="1"/>
    <w:qFormat/>
    <w:uiPriority w:val="0"/>
    <w:pPr>
      <w:ind w:left="420" w:leftChars="200"/>
    </w:pPr>
  </w:style>
  <w:style w:type="paragraph" w:styleId="21">
    <w:name w:val="Body Text 2"/>
    <w:basedOn w:val="1"/>
    <w:qFormat/>
    <w:uiPriority w:val="0"/>
    <w:pPr>
      <w:spacing w:after="120" w:line="480" w:lineRule="auto"/>
    </w:pPr>
  </w:style>
  <w:style w:type="paragraph" w:styleId="22">
    <w:name w:val="Normal (Web)"/>
    <w:basedOn w:val="1"/>
    <w:qFormat/>
    <w:uiPriority w:val="99"/>
    <w:pPr>
      <w:spacing w:before="100" w:beforeAutospacing="1" w:after="100" w:afterAutospacing="1"/>
    </w:pPr>
    <w:rPr>
      <w:kern w:val="0"/>
    </w:rPr>
  </w:style>
  <w:style w:type="paragraph" w:styleId="23">
    <w:name w:val="Title"/>
    <w:basedOn w:val="1"/>
    <w:next w:val="1"/>
    <w:qFormat/>
    <w:uiPriority w:val="99"/>
    <w:pPr>
      <w:spacing w:before="240" w:after="60"/>
      <w:jc w:val="left"/>
      <w:outlineLvl w:val="0"/>
    </w:pPr>
    <w:rPr>
      <w:rFonts w:ascii="Cambria" w:hAnsi="Cambria"/>
      <w:b/>
      <w:szCs w:val="32"/>
    </w:rPr>
  </w:style>
  <w:style w:type="paragraph" w:styleId="24">
    <w:name w:val="Body Text First Indent 2"/>
    <w:basedOn w:val="14"/>
    <w:next w:val="13"/>
    <w:unhideWhenUsed/>
    <w:qFormat/>
    <w:uiPriority w:val="99"/>
    <w:pPr>
      <w:ind w:firstLine="420" w:firstLineChars="200"/>
    </w:pPr>
    <w:rPr>
      <w:rFonts w:ascii="Arial" w:hAnsi="Arial"/>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annotation reference"/>
    <w:qFormat/>
    <w:uiPriority w:val="0"/>
    <w:rPr>
      <w:sz w:val="21"/>
      <w:szCs w:val="21"/>
    </w:rPr>
  </w:style>
  <w:style w:type="character" w:customStyle="1" w:styleId="31">
    <w:name w:val="标题 1 字符"/>
    <w:link w:val="2"/>
    <w:qFormat/>
    <w:uiPriority w:val="0"/>
    <w:rPr>
      <w:b/>
      <w:kern w:val="44"/>
      <w:sz w:val="36"/>
      <w:szCs w:val="44"/>
    </w:rPr>
  </w:style>
  <w:style w:type="paragraph" w:styleId="32">
    <w:name w:val="List Paragraph"/>
    <w:basedOn w:val="1"/>
    <w:qFormat/>
    <w:uiPriority w:val="99"/>
    <w:pPr>
      <w:ind w:firstLine="420" w:firstLineChars="200"/>
    </w:pPr>
    <w:rPr>
      <w:rFonts w:ascii="Times New Roman"/>
      <w:bCs w:val="0"/>
      <w:sz w:val="21"/>
      <w:szCs w:val="20"/>
    </w:rPr>
  </w:style>
  <w:style w:type="character" w:customStyle="1" w:styleId="33">
    <w:name w:val="样式 仿宋"/>
    <w:qFormat/>
    <w:uiPriority w:val="0"/>
    <w:rPr>
      <w:rFonts w:ascii="仿宋" w:hAnsi="仿宋" w:eastAsia="仿宋"/>
      <w:kern w:val="1"/>
    </w:rPr>
  </w:style>
  <w:style w:type="table" w:customStyle="1" w:styleId="34">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D正文"/>
    <w:basedOn w:val="24"/>
    <w:qFormat/>
    <w:uiPriority w:val="0"/>
    <w:pPr>
      <w:spacing w:before="100" w:beforeAutospacing="1" w:after="100" w:afterAutospacing="1"/>
    </w:pPr>
  </w:style>
  <w:style w:type="paragraph" w:customStyle="1" w:styleId="36">
    <w:name w:val="0正文"/>
    <w:basedOn w:val="1"/>
    <w:qFormat/>
    <w:uiPriority w:val="0"/>
    <w:pPr>
      <w:adjustRightInd w:val="0"/>
      <w:ind w:firstLine="480" w:firstLineChars="200"/>
      <w:textAlignment w:val="baseline"/>
    </w:pPr>
    <w:rPr>
      <w:rFonts w:ascii="Verdana" w:hAnsi="Verdana" w:eastAsia="华文中宋"/>
      <w:color w:val="FF0000"/>
    </w:rPr>
  </w:style>
  <w:style w:type="paragraph" w:customStyle="1" w:styleId="37">
    <w:name w:val="列表段落1"/>
    <w:basedOn w:val="1"/>
    <w:qFormat/>
    <w:uiPriority w:val="34"/>
    <w:pPr>
      <w:adjustRightInd w:val="0"/>
      <w:snapToGrid w:val="0"/>
    </w:pPr>
    <w:rPr>
      <w:rFonts w:hAnsi="宋体"/>
    </w:rPr>
  </w:style>
  <w:style w:type="paragraph" w:customStyle="1" w:styleId="38">
    <w:name w:val="列出段落1"/>
    <w:basedOn w:val="1"/>
    <w:qFormat/>
    <w:uiPriority w:val="99"/>
    <w:pPr>
      <w:ind w:firstLine="420" w:firstLineChars="200"/>
    </w:pPr>
  </w:style>
  <w:style w:type="paragraph" w:customStyle="1" w:styleId="39">
    <w:name w:val="石墨文档正文"/>
    <w:qFormat/>
    <w:uiPriority w:val="0"/>
    <w:rPr>
      <w:rFonts w:ascii="微软雅黑" w:hAnsi="微软雅黑" w:eastAsia="微软雅黑" w:cs="微软雅黑"/>
      <w:sz w:val="24"/>
      <w:szCs w:val="24"/>
      <w:lang w:val="en-US" w:eastAsia="zh-CN" w:bidi="ar-SA"/>
    </w:rPr>
  </w:style>
  <w:style w:type="character" w:customStyle="1" w:styleId="40">
    <w:name w:val="font11"/>
    <w:basedOn w:val="27"/>
    <w:qFormat/>
    <w:uiPriority w:val="0"/>
    <w:rPr>
      <w:rFonts w:hint="eastAsia" w:ascii="宋体" w:hAnsi="宋体" w:eastAsia="宋体" w:cs="宋体"/>
      <w:color w:val="000008"/>
      <w:sz w:val="22"/>
      <w:szCs w:val="22"/>
      <w:u w:val="none"/>
    </w:rPr>
  </w:style>
  <w:style w:type="paragraph" w:customStyle="1" w:styleId="41">
    <w:name w:val="List Paragraph_7694705a-c3a6-41bb-8515-e14ae0fd478f"/>
    <w:basedOn w:val="1"/>
    <w:qFormat/>
    <w:uiPriority w:val="99"/>
    <w:pPr>
      <w:ind w:firstLine="420" w:firstLineChars="200"/>
    </w:pPr>
  </w:style>
  <w:style w:type="paragraph" w:customStyle="1" w:styleId="42">
    <w:name w:val="列出段落2"/>
    <w:basedOn w:val="1"/>
    <w:qFormat/>
    <w:uiPriority w:val="99"/>
    <w:pPr>
      <w:ind w:firstLine="420" w:firstLineChars="200"/>
    </w:pPr>
  </w:style>
  <w:style w:type="paragraph" w:customStyle="1" w:styleId="43">
    <w:name w:val="无间隔1"/>
    <w:qFormat/>
    <w:uiPriority w:val="1"/>
    <w:rPr>
      <w:rFonts w:ascii="Georgia" w:hAnsi="Georgia" w:eastAsia="宋体" w:cs="Times New Roman"/>
      <w:sz w:val="22"/>
      <w:szCs w:val="22"/>
      <w:lang w:val="en-US" w:eastAsia="zh-CN" w:bidi="ar-SA"/>
    </w:rPr>
  </w:style>
  <w:style w:type="paragraph" w:customStyle="1" w:styleId="44">
    <w:name w:val="Table Paragraph"/>
    <w:basedOn w:val="1"/>
    <w:qFormat/>
    <w:uiPriority w:val="1"/>
  </w:style>
  <w:style w:type="paragraph" w:customStyle="1" w:styleId="45">
    <w:name w:val="my正文"/>
    <w:basedOn w:val="1"/>
    <w:qFormat/>
    <w:uiPriority w:val="0"/>
    <w:pPr>
      <w:spacing w:line="36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13139</Words>
  <Characters>13622</Characters>
  <Lines>177</Lines>
  <Paragraphs>49</Paragraphs>
  <TotalTime>0</TotalTime>
  <ScaleCrop>false</ScaleCrop>
  <LinksUpToDate>false</LinksUpToDate>
  <CharactersWithSpaces>14489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2024-12-12T20:17:00Z</dcterms:created>
  <dc:creator>水岸听涛</dc:creator>
  <cp:lastModifiedBy>15103004526</cp:lastModifiedBy>
  <cp:lastPrinted>2025-07-18T00:03:00Z</cp:lastPrinted>
  <dcterms:modified xsi:type="dcterms:W3CDTF">2026-06-03T08:27:29Z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4C01EB37458F24F126A79A680E091C3D_43</vt:lpwstr>
  </property>
  <property fmtid="{D5CDD505-2E9C-101B-9397-08002B2CF9AE}" pid="4" name="KSOTemplateDocerSaveRecord">
    <vt:lpwstr>eyJoZGlkIjoiYWY3MWJhMWRkZWU5MDA3MzBlOGQyOTZlN2I0NDVkOTUiLCJ1c2VySWQiOiI3NTE2MzkyOTIifQ==</vt:lpwstr>
  </property>
</Properties>
</file>