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DCCDC">
      <w:pPr>
        <w:pStyle w:val="9"/>
        <w:adjustRightInd w:val="0"/>
        <w:snapToGrid w:val="0"/>
        <w:spacing w:line="360" w:lineRule="auto"/>
        <w:rPr>
          <w:rFonts w:hAnsi="宋体" w:cs="宋体"/>
          <w:b/>
          <w:sz w:val="24"/>
          <w:szCs w:val="24"/>
        </w:rPr>
      </w:pPr>
    </w:p>
    <w:p w14:paraId="381714CE">
      <w:pPr>
        <w:pStyle w:val="9"/>
        <w:adjustRightInd w:val="0"/>
        <w:snapToGrid w:val="0"/>
        <w:spacing w:line="360" w:lineRule="auto"/>
        <w:rPr>
          <w:rFonts w:hAnsi="宋体" w:cs="宋体"/>
          <w:b/>
          <w:sz w:val="24"/>
          <w:szCs w:val="24"/>
        </w:rPr>
      </w:pPr>
    </w:p>
    <w:p w14:paraId="4BC86487">
      <w:pPr>
        <w:pStyle w:val="9"/>
        <w:adjustRightInd w:val="0"/>
        <w:snapToGrid w:val="0"/>
        <w:spacing w:line="360" w:lineRule="auto"/>
        <w:rPr>
          <w:rFonts w:hAnsi="宋体" w:cs="宋体"/>
          <w:b/>
          <w:sz w:val="24"/>
          <w:szCs w:val="24"/>
        </w:rPr>
      </w:pPr>
    </w:p>
    <w:p w14:paraId="2394F21A">
      <w:pPr>
        <w:pStyle w:val="9"/>
        <w:adjustRightInd w:val="0"/>
        <w:snapToGrid w:val="0"/>
        <w:spacing w:line="360" w:lineRule="auto"/>
        <w:jc w:val="center"/>
        <w:rPr>
          <w:rFonts w:hint="eastAsia" w:ascii="宋体" w:hAnsi="宋体" w:eastAsia="宋体" w:cs="宋体"/>
          <w:b/>
          <w:kern w:val="2"/>
          <w:sz w:val="44"/>
          <w:szCs w:val="44"/>
          <w:lang w:val="en-US" w:eastAsia="zh-CN" w:bidi="ar-SA"/>
        </w:rPr>
      </w:pPr>
    </w:p>
    <w:p w14:paraId="410A9CA6">
      <w:pPr>
        <w:jc w:val="center"/>
        <w:rPr>
          <w:rFonts w:hint="eastAsia" w:ascii="宋体" w:hAnsi="宋体" w:eastAsia="宋体" w:cs="宋体"/>
          <w:b/>
          <w:kern w:val="2"/>
          <w:sz w:val="44"/>
          <w:szCs w:val="44"/>
          <w:lang w:val="en-US" w:eastAsia="zh-CN" w:bidi="ar-SA"/>
        </w:rPr>
      </w:pPr>
      <w:bookmarkStart w:id="0" w:name="_Toc24874"/>
      <w:r>
        <w:rPr>
          <w:rFonts w:hint="eastAsia" w:ascii="宋体" w:hAnsi="宋体" w:eastAsia="宋体" w:cs="宋体"/>
          <w:b/>
          <w:kern w:val="2"/>
          <w:sz w:val="44"/>
          <w:szCs w:val="44"/>
          <w:lang w:val="en-US" w:eastAsia="zh-CN" w:bidi="ar-SA"/>
        </w:rPr>
        <w:t>海南卫生健康职业学院</w:t>
      </w:r>
    </w:p>
    <w:p w14:paraId="0985C700">
      <w:pPr>
        <w:snapToGrid w:val="0"/>
        <w:spacing w:line="360" w:lineRule="auto"/>
        <w:jc w:val="center"/>
        <w:outlineLvl w:val="0"/>
        <w:rPr>
          <w:rFonts w:ascii="宋体" w:hAnsi="宋体" w:cs="宋体"/>
          <w:b/>
          <w:sz w:val="44"/>
          <w:szCs w:val="44"/>
        </w:rPr>
      </w:pPr>
      <w:r>
        <w:rPr>
          <w:rFonts w:hint="eastAsia" w:ascii="宋体" w:hAnsi="宋体" w:cs="宋体"/>
          <w:b/>
          <w:sz w:val="44"/>
          <w:szCs w:val="44"/>
        </w:rPr>
        <w:t>磋商采购文件</w:t>
      </w:r>
      <w:bookmarkEnd w:id="0"/>
    </w:p>
    <w:p w14:paraId="20D15C7A">
      <w:pPr>
        <w:adjustRightInd w:val="0"/>
        <w:snapToGrid w:val="0"/>
        <w:spacing w:line="360" w:lineRule="auto"/>
        <w:rPr>
          <w:rFonts w:ascii="宋体" w:hAnsi="宋体" w:cs="宋体"/>
          <w:b/>
          <w:sz w:val="24"/>
        </w:rPr>
      </w:pPr>
    </w:p>
    <w:p w14:paraId="2D94641B">
      <w:pPr>
        <w:spacing w:line="360" w:lineRule="auto"/>
        <w:rPr>
          <w:rFonts w:ascii="宋体" w:hAnsi="宋体" w:cs="宋体"/>
          <w:sz w:val="24"/>
        </w:rPr>
      </w:pPr>
    </w:p>
    <w:p w14:paraId="265204F7">
      <w:pPr>
        <w:pStyle w:val="9"/>
        <w:adjustRightInd w:val="0"/>
        <w:snapToGrid w:val="0"/>
        <w:spacing w:line="360" w:lineRule="auto"/>
        <w:rPr>
          <w:rFonts w:hAnsi="宋体" w:cs="宋体"/>
          <w:b/>
          <w:sz w:val="24"/>
          <w:szCs w:val="24"/>
        </w:rPr>
      </w:pPr>
    </w:p>
    <w:p w14:paraId="22BAC105">
      <w:pPr>
        <w:pStyle w:val="9"/>
        <w:adjustRightInd w:val="0"/>
        <w:snapToGrid w:val="0"/>
        <w:spacing w:line="360" w:lineRule="auto"/>
        <w:rPr>
          <w:rFonts w:hAnsi="宋体" w:cs="宋体"/>
          <w:b/>
          <w:sz w:val="24"/>
          <w:szCs w:val="24"/>
        </w:rPr>
      </w:pPr>
    </w:p>
    <w:p w14:paraId="59ECA010">
      <w:pPr>
        <w:widowControl/>
        <w:snapToGrid w:val="0"/>
        <w:spacing w:line="360" w:lineRule="auto"/>
        <w:rPr>
          <w:rFonts w:ascii="宋体" w:hAnsi="宋体" w:cs="宋体"/>
          <w:b/>
          <w:sz w:val="24"/>
        </w:rPr>
      </w:pPr>
      <w:bookmarkStart w:id="1" w:name="_Toc245887525"/>
      <w:bookmarkStart w:id="2" w:name="_Toc246826092"/>
      <w:bookmarkStart w:id="3" w:name="_Toc245888258"/>
      <w:bookmarkStart w:id="4" w:name="_Toc246825787"/>
    </w:p>
    <w:p w14:paraId="3130FDB5">
      <w:pPr>
        <w:widowControl/>
        <w:snapToGrid w:val="0"/>
        <w:spacing w:line="360" w:lineRule="auto"/>
        <w:ind w:firstLine="1285" w:firstLineChars="400"/>
        <w:rPr>
          <w:rFonts w:hint="eastAsia" w:ascii="宋体" w:hAnsi="宋体" w:eastAsia="宋体" w:cs="宋体"/>
          <w:b/>
          <w:sz w:val="32"/>
          <w:szCs w:val="32"/>
          <w:lang w:eastAsia="zh-CN"/>
        </w:rPr>
      </w:pPr>
      <w:r>
        <w:rPr>
          <w:rFonts w:hint="eastAsia" w:ascii="宋体" w:hAnsi="宋体" w:cs="宋体"/>
          <w:b/>
          <w:sz w:val="32"/>
          <w:szCs w:val="32"/>
        </w:rPr>
        <w:t>项目名称：</w:t>
      </w:r>
      <w:bookmarkEnd w:id="1"/>
      <w:bookmarkEnd w:id="2"/>
      <w:bookmarkEnd w:id="3"/>
      <w:bookmarkEnd w:id="4"/>
      <w:bookmarkStart w:id="5" w:name="_Toc246825789"/>
      <w:bookmarkStart w:id="6" w:name="_Toc246826094"/>
      <w:bookmarkStart w:id="7" w:name="_Toc245888260"/>
      <w:bookmarkStart w:id="8" w:name="_Toc245887527"/>
      <w:r>
        <w:rPr>
          <w:rFonts w:hint="eastAsia" w:ascii="宋体" w:hAnsi="宋体" w:cs="宋体"/>
          <w:b/>
          <w:sz w:val="32"/>
          <w:szCs w:val="32"/>
        </w:rPr>
        <w:t>IPV6部署云网一体化服务</w:t>
      </w:r>
      <w:r>
        <w:rPr>
          <w:rFonts w:hint="eastAsia" w:ascii="宋体" w:hAnsi="宋体" w:cs="宋体"/>
          <w:b/>
          <w:sz w:val="32"/>
          <w:szCs w:val="32"/>
          <w:lang w:eastAsia="zh-CN"/>
        </w:rPr>
        <w:t>项目</w:t>
      </w:r>
    </w:p>
    <w:p w14:paraId="3D6FEB43">
      <w:pPr>
        <w:pStyle w:val="6"/>
        <w:rPr>
          <w:rFonts w:ascii="宋体" w:hAnsi="宋体" w:cs="宋体"/>
          <w:sz w:val="32"/>
          <w:szCs w:val="32"/>
        </w:rPr>
      </w:pPr>
    </w:p>
    <w:p w14:paraId="19E9114A">
      <w:pPr>
        <w:widowControl/>
        <w:snapToGrid w:val="0"/>
        <w:spacing w:line="360" w:lineRule="auto"/>
        <w:ind w:firstLine="1285" w:firstLineChars="400"/>
        <w:rPr>
          <w:rFonts w:hint="eastAsia" w:ascii="宋体" w:hAnsi="宋体" w:cs="宋体"/>
          <w:b/>
          <w:sz w:val="32"/>
          <w:szCs w:val="32"/>
        </w:rPr>
      </w:pPr>
      <w:bookmarkStart w:id="9" w:name="_Toc17599"/>
      <w:r>
        <w:rPr>
          <w:rFonts w:hint="eastAsia" w:ascii="宋体" w:hAnsi="宋体" w:cs="宋体"/>
          <w:b/>
          <w:sz w:val="32"/>
          <w:szCs w:val="32"/>
        </w:rPr>
        <w:t>采购人：</w:t>
      </w:r>
      <w:bookmarkEnd w:id="5"/>
      <w:bookmarkEnd w:id="6"/>
      <w:bookmarkEnd w:id="7"/>
      <w:bookmarkEnd w:id="8"/>
      <w:bookmarkEnd w:id="9"/>
      <w:r>
        <w:rPr>
          <w:rFonts w:hint="eastAsia" w:ascii="宋体" w:hAnsi="宋体" w:cs="宋体"/>
          <w:b/>
          <w:sz w:val="32"/>
          <w:szCs w:val="32"/>
        </w:rPr>
        <w:t>海南卫生健康职业学院</w:t>
      </w:r>
    </w:p>
    <w:p w14:paraId="473D1A68"/>
    <w:p w14:paraId="2D766389">
      <w:pPr>
        <w:rPr>
          <w:rFonts w:ascii="宋体" w:hAnsi="宋体" w:cs="宋体"/>
          <w:sz w:val="32"/>
          <w:szCs w:val="32"/>
        </w:rPr>
      </w:pPr>
    </w:p>
    <w:p w14:paraId="77DC15C0">
      <w:pPr>
        <w:spacing w:line="360" w:lineRule="auto"/>
        <w:rPr>
          <w:rFonts w:ascii="宋体" w:hAnsi="宋体" w:cs="宋体"/>
          <w:sz w:val="32"/>
          <w:szCs w:val="32"/>
        </w:rPr>
      </w:pPr>
    </w:p>
    <w:p w14:paraId="212243AC">
      <w:pPr>
        <w:adjustRightInd w:val="0"/>
        <w:snapToGrid w:val="0"/>
        <w:spacing w:line="360" w:lineRule="auto"/>
        <w:rPr>
          <w:rFonts w:ascii="宋体" w:hAnsi="宋体" w:cs="宋体"/>
          <w:b/>
          <w:spacing w:val="40"/>
          <w:sz w:val="32"/>
          <w:szCs w:val="32"/>
        </w:rPr>
      </w:pPr>
    </w:p>
    <w:p w14:paraId="6FBEC9B1">
      <w:pPr>
        <w:pStyle w:val="9"/>
        <w:adjustRightInd w:val="0"/>
        <w:snapToGrid w:val="0"/>
        <w:spacing w:line="360" w:lineRule="auto"/>
        <w:jc w:val="center"/>
        <w:rPr>
          <w:rFonts w:hAnsi="宋体" w:cs="宋体"/>
          <w:b/>
          <w:sz w:val="24"/>
          <w:szCs w:val="24"/>
        </w:rPr>
      </w:pPr>
      <w:r>
        <w:rPr>
          <w:rFonts w:hint="eastAsia" w:hAnsi="宋体" w:cs="宋体"/>
          <w:b/>
          <w:spacing w:val="40"/>
          <w:sz w:val="32"/>
          <w:szCs w:val="32"/>
        </w:rPr>
        <w:t xml:space="preserve">二○二五年十月  </w:t>
      </w:r>
    </w:p>
    <w:p w14:paraId="3BDBE17D">
      <w:pPr>
        <w:pStyle w:val="9"/>
        <w:spacing w:line="360" w:lineRule="auto"/>
        <w:jc w:val="center"/>
        <w:rPr>
          <w:rStyle w:val="17"/>
          <w:rFonts w:hAnsi="宋体" w:cs="宋体"/>
          <w:b/>
          <w:color w:val="auto"/>
          <w:sz w:val="24"/>
          <w:szCs w:val="24"/>
        </w:rPr>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pPr>
    </w:p>
    <w:p w14:paraId="3AC3DA16">
      <w:pPr>
        <w:pStyle w:val="9"/>
        <w:spacing w:line="360" w:lineRule="auto"/>
        <w:rPr>
          <w:rStyle w:val="17"/>
          <w:rFonts w:hAnsi="宋体" w:cs="宋体"/>
          <w:b/>
          <w:color w:val="auto"/>
          <w:sz w:val="24"/>
          <w:szCs w:val="24"/>
        </w:rPr>
      </w:pPr>
    </w:p>
    <w:p w14:paraId="108A2DD8">
      <w:pPr>
        <w:pStyle w:val="9"/>
        <w:spacing w:line="360" w:lineRule="auto"/>
        <w:rPr>
          <w:rStyle w:val="17"/>
          <w:rFonts w:hAnsi="宋体" w:cs="宋体"/>
          <w:b/>
          <w:color w:val="auto"/>
          <w:sz w:val="24"/>
          <w:szCs w:val="24"/>
        </w:rPr>
      </w:pPr>
    </w:p>
    <w:sdt>
      <w:sdtPr>
        <w:rPr>
          <w:rFonts w:hint="eastAsia" w:ascii="宋体" w:hAnsi="宋体" w:cs="宋体"/>
          <w:color w:val="013F7C"/>
          <w:sz w:val="24"/>
          <w:szCs w:val="20"/>
        </w:rPr>
        <w:id w:val="147464730"/>
        <w15:color w:val="DBDBDB"/>
        <w:docPartObj>
          <w:docPartGallery w:val="Table of Contents"/>
          <w:docPartUnique/>
        </w:docPartObj>
      </w:sdtPr>
      <w:sdtEndPr>
        <w:rPr>
          <w:rFonts w:hint="eastAsia" w:ascii="宋体" w:hAnsi="宋体" w:cs="宋体"/>
          <w:color w:val="013F7C"/>
          <w:sz w:val="24"/>
          <w:szCs w:val="20"/>
        </w:rPr>
      </w:sdtEndPr>
      <w:sdtContent>
        <w:p w14:paraId="324318AF">
          <w:pPr>
            <w:spacing w:line="360" w:lineRule="auto"/>
            <w:jc w:val="center"/>
            <w:rPr>
              <w:rFonts w:ascii="宋体" w:hAnsi="宋体" w:cs="宋体"/>
              <w:sz w:val="24"/>
            </w:rPr>
          </w:pPr>
          <w:r>
            <w:rPr>
              <w:rFonts w:hint="eastAsia" w:ascii="宋体" w:hAnsi="宋体" w:cs="宋体"/>
              <w:sz w:val="24"/>
            </w:rPr>
            <w:t>目录</w:t>
          </w:r>
        </w:p>
        <w:p w14:paraId="7E0697EF">
          <w:pPr>
            <w:pStyle w:val="20"/>
            <w:tabs>
              <w:tab w:val="right" w:leader="dot" w:pos="8306"/>
            </w:tabs>
            <w:spacing w:line="360" w:lineRule="auto"/>
            <w:rPr>
              <w:rFonts w:ascii="宋体" w:hAnsi="宋体" w:cs="宋体"/>
              <w:sz w:val="24"/>
              <w:szCs w:val="24"/>
            </w:rPr>
          </w:pPr>
          <w:r>
            <w:rPr>
              <w:rStyle w:val="17"/>
              <w:rFonts w:hint="eastAsia"/>
              <w:b/>
              <w:color w:val="auto"/>
            </w:rPr>
            <w:fldChar w:fldCharType="begin"/>
          </w:r>
          <w:r>
            <w:rPr>
              <w:rStyle w:val="17"/>
              <w:rFonts w:hint="eastAsia" w:ascii="宋体" w:hAnsi="宋体" w:cs="宋体"/>
              <w:b/>
              <w:color w:val="auto"/>
              <w:sz w:val="24"/>
              <w:szCs w:val="24"/>
            </w:rPr>
            <w:instrText xml:space="preserve">TOC \o "1-1" \h \u </w:instrText>
          </w:r>
          <w:r>
            <w:rPr>
              <w:rStyle w:val="17"/>
              <w:rFonts w:hint="eastAsia"/>
              <w:b/>
              <w:color w:val="auto"/>
            </w:rPr>
            <w:fldChar w:fldCharType="separate"/>
          </w:r>
        </w:p>
        <w:p w14:paraId="1082AE62">
          <w:pPr>
            <w:pStyle w:val="20"/>
            <w:tabs>
              <w:tab w:val="right" w:leader="dot" w:pos="8306"/>
            </w:tabs>
            <w:spacing w:line="360" w:lineRule="auto"/>
            <w:rPr>
              <w:rFonts w:ascii="宋体" w:hAnsi="宋体" w:cs="宋体"/>
              <w:sz w:val="24"/>
              <w:szCs w:val="24"/>
            </w:rPr>
          </w:pPr>
          <w:r>
            <w:fldChar w:fldCharType="begin"/>
          </w:r>
          <w:r>
            <w:instrText xml:space="preserve"> HYPERLINK \l "_Toc17794" </w:instrText>
          </w:r>
          <w:r>
            <w:fldChar w:fldCharType="separate"/>
          </w:r>
          <w:r>
            <w:rPr>
              <w:rFonts w:hint="eastAsia" w:ascii="宋体" w:hAnsi="宋体" w:cs="宋体"/>
              <w:sz w:val="24"/>
              <w:szCs w:val="24"/>
            </w:rPr>
            <w:t>第一章  响应邀请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_Toc17794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B76DD1B">
          <w:pPr>
            <w:pStyle w:val="20"/>
            <w:tabs>
              <w:tab w:val="right" w:leader="dot" w:pos="8306"/>
            </w:tabs>
            <w:spacing w:line="360" w:lineRule="auto"/>
            <w:rPr>
              <w:rFonts w:ascii="宋体" w:hAnsi="宋体" w:cs="宋体"/>
              <w:sz w:val="24"/>
              <w:szCs w:val="24"/>
            </w:rPr>
          </w:pPr>
          <w:r>
            <w:fldChar w:fldCharType="begin"/>
          </w:r>
          <w:r>
            <w:instrText xml:space="preserve"> HYPERLINK \l "_Toc32230" </w:instrText>
          </w:r>
          <w:r>
            <w:fldChar w:fldCharType="separate"/>
          </w:r>
          <w:r>
            <w:rPr>
              <w:rFonts w:hint="eastAsia" w:ascii="宋体" w:hAnsi="宋体" w:cs="宋体"/>
              <w:sz w:val="24"/>
              <w:szCs w:val="24"/>
            </w:rPr>
            <w:t>第二章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_Toc32230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CCE5D31">
          <w:pPr>
            <w:pStyle w:val="20"/>
            <w:tabs>
              <w:tab w:val="right" w:leader="dot" w:pos="8306"/>
            </w:tabs>
            <w:spacing w:line="360" w:lineRule="auto"/>
            <w:rPr>
              <w:rFonts w:ascii="宋体" w:hAnsi="宋体" w:cs="宋体"/>
              <w:sz w:val="24"/>
              <w:szCs w:val="24"/>
            </w:rPr>
          </w:pPr>
          <w:r>
            <w:fldChar w:fldCharType="begin"/>
          </w:r>
          <w:r>
            <w:instrText xml:space="preserve"> HYPERLINK \l "_Toc25700" </w:instrText>
          </w:r>
          <w:r>
            <w:fldChar w:fldCharType="separate"/>
          </w:r>
          <w:r>
            <w:rPr>
              <w:rFonts w:hint="eastAsia" w:ascii="宋体" w:hAnsi="宋体" w:cs="宋体"/>
              <w:sz w:val="24"/>
              <w:szCs w:val="24"/>
            </w:rPr>
            <w:t>第三章  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_Toc25700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3BA0B505">
          <w:pPr>
            <w:pStyle w:val="20"/>
            <w:tabs>
              <w:tab w:val="right" w:leader="dot" w:pos="8306"/>
            </w:tabs>
            <w:spacing w:line="360" w:lineRule="auto"/>
            <w:rPr>
              <w:rFonts w:ascii="宋体" w:hAnsi="宋体" w:cs="宋体"/>
              <w:sz w:val="24"/>
              <w:szCs w:val="24"/>
            </w:rPr>
          </w:pPr>
          <w:r>
            <w:fldChar w:fldCharType="begin"/>
          </w:r>
          <w:r>
            <w:instrText xml:space="preserve"> HYPERLINK \l "_Toc728" </w:instrText>
          </w:r>
          <w:r>
            <w:fldChar w:fldCharType="separate"/>
          </w:r>
          <w:r>
            <w:rPr>
              <w:rFonts w:hint="eastAsia" w:ascii="宋体" w:hAnsi="宋体" w:cs="宋体"/>
              <w:sz w:val="24"/>
              <w:szCs w:val="24"/>
            </w:rPr>
            <w:t>第四章  评审方法与标准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_Toc728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39BB22C7">
          <w:pPr>
            <w:pStyle w:val="20"/>
            <w:tabs>
              <w:tab w:val="right" w:leader="dot" w:pos="8306"/>
            </w:tabs>
            <w:spacing w:line="360" w:lineRule="auto"/>
            <w:rPr>
              <w:rFonts w:ascii="宋体" w:hAnsi="宋体" w:cs="宋体"/>
              <w:sz w:val="24"/>
              <w:szCs w:val="24"/>
            </w:rPr>
          </w:pPr>
          <w:r>
            <w:fldChar w:fldCharType="begin"/>
          </w:r>
          <w:r>
            <w:instrText xml:space="preserve"> HYPERLINK \l "_Toc28386" </w:instrText>
          </w:r>
          <w:r>
            <w:fldChar w:fldCharType="separate"/>
          </w:r>
          <w:r>
            <w:rPr>
              <w:rFonts w:hint="eastAsia" w:ascii="宋体" w:hAnsi="宋体" w:cs="宋体"/>
              <w:sz w:val="24"/>
              <w:szCs w:val="24"/>
            </w:rPr>
            <w:t>第五章  采购合同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_Toc28386 \h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14:paraId="5E99DF30">
          <w:pPr>
            <w:pStyle w:val="20"/>
            <w:tabs>
              <w:tab w:val="right" w:leader="dot" w:pos="8306"/>
            </w:tabs>
            <w:spacing w:line="360" w:lineRule="auto"/>
            <w:rPr>
              <w:rFonts w:ascii="宋体" w:hAnsi="宋体" w:cs="宋体"/>
              <w:sz w:val="24"/>
              <w:szCs w:val="24"/>
            </w:rPr>
          </w:pPr>
          <w:r>
            <w:fldChar w:fldCharType="begin"/>
          </w:r>
          <w:r>
            <w:instrText xml:space="preserve"> HYPERLINK \l "_Toc23807" </w:instrText>
          </w:r>
          <w:r>
            <w:fldChar w:fldCharType="separate"/>
          </w:r>
          <w:r>
            <w:rPr>
              <w:rFonts w:hint="eastAsia" w:ascii="宋体" w:hAnsi="宋体" w:cs="宋体"/>
              <w:sz w:val="24"/>
              <w:szCs w:val="24"/>
            </w:rPr>
            <w:t>第六章  响应文件格式及附件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_Toc23807 \h </w:instrText>
          </w:r>
          <w:r>
            <w:rPr>
              <w:rFonts w:hint="eastAsia" w:ascii="宋体" w:hAnsi="宋体" w:cs="宋体"/>
              <w:sz w:val="24"/>
              <w:szCs w:val="24"/>
            </w:rPr>
            <w:fldChar w:fldCharType="separate"/>
          </w:r>
          <w:r>
            <w:rPr>
              <w:rFonts w:hint="eastAsia"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72A07375">
          <w:pPr>
            <w:pStyle w:val="20"/>
            <w:tabs>
              <w:tab w:val="right" w:leader="dot" w:pos="8306"/>
            </w:tabs>
            <w:spacing w:line="360" w:lineRule="auto"/>
            <w:rPr>
              <w:rFonts w:ascii="宋体" w:hAnsi="宋体" w:cs="宋体"/>
              <w:sz w:val="24"/>
              <w:szCs w:val="24"/>
            </w:rPr>
          </w:pPr>
        </w:p>
        <w:p w14:paraId="255131F0">
          <w:pPr>
            <w:pStyle w:val="9"/>
            <w:adjustRightInd w:val="0"/>
            <w:snapToGrid w:val="0"/>
            <w:spacing w:line="360" w:lineRule="auto"/>
            <w:jc w:val="center"/>
            <w:rPr>
              <w:rStyle w:val="17"/>
              <w:rFonts w:hAnsi="宋体" w:cs="宋体"/>
              <w:b/>
              <w:color w:val="auto"/>
              <w:sz w:val="24"/>
              <w:szCs w:val="24"/>
            </w:rPr>
          </w:pPr>
          <w:r>
            <w:rPr>
              <w:rFonts w:hint="eastAsia" w:hAnsi="宋体" w:cs="宋体"/>
              <w:sz w:val="24"/>
              <w:szCs w:val="24"/>
            </w:rPr>
            <w:fldChar w:fldCharType="end"/>
          </w:r>
        </w:p>
      </w:sdtContent>
    </w:sdt>
    <w:p w14:paraId="09D59CE4">
      <w:pPr>
        <w:pStyle w:val="9"/>
        <w:adjustRightInd w:val="0"/>
        <w:snapToGrid w:val="0"/>
        <w:spacing w:line="360" w:lineRule="auto"/>
        <w:jc w:val="center"/>
        <w:rPr>
          <w:rFonts w:hAnsi="宋体" w:cs="宋体"/>
          <w:b/>
          <w:sz w:val="24"/>
          <w:szCs w:val="24"/>
        </w:rPr>
      </w:pPr>
    </w:p>
    <w:p w14:paraId="620CCEA3">
      <w:pPr>
        <w:pStyle w:val="9"/>
        <w:adjustRightInd w:val="0"/>
        <w:snapToGrid w:val="0"/>
        <w:spacing w:line="360" w:lineRule="auto"/>
        <w:jc w:val="center"/>
        <w:rPr>
          <w:rFonts w:hAnsi="宋体" w:cs="宋体"/>
          <w:b/>
          <w:sz w:val="24"/>
          <w:szCs w:val="24"/>
        </w:rPr>
      </w:pPr>
    </w:p>
    <w:p w14:paraId="62D5D947">
      <w:pPr>
        <w:pStyle w:val="9"/>
        <w:adjustRightInd w:val="0"/>
        <w:snapToGrid w:val="0"/>
        <w:spacing w:line="360" w:lineRule="auto"/>
        <w:jc w:val="center"/>
        <w:rPr>
          <w:rFonts w:hAnsi="宋体" w:cs="宋体"/>
          <w:b/>
          <w:sz w:val="24"/>
          <w:szCs w:val="24"/>
        </w:rPr>
      </w:pPr>
    </w:p>
    <w:p w14:paraId="510968F8">
      <w:pPr>
        <w:pStyle w:val="9"/>
        <w:adjustRightInd w:val="0"/>
        <w:snapToGrid w:val="0"/>
        <w:spacing w:line="360" w:lineRule="auto"/>
        <w:jc w:val="center"/>
        <w:rPr>
          <w:rFonts w:hAnsi="宋体" w:cs="宋体"/>
          <w:b/>
          <w:sz w:val="24"/>
          <w:szCs w:val="24"/>
        </w:rPr>
      </w:pPr>
    </w:p>
    <w:p w14:paraId="46EDDEEE">
      <w:pPr>
        <w:pStyle w:val="9"/>
        <w:adjustRightInd w:val="0"/>
        <w:snapToGrid w:val="0"/>
        <w:spacing w:line="360" w:lineRule="auto"/>
        <w:jc w:val="center"/>
        <w:rPr>
          <w:rFonts w:hAnsi="宋体" w:cs="宋体"/>
          <w:b/>
          <w:sz w:val="24"/>
          <w:szCs w:val="24"/>
        </w:rPr>
      </w:pPr>
    </w:p>
    <w:p w14:paraId="459CC2A3">
      <w:pPr>
        <w:pStyle w:val="9"/>
        <w:adjustRightInd w:val="0"/>
        <w:snapToGrid w:val="0"/>
        <w:spacing w:line="360" w:lineRule="auto"/>
        <w:jc w:val="center"/>
        <w:rPr>
          <w:rFonts w:hAnsi="宋体" w:cs="宋体"/>
          <w:b/>
          <w:sz w:val="24"/>
          <w:szCs w:val="24"/>
        </w:rPr>
      </w:pPr>
    </w:p>
    <w:p w14:paraId="10F7B5D9">
      <w:pPr>
        <w:pStyle w:val="9"/>
        <w:adjustRightInd w:val="0"/>
        <w:snapToGrid w:val="0"/>
        <w:spacing w:line="360" w:lineRule="auto"/>
        <w:jc w:val="center"/>
        <w:rPr>
          <w:rFonts w:hAnsi="宋体" w:cs="宋体"/>
          <w:b/>
          <w:sz w:val="24"/>
          <w:szCs w:val="24"/>
        </w:rPr>
      </w:pPr>
    </w:p>
    <w:p w14:paraId="07B18D62">
      <w:pPr>
        <w:pStyle w:val="9"/>
        <w:adjustRightInd w:val="0"/>
        <w:snapToGrid w:val="0"/>
        <w:spacing w:line="360" w:lineRule="auto"/>
        <w:jc w:val="center"/>
        <w:rPr>
          <w:rFonts w:hAnsi="宋体" w:cs="宋体"/>
          <w:b/>
          <w:sz w:val="24"/>
          <w:szCs w:val="24"/>
        </w:rPr>
      </w:pPr>
    </w:p>
    <w:p w14:paraId="2EA5FCB1">
      <w:pPr>
        <w:pStyle w:val="9"/>
        <w:adjustRightInd w:val="0"/>
        <w:snapToGrid w:val="0"/>
        <w:spacing w:line="360" w:lineRule="auto"/>
        <w:jc w:val="center"/>
        <w:rPr>
          <w:rFonts w:hAnsi="宋体" w:cs="宋体"/>
          <w:b/>
          <w:sz w:val="24"/>
          <w:szCs w:val="24"/>
        </w:rPr>
      </w:pPr>
    </w:p>
    <w:p w14:paraId="6263A9EE">
      <w:pPr>
        <w:pStyle w:val="9"/>
        <w:adjustRightInd w:val="0"/>
        <w:snapToGrid w:val="0"/>
        <w:spacing w:line="360" w:lineRule="auto"/>
        <w:jc w:val="center"/>
        <w:rPr>
          <w:rFonts w:hAnsi="宋体" w:cs="宋体"/>
          <w:b/>
          <w:sz w:val="24"/>
          <w:szCs w:val="24"/>
        </w:rPr>
      </w:pPr>
    </w:p>
    <w:p w14:paraId="35FCDF70">
      <w:pPr>
        <w:pStyle w:val="9"/>
        <w:adjustRightInd w:val="0"/>
        <w:snapToGrid w:val="0"/>
        <w:spacing w:line="360" w:lineRule="auto"/>
        <w:jc w:val="center"/>
        <w:rPr>
          <w:rFonts w:hAnsi="宋体" w:cs="宋体"/>
          <w:b/>
          <w:sz w:val="24"/>
          <w:szCs w:val="24"/>
        </w:rPr>
      </w:pPr>
    </w:p>
    <w:p w14:paraId="77C69007">
      <w:pPr>
        <w:pStyle w:val="9"/>
        <w:adjustRightInd w:val="0"/>
        <w:snapToGrid w:val="0"/>
        <w:spacing w:line="360" w:lineRule="auto"/>
        <w:jc w:val="center"/>
        <w:rPr>
          <w:rFonts w:hAnsi="宋体" w:cs="宋体"/>
          <w:b/>
          <w:sz w:val="24"/>
          <w:szCs w:val="24"/>
        </w:rPr>
      </w:pPr>
    </w:p>
    <w:p w14:paraId="4EB06900">
      <w:pPr>
        <w:pStyle w:val="9"/>
        <w:adjustRightInd w:val="0"/>
        <w:snapToGrid w:val="0"/>
        <w:spacing w:line="360" w:lineRule="auto"/>
        <w:jc w:val="center"/>
        <w:rPr>
          <w:rFonts w:hAnsi="宋体" w:cs="宋体"/>
          <w:b/>
          <w:sz w:val="24"/>
          <w:szCs w:val="24"/>
        </w:rPr>
      </w:pPr>
    </w:p>
    <w:p w14:paraId="791CC921">
      <w:pPr>
        <w:pStyle w:val="9"/>
        <w:adjustRightInd w:val="0"/>
        <w:snapToGrid w:val="0"/>
        <w:spacing w:line="360" w:lineRule="auto"/>
        <w:jc w:val="center"/>
        <w:rPr>
          <w:rFonts w:hAnsi="宋体" w:cs="宋体"/>
          <w:b/>
          <w:sz w:val="24"/>
          <w:szCs w:val="24"/>
        </w:rPr>
      </w:pPr>
    </w:p>
    <w:p w14:paraId="07BDB4CD">
      <w:pPr>
        <w:pStyle w:val="9"/>
        <w:adjustRightInd w:val="0"/>
        <w:snapToGrid w:val="0"/>
        <w:spacing w:line="360" w:lineRule="auto"/>
        <w:jc w:val="center"/>
        <w:rPr>
          <w:rFonts w:hAnsi="宋体" w:cs="宋体"/>
          <w:b/>
          <w:sz w:val="24"/>
          <w:szCs w:val="24"/>
        </w:rPr>
      </w:pPr>
    </w:p>
    <w:p w14:paraId="615BC3AE">
      <w:pPr>
        <w:pStyle w:val="9"/>
        <w:adjustRightInd w:val="0"/>
        <w:snapToGrid w:val="0"/>
        <w:spacing w:line="360" w:lineRule="auto"/>
        <w:jc w:val="center"/>
        <w:rPr>
          <w:rFonts w:hAnsi="宋体" w:cs="宋体"/>
          <w:b/>
          <w:sz w:val="24"/>
          <w:szCs w:val="24"/>
        </w:rPr>
      </w:pPr>
    </w:p>
    <w:p w14:paraId="5484616B">
      <w:pPr>
        <w:pStyle w:val="9"/>
        <w:adjustRightInd w:val="0"/>
        <w:snapToGrid w:val="0"/>
        <w:spacing w:line="360" w:lineRule="auto"/>
        <w:jc w:val="center"/>
        <w:rPr>
          <w:rFonts w:hAnsi="宋体" w:cs="宋体"/>
          <w:b/>
          <w:sz w:val="24"/>
          <w:szCs w:val="24"/>
        </w:rPr>
      </w:pPr>
    </w:p>
    <w:p w14:paraId="47EBACE9">
      <w:pPr>
        <w:pStyle w:val="9"/>
        <w:adjustRightInd w:val="0"/>
        <w:snapToGrid w:val="0"/>
        <w:spacing w:line="360" w:lineRule="auto"/>
        <w:rPr>
          <w:rFonts w:hAnsi="宋体" w:cs="宋体"/>
          <w:b/>
          <w:sz w:val="24"/>
          <w:szCs w:val="24"/>
        </w:rPr>
      </w:pPr>
    </w:p>
    <w:p w14:paraId="23DFFE9E">
      <w:pPr>
        <w:pStyle w:val="9"/>
        <w:adjustRightInd w:val="0"/>
        <w:snapToGrid w:val="0"/>
        <w:spacing w:line="360" w:lineRule="auto"/>
        <w:jc w:val="center"/>
        <w:outlineLvl w:val="0"/>
        <w:rPr>
          <w:rFonts w:hAnsi="宋体" w:cs="宋体"/>
          <w:sz w:val="28"/>
          <w:szCs w:val="28"/>
          <w:u w:val="single"/>
        </w:rPr>
      </w:pPr>
      <w:bookmarkStart w:id="10" w:name="_Toc17794"/>
      <w:r>
        <w:rPr>
          <w:rFonts w:hint="eastAsia" w:hAnsi="宋体" w:cs="宋体"/>
          <w:b/>
          <w:sz w:val="28"/>
          <w:szCs w:val="28"/>
        </w:rPr>
        <w:t>第一章  响应邀请</w:t>
      </w:r>
      <w:bookmarkEnd w:id="10"/>
    </w:p>
    <w:p w14:paraId="54B5A080">
      <w:pPr>
        <w:widowControl/>
        <w:shd w:val="clear" w:color="auto" w:fill="FFFFFF"/>
        <w:spacing w:line="360" w:lineRule="auto"/>
        <w:ind w:firstLine="422"/>
        <w:jc w:val="left"/>
        <w:rPr>
          <w:rFonts w:ascii="宋体" w:hAnsi="宋体" w:cs="宋体"/>
          <w:sz w:val="24"/>
        </w:rPr>
      </w:pPr>
      <w:bookmarkStart w:id="11" w:name="_Toc35393795"/>
      <w:bookmarkStart w:id="12" w:name="_Toc35393626"/>
      <w:bookmarkStart w:id="13" w:name="_Toc35393796"/>
      <w:bookmarkStart w:id="14" w:name="_Toc35393627"/>
      <w:bookmarkStart w:id="15" w:name="_Toc28359008"/>
      <w:bookmarkStart w:id="16" w:name="_Toc28359085"/>
      <w:r>
        <w:rPr>
          <w:rStyle w:val="16"/>
          <w:rFonts w:hint="eastAsia" w:ascii="宋体" w:hAnsi="宋体" w:cs="宋体"/>
          <w:kern w:val="0"/>
          <w:sz w:val="24"/>
          <w:shd w:val="clear" w:color="auto" w:fill="FFFFFF"/>
          <w:lang w:bidi="ar"/>
        </w:rPr>
        <w:t>一、项目基本情况</w:t>
      </w:r>
    </w:p>
    <w:p w14:paraId="2C6582B9">
      <w:pPr>
        <w:widowControl/>
        <w:shd w:val="clear" w:color="auto" w:fill="FFFFFF"/>
        <w:adjustRightInd w:val="0"/>
        <w:snapToGrid w:val="0"/>
        <w:spacing w:line="400" w:lineRule="exact"/>
        <w:ind w:firstLine="420"/>
        <w:jc w:val="left"/>
        <w:rPr>
          <w:rFonts w:ascii="宋体" w:hAnsi="宋体" w:cs="宋体"/>
          <w:sz w:val="24"/>
        </w:rPr>
      </w:pPr>
      <w:r>
        <w:rPr>
          <w:rFonts w:hint="eastAsia" w:ascii="宋体" w:hAnsi="宋体" w:cs="宋体"/>
          <w:kern w:val="0"/>
          <w:sz w:val="24"/>
          <w:shd w:val="clear" w:color="auto" w:fill="FFFFFF"/>
          <w:lang w:bidi="ar"/>
        </w:rPr>
        <w:t>1、项目编号：HNWJY-FW202503</w:t>
      </w:r>
      <w:r>
        <w:rPr>
          <w:rFonts w:hint="eastAsia" w:ascii="宋体" w:hAnsi="宋体" w:cs="宋体"/>
          <w:kern w:val="0"/>
          <w:sz w:val="24"/>
          <w:shd w:val="clear" w:color="auto" w:fill="FFFFFF"/>
          <w:lang w:val="en-US" w:eastAsia="zh-CN" w:bidi="ar"/>
        </w:rPr>
        <w:t>4</w:t>
      </w:r>
      <w:r>
        <w:rPr>
          <w:rFonts w:hint="eastAsia" w:ascii="宋体" w:hAnsi="宋体" w:cs="宋体"/>
          <w:kern w:val="0"/>
          <w:sz w:val="24"/>
          <w:shd w:val="clear" w:color="auto" w:fill="FFFFFF"/>
          <w:lang w:bidi="ar"/>
        </w:rPr>
        <w:t xml:space="preserve">        </w:t>
      </w:r>
    </w:p>
    <w:p w14:paraId="6C074600">
      <w:pPr>
        <w:pStyle w:val="12"/>
        <w:widowControl/>
        <w:shd w:val="clear" w:color="auto" w:fill="FFFFFF"/>
        <w:adjustRightInd w:val="0"/>
        <w:snapToGrid w:val="0"/>
        <w:spacing w:line="400" w:lineRule="exact"/>
        <w:ind w:firstLine="420"/>
        <w:rPr>
          <w:rFonts w:hint="eastAsia" w:ascii="宋体" w:hAnsi="宋体" w:eastAsia="宋体" w:cs="宋体"/>
          <w:shd w:val="clear" w:color="auto" w:fill="FFFFFF"/>
          <w:lang w:eastAsia="zh-CN" w:bidi="ar"/>
        </w:rPr>
      </w:pPr>
      <w:r>
        <w:rPr>
          <w:rFonts w:hint="eastAsia" w:ascii="宋体" w:hAnsi="宋体" w:cs="宋体"/>
          <w:shd w:val="clear" w:color="auto" w:fill="FFFFFF"/>
          <w:lang w:bidi="ar"/>
        </w:rPr>
        <w:t>2、项目名称：IPV6 部署云网一体化服务</w:t>
      </w:r>
      <w:r>
        <w:rPr>
          <w:rFonts w:hint="eastAsia" w:ascii="宋体" w:hAnsi="宋体" w:cs="宋体"/>
          <w:shd w:val="clear" w:color="auto" w:fill="FFFFFF"/>
          <w:lang w:eastAsia="zh-CN" w:bidi="ar"/>
        </w:rPr>
        <w:t>项目</w:t>
      </w:r>
    </w:p>
    <w:p w14:paraId="3B29441A">
      <w:pPr>
        <w:pStyle w:val="12"/>
        <w:widowControl/>
        <w:shd w:val="clear" w:color="auto" w:fill="FFFFFF"/>
        <w:adjustRightInd w:val="0"/>
        <w:snapToGrid w:val="0"/>
        <w:spacing w:line="400" w:lineRule="exact"/>
        <w:ind w:firstLine="420"/>
        <w:rPr>
          <w:rFonts w:ascii="宋体" w:hAnsi="宋体" w:cs="宋体"/>
          <w:b/>
          <w:bCs/>
          <w:shd w:val="clear" w:color="auto" w:fill="FFFFFF"/>
        </w:rPr>
      </w:pPr>
      <w:r>
        <w:rPr>
          <w:rFonts w:hint="eastAsia" w:ascii="宋体" w:hAnsi="宋体" w:cs="宋体"/>
          <w:shd w:val="clear" w:color="auto" w:fill="FFFFFF"/>
        </w:rPr>
        <w:t>3、预算金额：</w:t>
      </w:r>
      <w:r>
        <w:rPr>
          <w:rFonts w:hint="eastAsia" w:ascii="宋体" w:hAnsi="宋体" w:cs="宋体"/>
          <w:shd w:val="clear" w:color="auto" w:fill="FFFFFF"/>
          <w:lang w:bidi="ar"/>
        </w:rPr>
        <w:t>88112</w:t>
      </w:r>
      <w:r>
        <w:rPr>
          <w:rFonts w:hint="eastAsia" w:ascii="宋体" w:hAnsi="宋体" w:cs="宋体"/>
          <w:shd w:val="clear" w:color="auto" w:fill="FFFFFF"/>
          <w:lang w:val="en-US" w:eastAsia="zh-CN" w:bidi="ar"/>
        </w:rPr>
        <w:t>.00</w:t>
      </w:r>
      <w:r>
        <w:rPr>
          <w:rFonts w:hint="eastAsia" w:ascii="宋体" w:hAnsi="宋体" w:cs="宋体"/>
          <w:shd w:val="clear" w:color="auto" w:fill="FFFFFF"/>
          <w:lang w:bidi="ar"/>
        </w:rPr>
        <w:t>元/年</w:t>
      </w:r>
      <w:r>
        <w:rPr>
          <w:rFonts w:hint="eastAsia" w:ascii="宋体" w:hAnsi="宋体" w:cs="宋体"/>
          <w:b/>
          <w:bCs/>
          <w:shd w:val="clear" w:color="auto" w:fill="FFFFFF"/>
        </w:rPr>
        <w:t>（响应总价不得超过预算金额，否则视为无效响应。）</w:t>
      </w:r>
    </w:p>
    <w:p w14:paraId="1AAF8EB6">
      <w:pPr>
        <w:pStyle w:val="12"/>
        <w:widowControl/>
        <w:shd w:val="clear" w:color="auto" w:fill="FFFFFF"/>
        <w:adjustRightInd w:val="0"/>
        <w:snapToGrid w:val="0"/>
        <w:spacing w:line="400" w:lineRule="exact"/>
        <w:ind w:firstLine="420"/>
        <w:rPr>
          <w:rFonts w:ascii="宋体" w:hAnsi="宋体" w:cs="宋体"/>
        </w:rPr>
      </w:pPr>
      <w:r>
        <w:rPr>
          <w:rFonts w:hint="eastAsia" w:ascii="宋体" w:hAnsi="宋体" w:cs="宋体"/>
          <w:shd w:val="clear" w:color="auto" w:fill="FFFFFF"/>
        </w:rPr>
        <w:t>4、采购方式：磋商采购</w:t>
      </w:r>
    </w:p>
    <w:p w14:paraId="1FE0E5BE">
      <w:pPr>
        <w:adjustRightInd w:val="0"/>
        <w:snapToGrid w:val="0"/>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5、服务期限：三年，一年一签（根据每年年度考核评价为依据决定是否续签）</w:t>
      </w:r>
    </w:p>
    <w:p w14:paraId="2A219949">
      <w:pPr>
        <w:adjustRightInd w:val="0"/>
        <w:snapToGrid w:val="0"/>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6、采购内容：详见第二章 采购需求。</w:t>
      </w:r>
    </w:p>
    <w:p w14:paraId="371F1C93">
      <w:pPr>
        <w:pStyle w:val="12"/>
        <w:widowControl/>
        <w:shd w:val="clear" w:color="auto" w:fill="FFFFFF"/>
        <w:spacing w:line="360" w:lineRule="auto"/>
        <w:ind w:firstLine="482" w:firstLineChars="200"/>
        <w:rPr>
          <w:rFonts w:ascii="宋体" w:hAnsi="宋体" w:cs="宋体"/>
        </w:rPr>
      </w:pPr>
      <w:r>
        <w:rPr>
          <w:rStyle w:val="16"/>
          <w:rFonts w:hint="eastAsia" w:ascii="宋体" w:hAnsi="宋体" w:cs="宋体"/>
          <w:shd w:val="clear" w:color="auto" w:fill="FFFFFF"/>
        </w:rPr>
        <w:t>二、供应商资格要求：</w:t>
      </w:r>
    </w:p>
    <w:p w14:paraId="7A63CB98">
      <w:pPr>
        <w:spacing w:line="360" w:lineRule="auto"/>
        <w:ind w:firstLine="476" w:firstLineChars="200"/>
        <w:rPr>
          <w:rFonts w:ascii="宋体" w:hAnsi="宋体" w:cs="宋体"/>
          <w:spacing w:val="-1"/>
          <w:kern w:val="0"/>
          <w:sz w:val="24"/>
          <w:shd w:val="clear" w:color="auto" w:fill="FFFFFF"/>
          <w:lang w:bidi="ar"/>
        </w:rPr>
      </w:pPr>
      <w:r>
        <w:rPr>
          <w:rFonts w:hint="eastAsia" w:ascii="宋体" w:hAnsi="宋体" w:cs="宋体"/>
          <w:spacing w:val="-1"/>
          <w:kern w:val="0"/>
          <w:sz w:val="24"/>
          <w:shd w:val="clear" w:color="auto" w:fill="FFFFFF"/>
          <w:lang w:bidi="ar"/>
        </w:rPr>
        <w:t>1、满足《中华人民共和国政府采购法》第二十二条规定</w:t>
      </w:r>
    </w:p>
    <w:p w14:paraId="44AAB7D6">
      <w:pPr>
        <w:spacing w:line="360" w:lineRule="auto"/>
        <w:ind w:firstLine="476" w:firstLineChars="200"/>
        <w:rPr>
          <w:rFonts w:ascii="宋体" w:hAnsi="宋体" w:cs="宋体"/>
          <w:spacing w:val="-1"/>
          <w:kern w:val="0"/>
          <w:sz w:val="24"/>
          <w:shd w:val="clear" w:color="auto" w:fill="FFFFFF"/>
          <w:lang w:bidi="ar"/>
        </w:rPr>
      </w:pPr>
      <w:r>
        <w:rPr>
          <w:rFonts w:hint="eastAsia" w:ascii="宋体" w:hAnsi="宋体" w:cs="宋体"/>
          <w:spacing w:val="-1"/>
          <w:kern w:val="0"/>
          <w:sz w:val="24"/>
          <w:shd w:val="clear" w:color="auto" w:fill="FFFFFF"/>
          <w:lang w:bidi="ar"/>
        </w:rPr>
        <w:t>（1）在中华人民共和国注册，具有独立承担民事责任的能力：提供营业执照副本、或事业单位法人证书（事业单位）、或执业许可证（非企业专业服务机构）、或身份证（自然人）的复印件并加盖公章。如供应商是银行、保险、石油石化、电力、电信运营商等有行业特殊情况的，其分支机构可参与投标，即其分支机构可视为“具有独立承担民事责任能力的法人，提供有效的“营业执照”。如分支机构参与本项目采购活动，采购文件中涉及要求提供“法定代表人”相关证明材料及签名的，提供分支机构“负责人”的相关证明材料及签名。</w:t>
      </w:r>
    </w:p>
    <w:p w14:paraId="595BBA22">
      <w:pPr>
        <w:spacing w:line="360" w:lineRule="auto"/>
        <w:ind w:firstLine="476" w:firstLineChars="200"/>
        <w:rPr>
          <w:rFonts w:ascii="宋体" w:hAnsi="宋体" w:cs="宋体"/>
          <w:spacing w:val="-1"/>
          <w:kern w:val="0"/>
          <w:sz w:val="24"/>
          <w:shd w:val="clear" w:color="auto" w:fill="FFFFFF"/>
          <w:lang w:bidi="ar"/>
        </w:rPr>
      </w:pPr>
      <w:r>
        <w:rPr>
          <w:rFonts w:hint="eastAsia" w:ascii="宋体" w:hAnsi="宋体" w:cs="宋体"/>
          <w:spacing w:val="-1"/>
          <w:kern w:val="0"/>
          <w:sz w:val="24"/>
          <w:shd w:val="clear" w:color="auto" w:fill="FFFFFF"/>
          <w:lang w:bidi="ar"/>
        </w:rPr>
        <w:t>（2）具有良好的商业信誉和健全的财务会计制度、具有履行合同所必需的设备和专业技术能力、有依法缴纳税收和社会保障资金的良好记录及参加政府采购活动前三年内，在经营活动中没有重大违法记录的资格承诺函。（提供资格承诺函，详见格式《资格承诺函》）</w:t>
      </w:r>
    </w:p>
    <w:p w14:paraId="6AA0DE4B">
      <w:pPr>
        <w:spacing w:line="360" w:lineRule="auto"/>
        <w:ind w:firstLine="476" w:firstLineChars="200"/>
        <w:rPr>
          <w:rFonts w:ascii="宋体" w:hAnsi="宋体" w:cs="宋体"/>
          <w:sz w:val="24"/>
        </w:rPr>
      </w:pPr>
      <w:r>
        <w:rPr>
          <w:rFonts w:hint="eastAsia" w:ascii="宋体" w:hAnsi="宋体" w:cs="宋体"/>
          <w:spacing w:val="-1"/>
          <w:kern w:val="0"/>
          <w:sz w:val="24"/>
          <w:shd w:val="clear" w:color="auto" w:fill="FFFFFF"/>
          <w:lang w:bidi="ar"/>
        </w:rPr>
        <w:t>2、</w:t>
      </w:r>
      <w:r>
        <w:rPr>
          <w:rFonts w:hint="eastAsia" w:ascii="宋体" w:hAnsi="宋体" w:cs="宋体"/>
          <w:sz w:val="24"/>
        </w:rPr>
        <w:t>供应商未被列入“信用中国”网站（www.creditchina.gov.cn)“失信被执行人(因“信用中国”网站“失信被执行人”查询时直接跳转“中国执行信息公开网”（http://zxgk.court.gov.cn/shixin/）,故以中国执行信息公开网“全国法院失信被执行人名单信息公布与查询”查询结果为准)”、“重大税收违法失信主体”的记录名单及未被列入“中国政府采购网”网站（http://www.ccgp.gov.cn/）“政府采购严重违法失信行为信息记录”名单（提供响应截止日前三天内查询结果截图并加盖公章。如供应商未提供，则以资格审查时上述网站查询结果为准，如上述网站查询结果均显示没有相关记录，则视为没有上述不良信用记录，同时对信用信息查询记录打印存档。）。如相关失信记录已失效，供应商须提供相关证明资料并加盖公章。</w:t>
      </w:r>
    </w:p>
    <w:p w14:paraId="2FEAB0C0">
      <w:pPr>
        <w:widowControl/>
        <w:shd w:val="clear" w:color="auto" w:fill="FFFFFF"/>
        <w:spacing w:line="360" w:lineRule="auto"/>
        <w:ind w:firstLine="420"/>
        <w:jc w:val="left"/>
        <w:rPr>
          <w:rFonts w:ascii="宋体" w:hAnsi="宋体" w:cs="宋体"/>
          <w:sz w:val="24"/>
        </w:rPr>
      </w:pPr>
      <w:r>
        <w:rPr>
          <w:rFonts w:hint="eastAsia" w:ascii="宋体" w:hAnsi="宋体" w:cs="宋体"/>
          <w:kern w:val="0"/>
          <w:sz w:val="24"/>
          <w:shd w:val="clear" w:color="auto" w:fill="FFFFFF"/>
          <w:lang w:bidi="ar"/>
        </w:rPr>
        <w:t>3、本项目不接受分包或转包。</w:t>
      </w:r>
      <w:r>
        <w:rPr>
          <w:rFonts w:hint="eastAsia" w:ascii="宋体" w:hAnsi="宋体" w:cs="宋体"/>
          <w:sz w:val="24"/>
        </w:rPr>
        <w:t>（提供承诺函，格式自拟）</w:t>
      </w:r>
    </w:p>
    <w:p w14:paraId="014C01AB">
      <w:pPr>
        <w:widowControl/>
        <w:shd w:val="clear" w:color="auto" w:fill="FFFFFF"/>
        <w:spacing w:line="360" w:lineRule="auto"/>
        <w:ind w:firstLine="416"/>
        <w:jc w:val="left"/>
        <w:rPr>
          <w:rFonts w:ascii="宋体" w:hAnsi="宋体" w:cs="宋体"/>
          <w:sz w:val="24"/>
        </w:rPr>
      </w:pPr>
      <w:r>
        <w:rPr>
          <w:rFonts w:hint="eastAsia" w:ascii="宋体" w:hAnsi="宋体" w:cs="宋体"/>
          <w:spacing w:val="-1"/>
          <w:kern w:val="0"/>
          <w:sz w:val="24"/>
          <w:shd w:val="clear" w:color="auto" w:fill="FFFFFF"/>
          <w:lang w:bidi="ar"/>
        </w:rPr>
        <w:t>4、本项目不接受联合体响应。</w:t>
      </w:r>
    </w:p>
    <w:p w14:paraId="20E63013">
      <w:pPr>
        <w:pStyle w:val="12"/>
        <w:widowControl/>
        <w:shd w:val="clear" w:color="auto" w:fill="FFFFFF"/>
        <w:spacing w:line="360" w:lineRule="auto"/>
        <w:ind w:firstLine="422"/>
        <w:rPr>
          <w:rFonts w:ascii="宋体" w:hAnsi="宋体" w:cs="宋体"/>
        </w:rPr>
      </w:pPr>
      <w:r>
        <w:rPr>
          <w:rStyle w:val="16"/>
          <w:rFonts w:hint="eastAsia" w:ascii="宋体" w:hAnsi="宋体" w:cs="宋体"/>
          <w:shd w:val="clear" w:color="auto" w:fill="FFFFFF"/>
        </w:rPr>
        <w:t>三、递交响应文件截止时间（响应截止时间）、响应文件开启时间及地点</w:t>
      </w:r>
    </w:p>
    <w:p w14:paraId="14F1BECC">
      <w:pPr>
        <w:widowControl/>
        <w:shd w:val="clear" w:color="auto" w:fill="FFFFFF"/>
        <w:spacing w:line="360" w:lineRule="auto"/>
        <w:ind w:firstLine="420"/>
        <w:jc w:val="left"/>
        <w:rPr>
          <w:rFonts w:hint="eastAsia" w:ascii="宋体" w:hAnsi="宋体" w:cs="宋体"/>
          <w:kern w:val="0"/>
          <w:sz w:val="24"/>
          <w:shd w:val="clear" w:color="auto" w:fill="FFFFFF"/>
          <w:lang w:bidi="ar"/>
        </w:rPr>
      </w:pPr>
      <w:r>
        <w:rPr>
          <w:rFonts w:hint="eastAsia" w:ascii="宋体" w:hAnsi="宋体" w:cs="宋体"/>
          <w:kern w:val="0"/>
          <w:sz w:val="24"/>
          <w:shd w:val="clear" w:color="auto" w:fill="FFFFFF"/>
          <w:lang w:bidi="ar"/>
        </w:rPr>
        <w:t>1、递交响应文件截止时间（响应截止时间）:2025年10月</w:t>
      </w:r>
      <w:r>
        <w:rPr>
          <w:rFonts w:hint="eastAsia" w:ascii="宋体" w:hAnsi="宋体" w:cs="宋体"/>
          <w:kern w:val="0"/>
          <w:sz w:val="24"/>
          <w:shd w:val="clear" w:color="auto" w:fill="FFFFFF"/>
          <w:lang w:val="en-US" w:eastAsia="zh-CN" w:bidi="ar"/>
        </w:rPr>
        <w:t>21</w:t>
      </w:r>
      <w:r>
        <w:rPr>
          <w:rFonts w:hint="eastAsia" w:ascii="宋体" w:hAnsi="宋体" w:cs="宋体"/>
          <w:kern w:val="0"/>
          <w:sz w:val="24"/>
          <w:shd w:val="clear" w:color="auto" w:fill="FFFFFF"/>
          <w:lang w:bidi="ar"/>
        </w:rPr>
        <w:t>日</w:t>
      </w:r>
      <w:r>
        <w:rPr>
          <w:rFonts w:hint="eastAsia" w:ascii="宋体" w:hAnsi="宋体" w:cs="宋体"/>
          <w:kern w:val="0"/>
          <w:sz w:val="24"/>
          <w:shd w:val="clear" w:color="auto" w:fill="FFFFFF"/>
          <w:lang w:eastAsia="zh-CN" w:bidi="ar"/>
        </w:rPr>
        <w:t>早上</w:t>
      </w:r>
      <w:r>
        <w:rPr>
          <w:rFonts w:hint="eastAsia" w:ascii="宋体" w:hAnsi="宋体" w:cs="宋体"/>
          <w:kern w:val="0"/>
          <w:sz w:val="24"/>
          <w:shd w:val="clear" w:color="auto" w:fill="FFFFFF"/>
          <w:lang w:val="en-US" w:eastAsia="zh-CN" w:bidi="ar"/>
        </w:rPr>
        <w:t>9</w:t>
      </w:r>
      <w:r>
        <w:rPr>
          <w:rFonts w:hint="eastAsia" w:ascii="宋体" w:hAnsi="宋体" w:cs="宋体"/>
          <w:kern w:val="0"/>
          <w:sz w:val="24"/>
          <w:shd w:val="clear" w:color="auto" w:fill="FFFFFF"/>
          <w:lang w:bidi="ar"/>
        </w:rPr>
        <w:t>时00（北京时间）；</w:t>
      </w:r>
    </w:p>
    <w:p w14:paraId="6D2C2CA0">
      <w:pPr>
        <w:widowControl/>
        <w:shd w:val="clear" w:color="auto" w:fill="FFFFFF"/>
        <w:spacing w:line="360" w:lineRule="auto"/>
        <w:ind w:firstLine="420"/>
        <w:jc w:val="left"/>
        <w:rPr>
          <w:rFonts w:ascii="宋体" w:hAnsi="宋体" w:cs="宋体"/>
          <w:sz w:val="24"/>
        </w:rPr>
      </w:pPr>
      <w:r>
        <w:rPr>
          <w:rFonts w:hint="eastAsia" w:ascii="宋体" w:hAnsi="宋体" w:cs="宋体"/>
          <w:kern w:val="0"/>
          <w:sz w:val="24"/>
          <w:shd w:val="clear" w:color="auto" w:fill="FFFFFF"/>
          <w:lang w:bidi="ar"/>
        </w:rPr>
        <w:t>2、响应文件开启时间:与递交响应文件截止时间为同一时间；</w:t>
      </w:r>
    </w:p>
    <w:p w14:paraId="62FEE97A">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3、递交响应文件及响应文件开启地点: 海口市秀英区秀华路32号海南卫生健康职业学院教职工之家-职工书屋（靠近学校西门） ；</w:t>
      </w:r>
    </w:p>
    <w:p w14:paraId="00A5678F">
      <w:pPr>
        <w:widowControl/>
        <w:shd w:val="clear" w:color="auto" w:fill="FFFFFF"/>
        <w:spacing w:line="360" w:lineRule="auto"/>
        <w:ind w:firstLine="420"/>
        <w:jc w:val="left"/>
        <w:rPr>
          <w:rFonts w:ascii="宋体" w:hAnsi="宋体" w:cs="宋体"/>
          <w:sz w:val="24"/>
        </w:rPr>
      </w:pPr>
      <w:r>
        <w:rPr>
          <w:rFonts w:hint="eastAsia" w:ascii="宋体" w:hAnsi="宋体" w:cs="宋体"/>
          <w:kern w:val="0"/>
          <w:sz w:val="24"/>
          <w:shd w:val="clear" w:color="auto" w:fill="FFFFFF"/>
          <w:lang w:bidi="ar"/>
        </w:rPr>
        <w:t>4、逾期送达或者未送达指定地点的响应文件，视为</w:t>
      </w:r>
      <w:r>
        <w:rPr>
          <w:rStyle w:val="16"/>
          <w:rFonts w:hint="eastAsia" w:ascii="宋体" w:hAnsi="宋体" w:cs="宋体"/>
          <w:kern w:val="0"/>
          <w:sz w:val="24"/>
          <w:shd w:val="clear" w:color="auto" w:fill="FFFFFF"/>
          <w:lang w:bidi="ar"/>
        </w:rPr>
        <w:t>无效</w:t>
      </w:r>
      <w:r>
        <w:rPr>
          <w:rFonts w:hint="eastAsia" w:ascii="宋体" w:hAnsi="宋体" w:cs="宋体"/>
          <w:kern w:val="0"/>
          <w:sz w:val="24"/>
          <w:shd w:val="clear" w:color="auto" w:fill="FFFFFF"/>
          <w:lang w:bidi="ar"/>
        </w:rPr>
        <w:t>响应文件不予接收。</w:t>
      </w:r>
    </w:p>
    <w:p w14:paraId="6E91ECE8">
      <w:pPr>
        <w:pStyle w:val="12"/>
        <w:widowControl/>
        <w:shd w:val="clear" w:color="auto" w:fill="FFFFFF"/>
        <w:spacing w:line="360" w:lineRule="auto"/>
        <w:ind w:firstLine="422"/>
        <w:rPr>
          <w:rFonts w:ascii="宋体" w:hAnsi="宋体" w:cs="宋体"/>
        </w:rPr>
      </w:pPr>
      <w:r>
        <w:rPr>
          <w:rStyle w:val="16"/>
          <w:rFonts w:hint="eastAsia" w:ascii="宋体" w:hAnsi="宋体" w:cs="宋体"/>
          <w:shd w:val="clear" w:color="auto" w:fill="FFFFFF"/>
        </w:rPr>
        <w:t>五、采购信息发布媒体</w:t>
      </w:r>
    </w:p>
    <w:p w14:paraId="3E7A8B83">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1、本项目采购信息指定发布媒体为海南卫生健康职业学院网站。</w:t>
      </w:r>
    </w:p>
    <w:p w14:paraId="4407DCBB">
      <w:pPr>
        <w:pStyle w:val="12"/>
        <w:widowControl/>
        <w:shd w:val="clear" w:color="auto" w:fill="FFFFFF"/>
        <w:spacing w:line="360" w:lineRule="auto"/>
        <w:ind w:firstLine="420"/>
        <w:rPr>
          <w:rStyle w:val="16"/>
          <w:rFonts w:ascii="宋体" w:hAnsi="宋体" w:cs="宋体"/>
          <w:shd w:val="clear" w:color="auto" w:fill="FFFFFF"/>
        </w:rPr>
      </w:pPr>
      <w:r>
        <w:rPr>
          <w:rFonts w:hint="eastAsia" w:ascii="宋体" w:hAnsi="宋体" w:cs="宋体"/>
          <w:shd w:val="clear" w:color="auto" w:fill="FFFFFF"/>
        </w:rPr>
        <w:t>2、有关本项目采购文件的补遗、澄清及变更信息以上述网站公告与下载为准，采购人不再另行通知，采购文件与更正公告的内容相互矛盾时，以最后发出的更正公告内容为准</w:t>
      </w:r>
      <w:r>
        <w:rPr>
          <w:rStyle w:val="16"/>
          <w:rFonts w:hint="eastAsia" w:ascii="宋体" w:hAnsi="宋体" w:cs="宋体"/>
          <w:shd w:val="clear" w:color="auto" w:fill="FFFFFF"/>
        </w:rPr>
        <w:t>。</w:t>
      </w:r>
    </w:p>
    <w:p w14:paraId="1F1D6DA0">
      <w:pPr>
        <w:adjustRightInd w:val="0"/>
        <w:snapToGrid w:val="0"/>
        <w:spacing w:line="560" w:lineRule="exact"/>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3.报名时间：2025年10月15日1</w:t>
      </w:r>
      <w:r>
        <w:rPr>
          <w:rFonts w:hint="eastAsia" w:ascii="宋体" w:hAnsi="宋体" w:cs="宋体"/>
          <w:kern w:val="0"/>
          <w:sz w:val="24"/>
          <w:szCs w:val="24"/>
          <w:shd w:val="clear" w:color="auto" w:fill="FFFFFF"/>
          <w:lang w:val="en-US" w:eastAsia="zh-CN" w:bidi="ar-SA"/>
        </w:rPr>
        <w:t>5</w:t>
      </w:r>
      <w:r>
        <w:rPr>
          <w:rFonts w:hint="eastAsia" w:ascii="宋体" w:hAnsi="宋体" w:eastAsia="宋体" w:cs="宋体"/>
          <w:kern w:val="0"/>
          <w:sz w:val="24"/>
          <w:szCs w:val="24"/>
          <w:shd w:val="clear" w:color="auto" w:fill="FFFFFF"/>
          <w:lang w:val="en-US" w:eastAsia="zh-CN" w:bidi="ar-SA"/>
        </w:rPr>
        <w:t>时00分至2025年10月20日下午17时30分（北京时间，法定节假日除外），逾期不再受理。</w:t>
      </w:r>
    </w:p>
    <w:p w14:paraId="470353CA">
      <w:pPr>
        <w:adjustRightInd w:val="0"/>
        <w:snapToGrid w:val="0"/>
        <w:spacing w:line="56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4.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w:t>
      </w:r>
      <w:bookmarkStart w:id="98" w:name="_GoBack"/>
      <w:r>
        <w:rPr>
          <w:rFonts w:hint="eastAsia" w:ascii="宋体" w:hAnsi="宋体" w:cs="宋体"/>
          <w:kern w:val="0"/>
          <w:sz w:val="24"/>
          <w:shd w:val="clear" w:color="auto" w:fill="FFFFFF"/>
        </w:rPr>
        <w:t>报名信息。</w:t>
      </w:r>
      <w:r>
        <w:rPr>
          <w:rFonts w:hint="eastAsia" w:ascii="宋体" w:hAnsi="宋体" w:cs="宋体"/>
          <w:kern w:val="0"/>
          <w:sz w:val="24"/>
          <w:shd w:val="clear" w:color="auto" w:fill="FFFFFF"/>
          <w:lang w:eastAsia="zh-CN"/>
        </w:rPr>
        <w:t>邮箱：</w:t>
      </w:r>
      <w:r>
        <w:rPr>
          <w:rFonts w:hint="eastAsia" w:ascii="宋体" w:hAnsi="宋体" w:cs="宋体"/>
          <w:kern w:val="0"/>
          <w:sz w:val="24"/>
          <w:shd w:val="clear" w:color="auto" w:fill="FFFFFF"/>
        </w:rPr>
        <w:t>hnwjy0898@163.com</w:t>
      </w:r>
      <w:bookmarkEnd w:id="98"/>
    </w:p>
    <w:p w14:paraId="3DD37B56">
      <w:pPr>
        <w:pStyle w:val="12"/>
        <w:widowControl/>
        <w:shd w:val="clear" w:color="auto" w:fill="FFFFFF"/>
        <w:spacing w:line="360" w:lineRule="auto"/>
        <w:ind w:firstLine="420"/>
        <w:rPr>
          <w:rFonts w:ascii="宋体" w:hAnsi="宋体" w:cs="宋体"/>
          <w:shd w:val="clear" w:color="auto" w:fill="FFFFFF"/>
        </w:rPr>
      </w:pPr>
      <w:r>
        <w:rPr>
          <w:rFonts w:hint="eastAsia" w:ascii="宋体" w:hAnsi="宋体" w:cs="宋体"/>
          <w:shd w:val="clear" w:color="auto" w:fill="FFFFFF"/>
        </w:rPr>
        <w:t>5.采购文件获取方式：海南卫生健康职业学院官方网站（https://www.hnhvc.edu.cn/1036/list.htm）自行下载。</w:t>
      </w:r>
    </w:p>
    <w:p w14:paraId="3CDE177F">
      <w:pPr>
        <w:pStyle w:val="12"/>
        <w:widowControl/>
        <w:shd w:val="clear" w:color="auto" w:fill="FFFFFF"/>
        <w:spacing w:line="360" w:lineRule="auto"/>
        <w:ind w:firstLine="422"/>
        <w:rPr>
          <w:rFonts w:ascii="宋体" w:hAnsi="宋体" w:cs="宋体"/>
        </w:rPr>
      </w:pPr>
      <w:r>
        <w:rPr>
          <w:rStyle w:val="16"/>
          <w:rFonts w:hint="eastAsia" w:ascii="宋体" w:hAnsi="宋体" w:cs="宋体"/>
          <w:shd w:val="clear" w:color="auto" w:fill="FFFFFF"/>
        </w:rPr>
        <w:t>六、公告期限</w:t>
      </w:r>
    </w:p>
    <w:p w14:paraId="785CECDA">
      <w:pPr>
        <w:pStyle w:val="12"/>
        <w:widowControl/>
        <w:shd w:val="clear" w:color="auto" w:fill="FFFFFF"/>
        <w:spacing w:line="360" w:lineRule="auto"/>
        <w:ind w:firstLine="420"/>
        <w:rPr>
          <w:rFonts w:ascii="宋体" w:hAnsi="宋体" w:cs="宋体"/>
          <w:highlight w:val="yellow"/>
          <w:shd w:val="clear" w:color="auto" w:fill="FFFFFF"/>
        </w:rPr>
      </w:pPr>
      <w:r>
        <w:rPr>
          <w:rFonts w:hint="eastAsia" w:ascii="宋体" w:hAnsi="宋体" w:cs="宋体"/>
          <w:shd w:val="clear" w:color="auto" w:fill="FFFFFF"/>
        </w:rPr>
        <w:t>1、采购公告期限：自本公告发布之日起3个工作日。</w:t>
      </w:r>
    </w:p>
    <w:p w14:paraId="3B6C287D">
      <w:pPr>
        <w:pStyle w:val="12"/>
        <w:widowControl/>
        <w:shd w:val="clear" w:color="auto" w:fill="FFFFFF"/>
        <w:spacing w:line="360" w:lineRule="auto"/>
        <w:ind w:firstLine="420"/>
        <w:rPr>
          <w:rFonts w:ascii="宋体" w:hAnsi="宋体" w:cs="宋体"/>
          <w:shd w:val="clear" w:color="auto" w:fill="FFFFFF"/>
        </w:rPr>
      </w:pPr>
      <w:r>
        <w:rPr>
          <w:rFonts w:hint="eastAsia" w:ascii="宋体" w:hAnsi="宋体" w:cs="宋体"/>
          <w:shd w:val="clear" w:color="auto" w:fill="FFFFFF"/>
        </w:rPr>
        <w:t>2、采购文件获取期限及采购文件公告期限与采购公告期限一致。</w:t>
      </w:r>
    </w:p>
    <w:p w14:paraId="3C7AEEB5">
      <w:pPr>
        <w:pStyle w:val="9"/>
        <w:adjustRightInd w:val="0"/>
        <w:snapToGrid w:val="0"/>
        <w:spacing w:line="360" w:lineRule="auto"/>
        <w:ind w:firstLine="482" w:firstLineChars="200"/>
        <w:jc w:val="left"/>
        <w:rPr>
          <w:rFonts w:hAnsi="宋体" w:cs="宋体"/>
          <w:bCs/>
          <w:sz w:val="24"/>
          <w:szCs w:val="24"/>
        </w:rPr>
      </w:pPr>
      <w:r>
        <w:rPr>
          <w:rFonts w:hint="eastAsia" w:hAnsi="宋体" w:cs="宋体"/>
          <w:b/>
          <w:sz w:val="24"/>
          <w:szCs w:val="24"/>
        </w:rPr>
        <w:t>七、其他补充事宜</w:t>
      </w:r>
      <w:bookmarkEnd w:id="11"/>
      <w:bookmarkEnd w:id="12"/>
      <w:r>
        <w:rPr>
          <w:rFonts w:hint="eastAsia" w:hAnsi="宋体" w:cs="宋体"/>
          <w:b/>
          <w:sz w:val="24"/>
          <w:szCs w:val="24"/>
        </w:rPr>
        <w:t>：</w:t>
      </w:r>
      <w:r>
        <w:rPr>
          <w:rFonts w:hint="eastAsia" w:hAnsi="宋体" w:cs="宋体"/>
          <w:bCs/>
          <w:sz w:val="24"/>
          <w:szCs w:val="24"/>
        </w:rPr>
        <w:t>本次采购活动不收取任何费用。</w:t>
      </w:r>
    </w:p>
    <w:p w14:paraId="39EC5F43">
      <w:pPr>
        <w:pStyle w:val="12"/>
        <w:widowControl/>
        <w:shd w:val="clear" w:color="auto" w:fill="FFFFFF"/>
        <w:spacing w:line="360" w:lineRule="auto"/>
        <w:ind w:firstLine="422"/>
        <w:rPr>
          <w:rStyle w:val="16"/>
          <w:rFonts w:ascii="宋体" w:hAnsi="宋体" w:cs="宋体"/>
          <w:shd w:val="clear" w:color="auto" w:fill="FFFFFF"/>
        </w:rPr>
      </w:pPr>
      <w:r>
        <w:rPr>
          <w:rFonts w:hint="eastAsia" w:ascii="宋体" w:hAnsi="宋体" w:cs="宋体"/>
          <w:b/>
        </w:rPr>
        <w:t>八、</w:t>
      </w:r>
      <w:bookmarkEnd w:id="13"/>
      <w:bookmarkEnd w:id="14"/>
      <w:bookmarkEnd w:id="15"/>
      <w:bookmarkEnd w:id="16"/>
      <w:bookmarkStart w:id="17" w:name="_Toc32230"/>
      <w:r>
        <w:rPr>
          <w:rStyle w:val="16"/>
          <w:rFonts w:hint="eastAsia" w:ascii="宋体" w:hAnsi="宋体" w:cs="宋体"/>
          <w:shd w:val="clear" w:color="auto" w:fill="FFFFFF"/>
        </w:rPr>
        <w:t>对本次采购活动提出询问，请按以下方式联系</w:t>
      </w:r>
    </w:p>
    <w:p w14:paraId="3FE6CA22">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1、项目咨询联系方式：</w:t>
      </w:r>
    </w:p>
    <w:p w14:paraId="467E5CFD">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 xml:space="preserve">联系人：凌老师        </w:t>
      </w:r>
    </w:p>
    <w:p w14:paraId="3FA23F9D">
      <w:pPr>
        <w:widowControl/>
        <w:shd w:val="clear" w:color="auto" w:fill="FFFFFF"/>
        <w:spacing w:line="360" w:lineRule="auto"/>
        <w:ind w:firstLine="420"/>
        <w:jc w:val="left"/>
        <w:rPr>
          <w:rFonts w:ascii="宋体" w:hAnsi="宋体" w:cs="宋体"/>
          <w:sz w:val="24"/>
        </w:rPr>
      </w:pPr>
      <w:r>
        <w:rPr>
          <w:rFonts w:hint="eastAsia" w:ascii="宋体" w:hAnsi="宋体" w:cs="宋体"/>
          <w:kern w:val="0"/>
          <w:sz w:val="24"/>
          <w:shd w:val="clear" w:color="auto" w:fill="FFFFFF"/>
          <w:lang w:bidi="ar"/>
        </w:rPr>
        <w:t>名 称：海南卫生健康职业学院</w:t>
      </w:r>
    </w:p>
    <w:p w14:paraId="15952488">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地　址：海南卫生健康职业学院校长办公室(海口市秀英区秀华路32号行政办公楼3楼305办公室)</w:t>
      </w:r>
    </w:p>
    <w:p w14:paraId="0EAABD18">
      <w:pPr>
        <w:widowControl/>
        <w:shd w:val="clear" w:color="auto" w:fill="FFFFFF"/>
        <w:spacing w:line="360" w:lineRule="auto"/>
        <w:ind w:firstLine="42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联系方式：</w:t>
      </w:r>
      <w:bookmarkEnd w:id="17"/>
      <w:r>
        <w:rPr>
          <w:rFonts w:hint="eastAsia" w:ascii="宋体" w:hAnsi="宋体" w:cs="宋体"/>
          <w:kern w:val="0"/>
          <w:sz w:val="24"/>
          <w:shd w:val="clear" w:color="auto" w:fill="FFFFFF"/>
          <w:lang w:bidi="ar"/>
        </w:rPr>
        <w:t>0898-68642247</w:t>
      </w:r>
    </w:p>
    <w:p w14:paraId="40B509EF">
      <w:pPr>
        <w:spacing w:line="360" w:lineRule="auto"/>
        <w:rPr>
          <w:rFonts w:ascii="宋体" w:hAnsi="宋体" w:cs="宋体"/>
          <w:b/>
          <w:sz w:val="28"/>
          <w:szCs w:val="28"/>
        </w:rPr>
      </w:pPr>
    </w:p>
    <w:p w14:paraId="39486C4F">
      <w:pPr>
        <w:pStyle w:val="6"/>
        <w:rPr>
          <w:rFonts w:ascii="宋体" w:hAnsi="宋体" w:cs="宋体"/>
          <w:b/>
          <w:sz w:val="28"/>
          <w:szCs w:val="28"/>
        </w:rPr>
      </w:pPr>
    </w:p>
    <w:p w14:paraId="27970941">
      <w:pPr>
        <w:pStyle w:val="6"/>
        <w:rPr>
          <w:rFonts w:ascii="宋体" w:hAnsi="宋体" w:cs="宋体"/>
          <w:b/>
          <w:sz w:val="28"/>
          <w:szCs w:val="28"/>
        </w:rPr>
      </w:pPr>
    </w:p>
    <w:p w14:paraId="747A027A">
      <w:pPr>
        <w:pStyle w:val="6"/>
        <w:rPr>
          <w:rFonts w:ascii="宋体" w:hAnsi="宋体" w:cs="宋体"/>
          <w:b/>
          <w:sz w:val="28"/>
          <w:szCs w:val="28"/>
        </w:rPr>
      </w:pPr>
    </w:p>
    <w:p w14:paraId="61300B94">
      <w:pPr>
        <w:pStyle w:val="6"/>
        <w:rPr>
          <w:rFonts w:ascii="宋体" w:hAnsi="宋体" w:cs="宋体"/>
          <w:b/>
          <w:sz w:val="28"/>
          <w:szCs w:val="28"/>
        </w:rPr>
      </w:pPr>
    </w:p>
    <w:p w14:paraId="3D265568">
      <w:pPr>
        <w:pStyle w:val="6"/>
        <w:rPr>
          <w:rFonts w:ascii="宋体" w:hAnsi="宋体" w:cs="宋体"/>
          <w:b/>
          <w:sz w:val="28"/>
          <w:szCs w:val="28"/>
        </w:rPr>
      </w:pPr>
    </w:p>
    <w:p w14:paraId="7E22DEDE">
      <w:pPr>
        <w:pStyle w:val="6"/>
        <w:rPr>
          <w:rFonts w:ascii="宋体" w:hAnsi="宋体" w:cs="宋体"/>
          <w:b/>
          <w:sz w:val="28"/>
          <w:szCs w:val="28"/>
        </w:rPr>
      </w:pPr>
    </w:p>
    <w:p w14:paraId="49D1760D">
      <w:pPr>
        <w:pStyle w:val="6"/>
        <w:rPr>
          <w:rFonts w:ascii="宋体" w:hAnsi="宋体" w:cs="宋体"/>
          <w:b/>
          <w:sz w:val="28"/>
          <w:szCs w:val="28"/>
        </w:rPr>
      </w:pPr>
    </w:p>
    <w:p w14:paraId="33E1779D">
      <w:pPr>
        <w:pStyle w:val="6"/>
        <w:rPr>
          <w:rFonts w:ascii="宋体" w:hAnsi="宋体" w:cs="宋体"/>
          <w:b/>
          <w:sz w:val="28"/>
          <w:szCs w:val="28"/>
        </w:rPr>
      </w:pPr>
    </w:p>
    <w:p w14:paraId="20D2F6C6">
      <w:pPr>
        <w:pStyle w:val="6"/>
        <w:rPr>
          <w:rFonts w:ascii="宋体" w:hAnsi="宋体" w:cs="宋体"/>
          <w:b/>
          <w:sz w:val="28"/>
          <w:szCs w:val="28"/>
        </w:rPr>
      </w:pPr>
    </w:p>
    <w:p w14:paraId="11EF436A">
      <w:pPr>
        <w:pStyle w:val="6"/>
        <w:rPr>
          <w:rFonts w:ascii="宋体" w:hAnsi="宋体" w:cs="宋体"/>
          <w:b/>
          <w:sz w:val="28"/>
          <w:szCs w:val="28"/>
        </w:rPr>
      </w:pPr>
    </w:p>
    <w:p w14:paraId="68801D8F">
      <w:pPr>
        <w:pStyle w:val="6"/>
        <w:rPr>
          <w:rFonts w:ascii="宋体" w:hAnsi="宋体" w:cs="宋体"/>
          <w:b/>
          <w:sz w:val="28"/>
          <w:szCs w:val="28"/>
        </w:rPr>
      </w:pPr>
    </w:p>
    <w:p w14:paraId="4A5D3C00">
      <w:pPr>
        <w:pStyle w:val="6"/>
        <w:rPr>
          <w:rFonts w:ascii="宋体" w:hAnsi="宋体" w:cs="宋体"/>
          <w:b/>
          <w:sz w:val="28"/>
          <w:szCs w:val="28"/>
        </w:rPr>
      </w:pPr>
    </w:p>
    <w:p w14:paraId="18BFF359">
      <w:pPr>
        <w:pStyle w:val="6"/>
        <w:rPr>
          <w:rFonts w:ascii="宋体" w:hAnsi="宋体" w:cs="宋体"/>
          <w:b/>
          <w:sz w:val="28"/>
          <w:szCs w:val="28"/>
        </w:rPr>
      </w:pPr>
    </w:p>
    <w:p w14:paraId="08BBC0F8">
      <w:pPr>
        <w:adjustRightInd w:val="0"/>
        <w:snapToGrid w:val="0"/>
        <w:spacing w:line="360" w:lineRule="auto"/>
        <w:jc w:val="center"/>
        <w:outlineLvl w:val="0"/>
        <w:rPr>
          <w:rFonts w:ascii="宋体" w:hAnsi="宋体" w:cs="宋体"/>
          <w:sz w:val="28"/>
          <w:szCs w:val="28"/>
        </w:rPr>
      </w:pPr>
      <w:r>
        <w:rPr>
          <w:rFonts w:hint="eastAsia" w:ascii="宋体" w:hAnsi="宋体" w:cs="宋体"/>
          <w:b/>
          <w:sz w:val="28"/>
          <w:szCs w:val="28"/>
        </w:rPr>
        <w:t>第二章 采购需求</w:t>
      </w:r>
    </w:p>
    <w:p w14:paraId="4618F30B">
      <w:pPr>
        <w:numPr>
          <w:ilvl w:val="0"/>
          <w:numId w:val="1"/>
        </w:numPr>
        <w:spacing w:line="360" w:lineRule="auto"/>
        <w:rPr>
          <w:rFonts w:ascii="宋体" w:hAnsi="宋体" w:cs="宋体"/>
          <w:b/>
          <w:bCs/>
          <w:sz w:val="24"/>
        </w:rPr>
      </w:pPr>
      <w:r>
        <w:rPr>
          <w:rFonts w:hint="eastAsia" w:ascii="宋体" w:hAnsi="宋体" w:cs="宋体"/>
          <w:b/>
          <w:bCs/>
          <w:sz w:val="24"/>
        </w:rPr>
        <w:t>项目用途</w:t>
      </w:r>
    </w:p>
    <w:p w14:paraId="24C76A74">
      <w:pPr>
        <w:adjustRightInd w:val="0"/>
        <w:snapToGrid w:val="0"/>
        <w:spacing w:line="360" w:lineRule="auto"/>
        <w:ind w:firstLine="588" w:firstLineChars="245"/>
        <w:rPr>
          <w:rFonts w:ascii="宋体" w:hAnsi="宋体" w:cs="宋体"/>
          <w:kern w:val="0"/>
          <w:sz w:val="24"/>
        </w:rPr>
      </w:pPr>
      <w:r>
        <w:rPr>
          <w:rFonts w:hint="eastAsia" w:ascii="宋体" w:hAnsi="宋体" w:cs="宋体"/>
          <w:kern w:val="0"/>
          <w:sz w:val="24"/>
        </w:rPr>
        <w:t>以云主机为业务载体，通过专线保障网络稳定，再用多层级安全产品覆盖 “边界-应用-主机-数据” 的全链路防护，最终支撑学校的官网、线上服务、内网业务系统等场景，同时满足行业合规要求。能对用户的网络活动进行较长时间的回溯与反查，帮助管理人员全面了解网络的使用情况，为保障网络安全提供详实准确的依据。</w:t>
      </w:r>
    </w:p>
    <w:p w14:paraId="636CB22C">
      <w:pPr>
        <w:adjustRightInd w:val="0"/>
        <w:snapToGrid w:val="0"/>
        <w:spacing w:line="360" w:lineRule="auto"/>
        <w:ind w:firstLine="588" w:firstLineChars="245"/>
        <w:rPr>
          <w:rFonts w:ascii="宋体" w:hAnsi="宋体" w:cs="宋体"/>
          <w:kern w:val="0"/>
          <w:sz w:val="24"/>
        </w:rPr>
      </w:pPr>
      <w:r>
        <w:rPr>
          <w:rFonts w:hint="eastAsia" w:ascii="宋体" w:hAnsi="宋体" w:cs="宋体"/>
          <w:kern w:val="0"/>
          <w:sz w:val="24"/>
        </w:rPr>
        <w:t>注：要求中标方积极与原服务供应商做好衔接工作，确保过渡期内业主单位的网络业务、云主机、安全服务等服务的正常稳定运行，过渡期费用由中标方承担。</w:t>
      </w:r>
    </w:p>
    <w:p w14:paraId="19589C11">
      <w:pPr>
        <w:numPr>
          <w:ilvl w:val="0"/>
          <w:numId w:val="1"/>
        </w:numPr>
        <w:spacing w:line="360" w:lineRule="auto"/>
        <w:rPr>
          <w:rFonts w:ascii="宋体" w:hAnsi="宋体" w:cs="宋体"/>
          <w:b/>
          <w:bCs/>
          <w:sz w:val="24"/>
        </w:rPr>
      </w:pPr>
      <w:r>
        <w:rPr>
          <w:rFonts w:hint="eastAsia" w:ascii="宋体" w:hAnsi="宋体" w:cs="宋体"/>
          <w:b/>
          <w:bCs/>
          <w:sz w:val="24"/>
        </w:rPr>
        <w:t>用户采购需求清单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978"/>
        <w:gridCol w:w="3766"/>
        <w:gridCol w:w="911"/>
        <w:gridCol w:w="833"/>
      </w:tblGrid>
      <w:tr w14:paraId="114B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5"/>
            <w:vAlign w:val="center"/>
          </w:tcPr>
          <w:p w14:paraId="525913CC">
            <w:pPr>
              <w:spacing w:line="360" w:lineRule="auto"/>
              <w:rPr>
                <w:rFonts w:ascii="宋体" w:hAnsi="宋体" w:cs="宋体"/>
                <w:b/>
                <w:bCs/>
                <w:sz w:val="24"/>
              </w:rPr>
            </w:pPr>
            <w:r>
              <w:rPr>
                <w:rFonts w:hint="eastAsia" w:ascii="宋体" w:hAnsi="宋体" w:cs="宋体"/>
                <w:b/>
                <w:bCs/>
                <w:sz w:val="24"/>
              </w:rPr>
              <w:t>专线服务清单：</w:t>
            </w:r>
          </w:p>
        </w:tc>
      </w:tr>
      <w:tr w14:paraId="2767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34" w:type="dxa"/>
          </w:tcPr>
          <w:p w14:paraId="7DBFD93D">
            <w:pPr>
              <w:spacing w:line="360" w:lineRule="auto"/>
              <w:jc w:val="center"/>
              <w:rPr>
                <w:rFonts w:ascii="宋体" w:hAnsi="宋体" w:cs="宋体"/>
                <w:sz w:val="24"/>
              </w:rPr>
            </w:pPr>
            <w:r>
              <w:rPr>
                <w:rFonts w:hint="eastAsia" w:ascii="宋体" w:hAnsi="宋体" w:cs="宋体"/>
                <w:sz w:val="24"/>
              </w:rPr>
              <w:t>序号</w:t>
            </w:r>
          </w:p>
        </w:tc>
        <w:tc>
          <w:tcPr>
            <w:tcW w:w="1978" w:type="dxa"/>
          </w:tcPr>
          <w:p w14:paraId="41381427">
            <w:pPr>
              <w:spacing w:line="360" w:lineRule="auto"/>
              <w:jc w:val="center"/>
              <w:rPr>
                <w:rFonts w:ascii="宋体" w:hAnsi="宋体" w:cs="宋体"/>
                <w:sz w:val="24"/>
              </w:rPr>
            </w:pPr>
            <w:r>
              <w:rPr>
                <w:rFonts w:hint="eastAsia" w:ascii="宋体" w:hAnsi="宋体" w:cs="宋体"/>
                <w:sz w:val="24"/>
              </w:rPr>
              <w:t>采购品目名称</w:t>
            </w:r>
          </w:p>
        </w:tc>
        <w:tc>
          <w:tcPr>
            <w:tcW w:w="3766" w:type="dxa"/>
          </w:tcPr>
          <w:p w14:paraId="5696C74E">
            <w:pPr>
              <w:spacing w:line="360" w:lineRule="auto"/>
              <w:jc w:val="center"/>
              <w:rPr>
                <w:rFonts w:ascii="宋体" w:hAnsi="宋体" w:cs="宋体"/>
                <w:sz w:val="24"/>
              </w:rPr>
            </w:pPr>
            <w:r>
              <w:rPr>
                <w:rFonts w:hint="eastAsia" w:ascii="宋体" w:hAnsi="宋体" w:cs="宋体"/>
                <w:sz w:val="24"/>
              </w:rPr>
              <w:t>服务内容</w:t>
            </w:r>
          </w:p>
        </w:tc>
        <w:tc>
          <w:tcPr>
            <w:tcW w:w="911" w:type="dxa"/>
          </w:tcPr>
          <w:p w14:paraId="1AB00246">
            <w:pPr>
              <w:spacing w:line="360" w:lineRule="auto"/>
              <w:jc w:val="center"/>
              <w:rPr>
                <w:rFonts w:ascii="宋体" w:hAnsi="宋体" w:cs="宋体"/>
                <w:sz w:val="24"/>
              </w:rPr>
            </w:pPr>
            <w:r>
              <w:rPr>
                <w:rFonts w:hint="eastAsia" w:ascii="宋体" w:hAnsi="宋体" w:cs="宋体"/>
                <w:sz w:val="24"/>
              </w:rPr>
              <w:t>数量</w:t>
            </w:r>
          </w:p>
        </w:tc>
        <w:tc>
          <w:tcPr>
            <w:tcW w:w="833" w:type="dxa"/>
          </w:tcPr>
          <w:p w14:paraId="0E410BE6">
            <w:pPr>
              <w:spacing w:line="360" w:lineRule="auto"/>
              <w:jc w:val="center"/>
              <w:rPr>
                <w:rFonts w:ascii="宋体" w:hAnsi="宋体" w:cs="宋体"/>
                <w:sz w:val="24"/>
              </w:rPr>
            </w:pPr>
            <w:r>
              <w:rPr>
                <w:rFonts w:hint="eastAsia" w:ascii="宋体" w:hAnsi="宋体" w:cs="宋体"/>
                <w:sz w:val="24"/>
              </w:rPr>
              <w:t>单位</w:t>
            </w:r>
          </w:p>
        </w:tc>
      </w:tr>
      <w:tr w14:paraId="265A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14:paraId="06C9FE57">
            <w:pPr>
              <w:spacing w:line="360" w:lineRule="auto"/>
              <w:jc w:val="center"/>
              <w:rPr>
                <w:rFonts w:ascii="宋体" w:hAnsi="宋体" w:cs="宋体"/>
                <w:sz w:val="24"/>
              </w:rPr>
            </w:pPr>
            <w:r>
              <w:rPr>
                <w:rFonts w:hint="eastAsia" w:ascii="宋体" w:hAnsi="宋体" w:cs="宋体"/>
                <w:sz w:val="24"/>
              </w:rPr>
              <w:t>1</w:t>
            </w:r>
          </w:p>
        </w:tc>
        <w:tc>
          <w:tcPr>
            <w:tcW w:w="1978" w:type="dxa"/>
          </w:tcPr>
          <w:p w14:paraId="2B45B8AA">
            <w:pPr>
              <w:spacing w:line="360" w:lineRule="auto"/>
              <w:jc w:val="center"/>
              <w:rPr>
                <w:rFonts w:ascii="宋体" w:hAnsi="宋体" w:cs="宋体"/>
                <w:sz w:val="24"/>
              </w:rPr>
            </w:pPr>
            <w:r>
              <w:rPr>
                <w:rFonts w:hint="eastAsia" w:ascii="宋体" w:hAnsi="宋体" w:cs="宋体"/>
                <w:sz w:val="24"/>
              </w:rPr>
              <w:t>云专网专线</w:t>
            </w:r>
          </w:p>
        </w:tc>
        <w:tc>
          <w:tcPr>
            <w:tcW w:w="3766" w:type="dxa"/>
          </w:tcPr>
          <w:p w14:paraId="51D3FCB2">
            <w:pPr>
              <w:spacing w:line="360" w:lineRule="auto"/>
              <w:rPr>
                <w:rFonts w:ascii="宋体" w:hAnsi="宋体" w:cs="宋体"/>
                <w:sz w:val="24"/>
              </w:rPr>
            </w:pPr>
            <w:r>
              <w:rPr>
                <w:rFonts w:hint="eastAsia" w:ascii="宋体" w:hAnsi="宋体" w:cs="宋体"/>
                <w:sz w:val="24"/>
              </w:rPr>
              <w:t>公网带宽≥10Mbps</w:t>
            </w:r>
          </w:p>
        </w:tc>
        <w:tc>
          <w:tcPr>
            <w:tcW w:w="911" w:type="dxa"/>
          </w:tcPr>
          <w:p w14:paraId="0A3D7C34">
            <w:pPr>
              <w:spacing w:line="360" w:lineRule="auto"/>
              <w:jc w:val="center"/>
              <w:rPr>
                <w:rFonts w:ascii="宋体" w:hAnsi="宋体" w:cs="宋体"/>
                <w:sz w:val="24"/>
              </w:rPr>
            </w:pPr>
            <w:r>
              <w:rPr>
                <w:rFonts w:hint="eastAsia" w:ascii="宋体" w:hAnsi="宋体" w:cs="宋体"/>
                <w:sz w:val="24"/>
              </w:rPr>
              <w:t>1</w:t>
            </w:r>
          </w:p>
        </w:tc>
        <w:tc>
          <w:tcPr>
            <w:tcW w:w="833" w:type="dxa"/>
          </w:tcPr>
          <w:p w14:paraId="556873F4">
            <w:pPr>
              <w:spacing w:line="360" w:lineRule="auto"/>
              <w:jc w:val="center"/>
              <w:rPr>
                <w:rFonts w:ascii="宋体" w:hAnsi="宋体" w:cs="宋体"/>
                <w:sz w:val="24"/>
              </w:rPr>
            </w:pPr>
            <w:r>
              <w:rPr>
                <w:rFonts w:hint="eastAsia" w:ascii="宋体" w:hAnsi="宋体" w:cs="宋体"/>
                <w:sz w:val="24"/>
              </w:rPr>
              <w:t>条</w:t>
            </w:r>
          </w:p>
        </w:tc>
      </w:tr>
      <w:tr w14:paraId="1AEA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14:paraId="00351F21">
            <w:pPr>
              <w:spacing w:line="360" w:lineRule="auto"/>
              <w:jc w:val="center"/>
              <w:rPr>
                <w:rFonts w:ascii="宋体" w:hAnsi="宋体" w:cs="宋体"/>
                <w:sz w:val="24"/>
              </w:rPr>
            </w:pPr>
            <w:r>
              <w:rPr>
                <w:rFonts w:hint="eastAsia" w:ascii="宋体" w:hAnsi="宋体" w:cs="宋体"/>
                <w:sz w:val="24"/>
              </w:rPr>
              <w:t>2</w:t>
            </w:r>
          </w:p>
        </w:tc>
        <w:tc>
          <w:tcPr>
            <w:tcW w:w="1978" w:type="dxa"/>
          </w:tcPr>
          <w:p w14:paraId="1FCCE70A">
            <w:pPr>
              <w:spacing w:line="360" w:lineRule="auto"/>
              <w:jc w:val="center"/>
              <w:rPr>
                <w:rFonts w:ascii="宋体" w:hAnsi="宋体" w:cs="宋体"/>
                <w:sz w:val="24"/>
              </w:rPr>
            </w:pPr>
            <w:r>
              <w:rPr>
                <w:rFonts w:hint="eastAsia" w:ascii="宋体" w:hAnsi="宋体" w:cs="宋体"/>
                <w:sz w:val="24"/>
              </w:rPr>
              <w:t>云专线</w:t>
            </w:r>
          </w:p>
        </w:tc>
        <w:tc>
          <w:tcPr>
            <w:tcW w:w="3766" w:type="dxa"/>
          </w:tcPr>
          <w:p w14:paraId="7936BC5E">
            <w:pPr>
              <w:spacing w:line="360" w:lineRule="auto"/>
              <w:rPr>
                <w:rFonts w:ascii="宋体" w:hAnsi="宋体" w:cs="宋体"/>
                <w:sz w:val="24"/>
              </w:rPr>
            </w:pPr>
            <w:r>
              <w:rPr>
                <w:rFonts w:hint="eastAsia" w:ascii="宋体" w:hAnsi="宋体" w:cs="宋体"/>
                <w:sz w:val="24"/>
              </w:rPr>
              <w:t>公网带宽≥20Mbps</w:t>
            </w:r>
          </w:p>
        </w:tc>
        <w:tc>
          <w:tcPr>
            <w:tcW w:w="911" w:type="dxa"/>
          </w:tcPr>
          <w:p w14:paraId="572333B9">
            <w:pPr>
              <w:spacing w:line="360" w:lineRule="auto"/>
              <w:jc w:val="center"/>
              <w:rPr>
                <w:rFonts w:ascii="宋体" w:hAnsi="宋体" w:cs="宋体"/>
                <w:sz w:val="24"/>
              </w:rPr>
            </w:pPr>
            <w:r>
              <w:rPr>
                <w:rFonts w:hint="eastAsia" w:ascii="宋体" w:hAnsi="宋体" w:cs="宋体"/>
                <w:sz w:val="24"/>
              </w:rPr>
              <w:t>1</w:t>
            </w:r>
          </w:p>
        </w:tc>
        <w:tc>
          <w:tcPr>
            <w:tcW w:w="833" w:type="dxa"/>
          </w:tcPr>
          <w:p w14:paraId="55E3FDB9">
            <w:pPr>
              <w:spacing w:line="360" w:lineRule="auto"/>
              <w:jc w:val="center"/>
              <w:rPr>
                <w:rFonts w:ascii="宋体" w:hAnsi="宋体" w:cs="宋体"/>
                <w:sz w:val="24"/>
              </w:rPr>
            </w:pPr>
            <w:r>
              <w:rPr>
                <w:rFonts w:hint="eastAsia" w:ascii="宋体" w:hAnsi="宋体" w:cs="宋体"/>
                <w:sz w:val="24"/>
              </w:rPr>
              <w:t>条</w:t>
            </w:r>
          </w:p>
        </w:tc>
      </w:tr>
      <w:tr w14:paraId="0A6A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522" w:type="dxa"/>
            <w:gridSpan w:val="5"/>
            <w:vAlign w:val="center"/>
          </w:tcPr>
          <w:p w14:paraId="7B96B1C8">
            <w:pPr>
              <w:spacing w:line="360" w:lineRule="auto"/>
              <w:rPr>
                <w:rFonts w:ascii="宋体" w:hAnsi="宋体" w:cs="宋体"/>
                <w:b/>
                <w:bCs/>
                <w:sz w:val="24"/>
              </w:rPr>
            </w:pPr>
            <w:r>
              <w:rPr>
                <w:rFonts w:hint="eastAsia" w:ascii="宋体" w:hAnsi="宋体" w:cs="宋体"/>
                <w:b/>
                <w:bCs/>
                <w:sz w:val="24"/>
              </w:rPr>
              <w:t>公有云资源服务清单：</w:t>
            </w:r>
          </w:p>
        </w:tc>
      </w:tr>
      <w:tr w14:paraId="3C6A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4" w:type="dxa"/>
            <w:vAlign w:val="center"/>
          </w:tcPr>
          <w:p w14:paraId="31FB2596">
            <w:pPr>
              <w:spacing w:line="360" w:lineRule="auto"/>
              <w:jc w:val="center"/>
              <w:rPr>
                <w:rFonts w:ascii="宋体" w:hAnsi="宋体" w:cs="宋体"/>
                <w:sz w:val="24"/>
              </w:rPr>
            </w:pPr>
            <w:r>
              <w:rPr>
                <w:rFonts w:hint="eastAsia" w:ascii="宋体" w:hAnsi="宋体" w:cs="宋体"/>
                <w:sz w:val="24"/>
              </w:rPr>
              <w:t>1</w:t>
            </w:r>
          </w:p>
        </w:tc>
        <w:tc>
          <w:tcPr>
            <w:tcW w:w="1978" w:type="dxa"/>
            <w:vAlign w:val="center"/>
          </w:tcPr>
          <w:p w14:paraId="72C15547">
            <w:pPr>
              <w:spacing w:line="360" w:lineRule="auto"/>
              <w:jc w:val="center"/>
              <w:rPr>
                <w:rFonts w:ascii="宋体" w:hAnsi="宋体" w:cs="宋体"/>
                <w:sz w:val="24"/>
              </w:rPr>
            </w:pPr>
            <w:r>
              <w:rPr>
                <w:rFonts w:hint="eastAsia" w:ascii="宋体" w:hAnsi="宋体" w:cs="宋体"/>
                <w:sz w:val="24"/>
              </w:rPr>
              <w:t>云主机</w:t>
            </w:r>
          </w:p>
        </w:tc>
        <w:tc>
          <w:tcPr>
            <w:tcW w:w="3766" w:type="dxa"/>
            <w:vAlign w:val="center"/>
          </w:tcPr>
          <w:p w14:paraId="1B2AD216">
            <w:pPr>
              <w:spacing w:line="360" w:lineRule="auto"/>
              <w:rPr>
                <w:rFonts w:ascii="宋体" w:hAnsi="宋体" w:cs="宋体"/>
                <w:sz w:val="24"/>
              </w:rPr>
            </w:pPr>
            <w:r>
              <w:rPr>
                <w:rFonts w:hint="eastAsia" w:ascii="宋体" w:hAnsi="宋体" w:cs="宋体"/>
                <w:sz w:val="24"/>
              </w:rPr>
              <w:t>单台配置：CPU≥8核，内存≥16G，系统盘（SAS）≥100GB，数据盘（SAS）≥500GB</w:t>
            </w:r>
          </w:p>
        </w:tc>
        <w:tc>
          <w:tcPr>
            <w:tcW w:w="911" w:type="dxa"/>
            <w:vAlign w:val="center"/>
          </w:tcPr>
          <w:p w14:paraId="345DBD59">
            <w:pPr>
              <w:spacing w:line="360" w:lineRule="auto"/>
              <w:jc w:val="center"/>
              <w:rPr>
                <w:rFonts w:ascii="宋体" w:hAnsi="宋体" w:cs="宋体"/>
                <w:sz w:val="24"/>
              </w:rPr>
            </w:pPr>
            <w:r>
              <w:rPr>
                <w:rFonts w:hint="eastAsia" w:ascii="宋体" w:hAnsi="宋体" w:cs="宋体"/>
                <w:sz w:val="24"/>
              </w:rPr>
              <w:t>2</w:t>
            </w:r>
          </w:p>
        </w:tc>
        <w:tc>
          <w:tcPr>
            <w:tcW w:w="833" w:type="dxa"/>
            <w:vAlign w:val="center"/>
          </w:tcPr>
          <w:p w14:paraId="7A2EEAAE">
            <w:pPr>
              <w:spacing w:line="360" w:lineRule="auto"/>
              <w:jc w:val="center"/>
              <w:rPr>
                <w:rFonts w:ascii="宋体" w:hAnsi="宋体" w:cs="宋体"/>
                <w:sz w:val="24"/>
              </w:rPr>
            </w:pPr>
            <w:r>
              <w:rPr>
                <w:rFonts w:hint="eastAsia" w:ascii="宋体" w:hAnsi="宋体" w:cs="宋体"/>
                <w:sz w:val="24"/>
              </w:rPr>
              <w:t>台</w:t>
            </w:r>
          </w:p>
        </w:tc>
      </w:tr>
      <w:tr w14:paraId="551C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34" w:type="dxa"/>
            <w:vAlign w:val="center"/>
          </w:tcPr>
          <w:p w14:paraId="33214D8F">
            <w:pPr>
              <w:spacing w:line="360" w:lineRule="auto"/>
              <w:jc w:val="center"/>
              <w:rPr>
                <w:rFonts w:ascii="宋体" w:hAnsi="宋体" w:cs="宋体"/>
                <w:sz w:val="24"/>
              </w:rPr>
            </w:pPr>
            <w:r>
              <w:rPr>
                <w:rFonts w:hint="eastAsia" w:ascii="宋体" w:hAnsi="宋体" w:cs="宋体"/>
                <w:sz w:val="24"/>
              </w:rPr>
              <w:t>2</w:t>
            </w:r>
          </w:p>
        </w:tc>
        <w:tc>
          <w:tcPr>
            <w:tcW w:w="1978" w:type="dxa"/>
            <w:vAlign w:val="center"/>
          </w:tcPr>
          <w:p w14:paraId="4E43AFC7">
            <w:pPr>
              <w:spacing w:line="360" w:lineRule="auto"/>
              <w:jc w:val="center"/>
              <w:rPr>
                <w:rFonts w:ascii="宋体" w:hAnsi="宋体" w:cs="宋体"/>
                <w:sz w:val="24"/>
              </w:rPr>
            </w:pPr>
            <w:r>
              <w:rPr>
                <w:rFonts w:hint="eastAsia" w:ascii="宋体" w:hAnsi="宋体" w:cs="宋体"/>
                <w:sz w:val="24"/>
              </w:rPr>
              <w:t>云上带宽</w:t>
            </w:r>
          </w:p>
        </w:tc>
        <w:tc>
          <w:tcPr>
            <w:tcW w:w="3766" w:type="dxa"/>
            <w:vAlign w:val="center"/>
          </w:tcPr>
          <w:p w14:paraId="4542ADBA">
            <w:pPr>
              <w:spacing w:line="360" w:lineRule="auto"/>
              <w:rPr>
                <w:rFonts w:ascii="宋体" w:hAnsi="宋体" w:cs="宋体"/>
                <w:sz w:val="24"/>
              </w:rPr>
            </w:pPr>
            <w:r>
              <w:rPr>
                <w:rFonts w:hint="eastAsia" w:ascii="宋体" w:hAnsi="宋体" w:cs="宋体"/>
                <w:sz w:val="24"/>
              </w:rPr>
              <w:t>公网带宽≥20Mbps</w:t>
            </w:r>
          </w:p>
          <w:p w14:paraId="08E71386">
            <w:pPr>
              <w:spacing w:line="360" w:lineRule="auto"/>
              <w:rPr>
                <w:rFonts w:ascii="宋体" w:hAnsi="宋体" w:cs="宋体"/>
                <w:sz w:val="24"/>
              </w:rPr>
            </w:pPr>
            <w:r>
              <w:rPr>
                <w:rFonts w:hint="eastAsia" w:ascii="宋体" w:hAnsi="宋体" w:cs="宋体"/>
                <w:sz w:val="24"/>
              </w:rPr>
              <w:t>公网IP≥1个</w:t>
            </w:r>
          </w:p>
        </w:tc>
        <w:tc>
          <w:tcPr>
            <w:tcW w:w="911" w:type="dxa"/>
            <w:vAlign w:val="center"/>
          </w:tcPr>
          <w:p w14:paraId="1DEF3CA2">
            <w:pPr>
              <w:spacing w:line="360" w:lineRule="auto"/>
              <w:jc w:val="center"/>
              <w:rPr>
                <w:rFonts w:ascii="宋体" w:hAnsi="宋体" w:cs="宋体"/>
                <w:sz w:val="24"/>
              </w:rPr>
            </w:pPr>
            <w:r>
              <w:rPr>
                <w:rFonts w:hint="eastAsia" w:ascii="宋体" w:hAnsi="宋体" w:cs="宋体"/>
                <w:sz w:val="24"/>
              </w:rPr>
              <w:t>1</w:t>
            </w:r>
          </w:p>
        </w:tc>
        <w:tc>
          <w:tcPr>
            <w:tcW w:w="833" w:type="dxa"/>
            <w:vAlign w:val="center"/>
          </w:tcPr>
          <w:p w14:paraId="701446D6">
            <w:pPr>
              <w:spacing w:line="360" w:lineRule="auto"/>
              <w:jc w:val="center"/>
              <w:rPr>
                <w:rFonts w:ascii="宋体" w:hAnsi="宋体" w:cs="宋体"/>
                <w:sz w:val="24"/>
              </w:rPr>
            </w:pPr>
            <w:r>
              <w:rPr>
                <w:rFonts w:hint="eastAsia" w:ascii="宋体" w:hAnsi="宋体" w:cs="宋体"/>
                <w:sz w:val="24"/>
              </w:rPr>
              <w:t>项</w:t>
            </w:r>
          </w:p>
        </w:tc>
      </w:tr>
      <w:tr w14:paraId="4A7B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34" w:type="dxa"/>
            <w:vAlign w:val="center"/>
          </w:tcPr>
          <w:p w14:paraId="25AD0463">
            <w:pPr>
              <w:spacing w:line="360" w:lineRule="auto"/>
              <w:jc w:val="center"/>
              <w:rPr>
                <w:rFonts w:ascii="宋体" w:hAnsi="宋体" w:cs="宋体"/>
                <w:sz w:val="24"/>
              </w:rPr>
            </w:pPr>
            <w:r>
              <w:rPr>
                <w:rFonts w:hint="eastAsia" w:ascii="宋体" w:hAnsi="宋体" w:cs="宋体"/>
                <w:sz w:val="24"/>
              </w:rPr>
              <w:t>3</w:t>
            </w:r>
          </w:p>
        </w:tc>
        <w:tc>
          <w:tcPr>
            <w:tcW w:w="1978" w:type="dxa"/>
            <w:vAlign w:val="center"/>
          </w:tcPr>
          <w:p w14:paraId="45490B0B">
            <w:pPr>
              <w:spacing w:line="360" w:lineRule="auto"/>
              <w:jc w:val="center"/>
              <w:rPr>
                <w:rFonts w:ascii="宋体" w:hAnsi="宋体" w:cs="宋体"/>
                <w:sz w:val="24"/>
              </w:rPr>
            </w:pPr>
            <w:r>
              <w:rPr>
                <w:rFonts w:hint="eastAsia" w:ascii="宋体" w:hAnsi="宋体" w:cs="宋体"/>
                <w:sz w:val="24"/>
              </w:rPr>
              <w:t>SSL证书</w:t>
            </w:r>
          </w:p>
        </w:tc>
        <w:tc>
          <w:tcPr>
            <w:tcW w:w="3766" w:type="dxa"/>
            <w:vAlign w:val="center"/>
          </w:tcPr>
          <w:p w14:paraId="4B1EF158">
            <w:pPr>
              <w:spacing w:line="360" w:lineRule="auto"/>
              <w:rPr>
                <w:rFonts w:ascii="宋体" w:hAnsi="宋体" w:cs="宋体"/>
                <w:sz w:val="24"/>
              </w:rPr>
            </w:pPr>
            <w:r>
              <w:rPr>
                <w:rFonts w:hint="eastAsia" w:ascii="宋体" w:hAnsi="宋体" w:cs="宋体"/>
                <w:sz w:val="24"/>
              </w:rPr>
              <w:t>通配符域名，企业型 OV</w:t>
            </w:r>
          </w:p>
        </w:tc>
        <w:tc>
          <w:tcPr>
            <w:tcW w:w="911" w:type="dxa"/>
            <w:vAlign w:val="center"/>
          </w:tcPr>
          <w:p w14:paraId="555792A9">
            <w:pPr>
              <w:spacing w:line="360" w:lineRule="auto"/>
              <w:jc w:val="center"/>
              <w:rPr>
                <w:rFonts w:ascii="宋体" w:hAnsi="宋体" w:cs="宋体"/>
                <w:sz w:val="24"/>
              </w:rPr>
            </w:pPr>
            <w:r>
              <w:rPr>
                <w:rFonts w:hint="eastAsia" w:ascii="宋体" w:hAnsi="宋体" w:cs="宋体"/>
                <w:sz w:val="24"/>
              </w:rPr>
              <w:t>1</w:t>
            </w:r>
          </w:p>
        </w:tc>
        <w:tc>
          <w:tcPr>
            <w:tcW w:w="833" w:type="dxa"/>
            <w:vAlign w:val="center"/>
          </w:tcPr>
          <w:p w14:paraId="46D046ED">
            <w:pPr>
              <w:spacing w:line="360" w:lineRule="auto"/>
              <w:jc w:val="center"/>
              <w:rPr>
                <w:rFonts w:ascii="宋体" w:hAnsi="宋体" w:cs="宋体"/>
                <w:sz w:val="24"/>
              </w:rPr>
            </w:pPr>
            <w:r>
              <w:rPr>
                <w:rFonts w:hint="eastAsia" w:ascii="宋体" w:hAnsi="宋体" w:cs="宋体"/>
                <w:sz w:val="24"/>
              </w:rPr>
              <w:t>项</w:t>
            </w:r>
          </w:p>
        </w:tc>
      </w:tr>
      <w:tr w14:paraId="6FF7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522" w:type="dxa"/>
            <w:gridSpan w:val="5"/>
            <w:vAlign w:val="center"/>
          </w:tcPr>
          <w:p w14:paraId="4C14F189">
            <w:pPr>
              <w:spacing w:line="360" w:lineRule="auto"/>
              <w:rPr>
                <w:rFonts w:ascii="宋体" w:hAnsi="宋体" w:cs="宋体"/>
                <w:b/>
                <w:bCs/>
                <w:sz w:val="24"/>
              </w:rPr>
            </w:pPr>
            <w:r>
              <w:rPr>
                <w:rFonts w:hint="eastAsia" w:ascii="宋体" w:hAnsi="宋体" w:cs="宋体"/>
                <w:b/>
                <w:bCs/>
                <w:sz w:val="24"/>
              </w:rPr>
              <w:t>安全服务清单：</w:t>
            </w:r>
          </w:p>
        </w:tc>
      </w:tr>
      <w:tr w14:paraId="54A0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034" w:type="dxa"/>
            <w:vAlign w:val="center"/>
          </w:tcPr>
          <w:p w14:paraId="355DE749">
            <w:pPr>
              <w:spacing w:line="360" w:lineRule="auto"/>
              <w:jc w:val="center"/>
              <w:rPr>
                <w:rFonts w:ascii="宋体" w:hAnsi="宋体" w:cs="宋体"/>
                <w:sz w:val="24"/>
              </w:rPr>
            </w:pPr>
            <w:r>
              <w:rPr>
                <w:rFonts w:hint="eastAsia" w:ascii="宋体" w:hAnsi="宋体" w:cs="宋体"/>
                <w:sz w:val="24"/>
              </w:rPr>
              <w:t>1</w:t>
            </w:r>
          </w:p>
        </w:tc>
        <w:tc>
          <w:tcPr>
            <w:tcW w:w="1978" w:type="dxa"/>
            <w:vAlign w:val="center"/>
          </w:tcPr>
          <w:p w14:paraId="541F5853">
            <w:pPr>
              <w:spacing w:line="360" w:lineRule="auto"/>
              <w:jc w:val="center"/>
              <w:rPr>
                <w:rFonts w:ascii="宋体" w:hAnsi="宋体" w:cs="宋体"/>
                <w:sz w:val="24"/>
              </w:rPr>
            </w:pPr>
            <w:r>
              <w:rPr>
                <w:rFonts w:hint="eastAsia" w:ascii="宋体" w:hAnsi="宋体" w:cs="宋体"/>
                <w:sz w:val="24"/>
              </w:rPr>
              <w:t>Web应用防火墙</w:t>
            </w:r>
          </w:p>
        </w:tc>
        <w:tc>
          <w:tcPr>
            <w:tcW w:w="3766" w:type="dxa"/>
            <w:vAlign w:val="center"/>
          </w:tcPr>
          <w:p w14:paraId="58448624">
            <w:pPr>
              <w:numPr>
                <w:ilvl w:val="0"/>
                <w:numId w:val="2"/>
              </w:numPr>
              <w:spacing w:line="360" w:lineRule="auto"/>
              <w:rPr>
                <w:rFonts w:ascii="宋体" w:hAnsi="宋体" w:cs="宋体"/>
                <w:sz w:val="24"/>
              </w:rPr>
            </w:pPr>
            <w:r>
              <w:rPr>
                <w:rFonts w:hint="eastAsia" w:ascii="宋体" w:hAnsi="宋体" w:cs="宋体"/>
                <w:sz w:val="24"/>
              </w:rPr>
              <w:t>包括1个主域名加10个子域名防护；</w:t>
            </w:r>
          </w:p>
          <w:p w14:paraId="3B675763">
            <w:pPr>
              <w:numPr>
                <w:ilvl w:val="0"/>
                <w:numId w:val="2"/>
              </w:numPr>
              <w:spacing w:line="360" w:lineRule="auto"/>
              <w:rPr>
                <w:rFonts w:ascii="宋体" w:hAnsi="宋体" w:cs="宋体"/>
                <w:sz w:val="24"/>
              </w:rPr>
            </w:pPr>
            <w:r>
              <w:rPr>
                <w:rFonts w:hint="eastAsia" w:ascii="宋体" w:hAnsi="宋体" w:cs="宋体"/>
                <w:sz w:val="24"/>
              </w:rPr>
              <w:t>默认每秒带宽阈值100Mbps,(QPS阈值2000），用于IPv6转换及防护</w:t>
            </w:r>
          </w:p>
          <w:p w14:paraId="2696F4B8">
            <w:pPr>
              <w:numPr>
                <w:ilvl w:val="0"/>
                <w:numId w:val="2"/>
              </w:numPr>
              <w:spacing w:line="360" w:lineRule="auto"/>
              <w:rPr>
                <w:rFonts w:ascii="宋体" w:hAnsi="宋体" w:cs="宋体"/>
              </w:rPr>
            </w:pPr>
            <w:r>
              <w:rPr>
                <w:rFonts w:hint="eastAsia" w:ascii="宋体" w:hAnsi="宋体" w:cs="宋体"/>
                <w:sz w:val="24"/>
              </w:rPr>
              <w:t>对现有网络及相关信息系统进行 IPv6 改造，改造内容需符合国家及行业现行IPv6相关标准规范，确保改造后系统具备IPv6地址转换、路由转发等基础功能，可实现与IPv6网络环境的正常互联互通，并保障业务数据在IPv6网络环境下的稳定传输与安全运行。</w:t>
            </w:r>
          </w:p>
        </w:tc>
        <w:tc>
          <w:tcPr>
            <w:tcW w:w="911" w:type="dxa"/>
            <w:vAlign w:val="center"/>
          </w:tcPr>
          <w:p w14:paraId="4345FE18">
            <w:pPr>
              <w:spacing w:line="360" w:lineRule="auto"/>
              <w:jc w:val="center"/>
              <w:rPr>
                <w:rFonts w:ascii="宋体" w:hAnsi="宋体" w:cs="宋体"/>
                <w:sz w:val="24"/>
              </w:rPr>
            </w:pPr>
            <w:r>
              <w:rPr>
                <w:rFonts w:hint="eastAsia" w:ascii="宋体" w:hAnsi="宋体" w:cs="宋体"/>
                <w:sz w:val="24"/>
              </w:rPr>
              <w:t>1</w:t>
            </w:r>
          </w:p>
        </w:tc>
        <w:tc>
          <w:tcPr>
            <w:tcW w:w="833" w:type="dxa"/>
            <w:vAlign w:val="center"/>
          </w:tcPr>
          <w:p w14:paraId="5BE3B27B">
            <w:pPr>
              <w:spacing w:line="360" w:lineRule="auto"/>
              <w:jc w:val="center"/>
              <w:rPr>
                <w:rFonts w:ascii="宋体" w:hAnsi="宋体" w:cs="宋体"/>
                <w:sz w:val="24"/>
              </w:rPr>
            </w:pPr>
            <w:r>
              <w:rPr>
                <w:rFonts w:hint="eastAsia" w:ascii="宋体" w:hAnsi="宋体" w:cs="宋体"/>
                <w:sz w:val="24"/>
              </w:rPr>
              <w:t>项</w:t>
            </w:r>
          </w:p>
        </w:tc>
      </w:tr>
      <w:tr w14:paraId="4874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61624018">
            <w:pPr>
              <w:spacing w:line="360" w:lineRule="auto"/>
              <w:jc w:val="center"/>
              <w:rPr>
                <w:rFonts w:ascii="宋体" w:hAnsi="宋体" w:cs="宋体"/>
                <w:sz w:val="24"/>
              </w:rPr>
            </w:pPr>
            <w:r>
              <w:rPr>
                <w:rFonts w:hint="eastAsia" w:ascii="宋体" w:hAnsi="宋体" w:cs="宋体"/>
                <w:sz w:val="24"/>
              </w:rPr>
              <w:t>2</w:t>
            </w:r>
          </w:p>
        </w:tc>
        <w:tc>
          <w:tcPr>
            <w:tcW w:w="1978" w:type="dxa"/>
            <w:vAlign w:val="center"/>
          </w:tcPr>
          <w:p w14:paraId="469C862C">
            <w:pPr>
              <w:spacing w:line="360" w:lineRule="auto"/>
              <w:jc w:val="center"/>
              <w:rPr>
                <w:rFonts w:ascii="宋体" w:hAnsi="宋体" w:cs="宋体"/>
                <w:sz w:val="24"/>
              </w:rPr>
            </w:pPr>
            <w:r>
              <w:rPr>
                <w:rFonts w:hint="eastAsia" w:ascii="宋体" w:hAnsi="宋体" w:cs="宋体"/>
                <w:sz w:val="24"/>
              </w:rPr>
              <w:t>域名扩展包</w:t>
            </w:r>
          </w:p>
        </w:tc>
        <w:tc>
          <w:tcPr>
            <w:tcW w:w="3766" w:type="dxa"/>
            <w:vAlign w:val="center"/>
          </w:tcPr>
          <w:p w14:paraId="722630D4">
            <w:pPr>
              <w:spacing w:line="360" w:lineRule="auto"/>
              <w:jc w:val="center"/>
              <w:rPr>
                <w:rFonts w:ascii="宋体" w:hAnsi="宋体" w:cs="宋体"/>
                <w:sz w:val="24"/>
              </w:rPr>
            </w:pPr>
            <w:r>
              <w:rPr>
                <w:rFonts w:hint="eastAsia" w:ascii="宋体" w:hAnsi="宋体" w:cs="宋体"/>
                <w:sz w:val="24"/>
              </w:rPr>
              <w:t>10个子域名防护</w:t>
            </w:r>
          </w:p>
        </w:tc>
        <w:tc>
          <w:tcPr>
            <w:tcW w:w="911" w:type="dxa"/>
            <w:vAlign w:val="center"/>
          </w:tcPr>
          <w:p w14:paraId="6D2AD6B0">
            <w:pPr>
              <w:spacing w:line="360" w:lineRule="auto"/>
              <w:jc w:val="center"/>
              <w:rPr>
                <w:rFonts w:ascii="宋体" w:hAnsi="宋体" w:cs="宋体"/>
                <w:sz w:val="24"/>
              </w:rPr>
            </w:pPr>
            <w:r>
              <w:rPr>
                <w:rFonts w:hint="eastAsia" w:ascii="宋体" w:hAnsi="宋体" w:cs="宋体"/>
                <w:sz w:val="24"/>
              </w:rPr>
              <w:t>3</w:t>
            </w:r>
          </w:p>
        </w:tc>
        <w:tc>
          <w:tcPr>
            <w:tcW w:w="833" w:type="dxa"/>
            <w:vAlign w:val="center"/>
          </w:tcPr>
          <w:p w14:paraId="2C30F91B">
            <w:pPr>
              <w:spacing w:line="360" w:lineRule="auto"/>
              <w:jc w:val="center"/>
              <w:rPr>
                <w:rFonts w:ascii="宋体" w:hAnsi="宋体" w:cs="宋体"/>
                <w:sz w:val="24"/>
              </w:rPr>
            </w:pPr>
            <w:r>
              <w:rPr>
                <w:rFonts w:hint="eastAsia" w:ascii="宋体" w:hAnsi="宋体" w:cs="宋体"/>
                <w:sz w:val="24"/>
              </w:rPr>
              <w:t>项</w:t>
            </w:r>
          </w:p>
        </w:tc>
      </w:tr>
      <w:tr w14:paraId="0491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669761E3">
            <w:pPr>
              <w:spacing w:line="360" w:lineRule="auto"/>
              <w:jc w:val="center"/>
              <w:rPr>
                <w:rFonts w:ascii="宋体" w:hAnsi="宋体" w:cs="宋体"/>
                <w:sz w:val="24"/>
              </w:rPr>
            </w:pPr>
            <w:r>
              <w:rPr>
                <w:rFonts w:hint="eastAsia" w:ascii="宋体" w:hAnsi="宋体" w:cs="宋体"/>
                <w:sz w:val="24"/>
              </w:rPr>
              <w:t>3</w:t>
            </w:r>
          </w:p>
        </w:tc>
        <w:tc>
          <w:tcPr>
            <w:tcW w:w="1978" w:type="dxa"/>
            <w:vAlign w:val="center"/>
          </w:tcPr>
          <w:p w14:paraId="1E73FF3B">
            <w:pPr>
              <w:spacing w:line="360" w:lineRule="auto"/>
              <w:jc w:val="center"/>
              <w:rPr>
                <w:rFonts w:ascii="宋体" w:hAnsi="宋体" w:cs="宋体"/>
                <w:sz w:val="24"/>
              </w:rPr>
            </w:pPr>
            <w:r>
              <w:rPr>
                <w:rFonts w:hint="eastAsia" w:ascii="宋体" w:hAnsi="宋体" w:cs="宋体"/>
                <w:sz w:val="24"/>
              </w:rPr>
              <w:t>云防火墙</w:t>
            </w:r>
          </w:p>
        </w:tc>
        <w:tc>
          <w:tcPr>
            <w:tcW w:w="3766" w:type="dxa"/>
            <w:vAlign w:val="center"/>
          </w:tcPr>
          <w:p w14:paraId="46D7147C">
            <w:pPr>
              <w:spacing w:line="360" w:lineRule="auto"/>
              <w:jc w:val="center"/>
              <w:rPr>
                <w:rFonts w:ascii="宋体" w:hAnsi="宋体" w:cs="宋体"/>
                <w:sz w:val="24"/>
              </w:rPr>
            </w:pPr>
            <w:r>
              <w:rPr>
                <w:rFonts w:hint="eastAsia" w:ascii="宋体" w:hAnsi="宋体" w:cs="宋体"/>
                <w:sz w:val="24"/>
              </w:rPr>
              <w:t>1.提供云上边界防护功能，实现南北向和东西向流量防护；</w:t>
            </w:r>
          </w:p>
          <w:p w14:paraId="79DD6083">
            <w:pPr>
              <w:spacing w:line="360" w:lineRule="auto"/>
              <w:jc w:val="center"/>
              <w:rPr>
                <w:rFonts w:ascii="宋体" w:hAnsi="宋体" w:cs="宋体"/>
                <w:sz w:val="24"/>
              </w:rPr>
            </w:pPr>
            <w:r>
              <w:rPr>
                <w:rFonts w:hint="eastAsia" w:ascii="宋体" w:hAnsi="宋体" w:cs="宋体"/>
                <w:sz w:val="24"/>
              </w:rPr>
              <w:t>2.支持入侵防御检测、防病毒、访问控制、网络URL过滤等功能；</w:t>
            </w:r>
          </w:p>
          <w:p w14:paraId="70CC36B6">
            <w:pPr>
              <w:spacing w:line="360" w:lineRule="auto"/>
              <w:jc w:val="center"/>
              <w:rPr>
                <w:rFonts w:ascii="宋体" w:hAnsi="宋体" w:cs="宋体"/>
                <w:sz w:val="24"/>
              </w:rPr>
            </w:pPr>
            <w:r>
              <w:rPr>
                <w:rFonts w:hint="eastAsia" w:ascii="宋体" w:hAnsi="宋体" w:cs="宋体"/>
                <w:sz w:val="24"/>
              </w:rPr>
              <w:t>3.公网流量处理峰值≥100Mbps；</w:t>
            </w:r>
          </w:p>
        </w:tc>
        <w:tc>
          <w:tcPr>
            <w:tcW w:w="911" w:type="dxa"/>
            <w:vAlign w:val="center"/>
          </w:tcPr>
          <w:p w14:paraId="1853FB8D">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1</w:t>
            </w:r>
          </w:p>
        </w:tc>
        <w:tc>
          <w:tcPr>
            <w:tcW w:w="833" w:type="dxa"/>
            <w:vAlign w:val="center"/>
          </w:tcPr>
          <w:p w14:paraId="54726E17">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台</w:t>
            </w:r>
          </w:p>
        </w:tc>
      </w:tr>
      <w:tr w14:paraId="06D9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1D5A2672">
            <w:pPr>
              <w:spacing w:line="360" w:lineRule="auto"/>
              <w:jc w:val="center"/>
              <w:rPr>
                <w:rFonts w:ascii="宋体" w:hAnsi="宋体" w:cs="宋体"/>
                <w:sz w:val="24"/>
              </w:rPr>
            </w:pPr>
            <w:r>
              <w:rPr>
                <w:rFonts w:hint="eastAsia" w:ascii="宋体" w:hAnsi="宋体" w:cs="宋体"/>
                <w:sz w:val="24"/>
              </w:rPr>
              <w:t>4</w:t>
            </w:r>
          </w:p>
        </w:tc>
        <w:tc>
          <w:tcPr>
            <w:tcW w:w="1978" w:type="dxa"/>
            <w:vAlign w:val="center"/>
          </w:tcPr>
          <w:p w14:paraId="3D7FFEA2">
            <w:pPr>
              <w:spacing w:line="360" w:lineRule="auto"/>
              <w:jc w:val="center"/>
              <w:rPr>
                <w:rFonts w:ascii="宋体" w:hAnsi="宋体" w:cs="宋体"/>
                <w:sz w:val="24"/>
              </w:rPr>
            </w:pPr>
            <w:r>
              <w:rPr>
                <w:rFonts w:hint="eastAsia" w:ascii="宋体" w:hAnsi="宋体" w:cs="宋体"/>
                <w:sz w:val="24"/>
              </w:rPr>
              <w:t>网页防篡改</w:t>
            </w:r>
          </w:p>
        </w:tc>
        <w:tc>
          <w:tcPr>
            <w:tcW w:w="3766" w:type="dxa"/>
            <w:vAlign w:val="center"/>
          </w:tcPr>
          <w:p w14:paraId="12DE4186">
            <w:pPr>
              <w:spacing w:line="360" w:lineRule="auto"/>
              <w:jc w:val="center"/>
              <w:rPr>
                <w:rFonts w:ascii="宋体" w:hAnsi="宋体" w:cs="宋体"/>
                <w:sz w:val="24"/>
              </w:rPr>
            </w:pPr>
            <w:r>
              <w:rPr>
                <w:rFonts w:hint="eastAsia" w:ascii="宋体" w:hAnsi="宋体" w:cs="宋体"/>
                <w:sz w:val="24"/>
              </w:rPr>
              <w:t>实时监控网站目录并通过备份恢复被篡改的文件或目录，保障重要系统的网站信息不被恶意篡改，防止出现挂马、黑链、非法植入恐怖威胁、色情等内容。</w:t>
            </w:r>
          </w:p>
        </w:tc>
        <w:tc>
          <w:tcPr>
            <w:tcW w:w="911" w:type="dxa"/>
            <w:vAlign w:val="center"/>
          </w:tcPr>
          <w:p w14:paraId="6636D421">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1</w:t>
            </w:r>
          </w:p>
        </w:tc>
        <w:tc>
          <w:tcPr>
            <w:tcW w:w="833" w:type="dxa"/>
            <w:vAlign w:val="center"/>
          </w:tcPr>
          <w:p w14:paraId="65FD8E07">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台</w:t>
            </w:r>
          </w:p>
        </w:tc>
      </w:tr>
      <w:tr w14:paraId="5A07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0D902251">
            <w:pPr>
              <w:spacing w:line="360" w:lineRule="auto"/>
              <w:jc w:val="center"/>
              <w:rPr>
                <w:rFonts w:ascii="宋体" w:hAnsi="宋体" w:cs="宋体"/>
                <w:sz w:val="24"/>
              </w:rPr>
            </w:pPr>
            <w:r>
              <w:rPr>
                <w:rFonts w:hint="eastAsia" w:ascii="宋体" w:hAnsi="宋体" w:cs="宋体"/>
                <w:sz w:val="24"/>
              </w:rPr>
              <w:t>5</w:t>
            </w:r>
          </w:p>
        </w:tc>
        <w:tc>
          <w:tcPr>
            <w:tcW w:w="1978" w:type="dxa"/>
            <w:vAlign w:val="center"/>
          </w:tcPr>
          <w:p w14:paraId="239D62EC">
            <w:pPr>
              <w:spacing w:line="360" w:lineRule="auto"/>
              <w:jc w:val="center"/>
              <w:rPr>
                <w:rFonts w:ascii="宋体" w:hAnsi="宋体" w:cs="宋体"/>
                <w:sz w:val="24"/>
              </w:rPr>
            </w:pPr>
            <w:r>
              <w:rPr>
                <w:rFonts w:hint="eastAsia" w:ascii="宋体" w:hAnsi="宋体" w:cs="宋体"/>
                <w:sz w:val="24"/>
              </w:rPr>
              <w:t>日志审计</w:t>
            </w:r>
          </w:p>
        </w:tc>
        <w:tc>
          <w:tcPr>
            <w:tcW w:w="3766" w:type="dxa"/>
            <w:vAlign w:val="center"/>
          </w:tcPr>
          <w:p w14:paraId="48BB0078">
            <w:pPr>
              <w:spacing w:line="360" w:lineRule="auto"/>
              <w:jc w:val="center"/>
              <w:rPr>
                <w:rFonts w:ascii="宋体" w:hAnsi="宋体" w:cs="宋体"/>
                <w:sz w:val="24"/>
              </w:rPr>
            </w:pPr>
            <w:r>
              <w:rPr>
                <w:rFonts w:hint="eastAsia" w:ascii="宋体" w:hAnsi="宋体" w:cs="宋体"/>
                <w:sz w:val="24"/>
              </w:rPr>
              <w:t>实现将云主机、云安全、操作系统、应用系统、数据库等多种日志源产生的日志信息进行统一接入、统一存储、统一管理。</w:t>
            </w:r>
          </w:p>
        </w:tc>
        <w:tc>
          <w:tcPr>
            <w:tcW w:w="911" w:type="dxa"/>
            <w:vAlign w:val="center"/>
          </w:tcPr>
          <w:p w14:paraId="0BB14EC7">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1</w:t>
            </w:r>
          </w:p>
        </w:tc>
        <w:tc>
          <w:tcPr>
            <w:tcW w:w="833" w:type="dxa"/>
            <w:vAlign w:val="center"/>
          </w:tcPr>
          <w:p w14:paraId="3FCBE9D7">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台</w:t>
            </w:r>
          </w:p>
        </w:tc>
      </w:tr>
      <w:tr w14:paraId="448E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4539B720">
            <w:pPr>
              <w:spacing w:line="360" w:lineRule="auto"/>
              <w:jc w:val="center"/>
              <w:rPr>
                <w:rFonts w:ascii="宋体" w:hAnsi="宋体" w:cs="宋体"/>
                <w:sz w:val="24"/>
              </w:rPr>
            </w:pPr>
            <w:r>
              <w:rPr>
                <w:rFonts w:hint="eastAsia" w:ascii="宋体" w:hAnsi="宋体" w:cs="宋体"/>
                <w:sz w:val="24"/>
              </w:rPr>
              <w:t>6</w:t>
            </w:r>
          </w:p>
        </w:tc>
        <w:tc>
          <w:tcPr>
            <w:tcW w:w="1978" w:type="dxa"/>
            <w:vAlign w:val="center"/>
          </w:tcPr>
          <w:p w14:paraId="44D0E99D">
            <w:pPr>
              <w:spacing w:line="360" w:lineRule="auto"/>
              <w:jc w:val="center"/>
              <w:rPr>
                <w:rFonts w:ascii="宋体" w:hAnsi="宋体" w:cs="宋体"/>
                <w:sz w:val="24"/>
              </w:rPr>
            </w:pPr>
            <w:r>
              <w:rPr>
                <w:rFonts w:hint="eastAsia" w:ascii="宋体" w:hAnsi="宋体" w:cs="宋体"/>
                <w:sz w:val="24"/>
              </w:rPr>
              <w:t>主机安全</w:t>
            </w:r>
          </w:p>
        </w:tc>
        <w:tc>
          <w:tcPr>
            <w:tcW w:w="3766" w:type="dxa"/>
            <w:vAlign w:val="center"/>
          </w:tcPr>
          <w:p w14:paraId="63B7B487">
            <w:pPr>
              <w:spacing w:line="360" w:lineRule="auto"/>
              <w:jc w:val="center"/>
              <w:rPr>
                <w:rFonts w:ascii="宋体" w:hAnsi="宋体" w:cs="宋体"/>
                <w:sz w:val="24"/>
              </w:rPr>
            </w:pPr>
            <w:r>
              <w:rPr>
                <w:rFonts w:hint="eastAsia" w:ascii="宋体" w:hAnsi="宋体" w:cs="宋体"/>
                <w:sz w:val="24"/>
              </w:rPr>
              <w:t>以agent的形式安装在每台云主机中，提供漏洞扫描、入侵检测、基线检查、弱口令检测、病毒查杀的能力；</w:t>
            </w:r>
          </w:p>
        </w:tc>
        <w:tc>
          <w:tcPr>
            <w:tcW w:w="911" w:type="dxa"/>
            <w:vAlign w:val="center"/>
          </w:tcPr>
          <w:p w14:paraId="4ECFE1CE">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2</w:t>
            </w:r>
          </w:p>
        </w:tc>
        <w:tc>
          <w:tcPr>
            <w:tcW w:w="833" w:type="dxa"/>
            <w:vAlign w:val="center"/>
          </w:tcPr>
          <w:p w14:paraId="7299752A">
            <w:pPr>
              <w:widowControl/>
              <w:spacing w:line="360" w:lineRule="auto"/>
              <w:jc w:val="center"/>
              <w:textAlignment w:val="center"/>
              <w:rPr>
                <w:rFonts w:ascii="宋体" w:hAnsi="宋体" w:cs="宋体"/>
                <w:sz w:val="24"/>
              </w:rPr>
            </w:pPr>
            <w:r>
              <w:rPr>
                <w:rFonts w:hint="eastAsia" w:ascii="宋体" w:hAnsi="宋体" w:cs="宋体"/>
                <w:color w:val="000000"/>
                <w:kern w:val="0"/>
                <w:sz w:val="24"/>
                <w:lang w:bidi="ar"/>
              </w:rPr>
              <w:t>台</w:t>
            </w:r>
          </w:p>
        </w:tc>
      </w:tr>
    </w:tbl>
    <w:p w14:paraId="1B4CC91C">
      <w:pPr>
        <w:numPr>
          <w:ilvl w:val="0"/>
          <w:numId w:val="1"/>
        </w:numPr>
        <w:spacing w:line="360" w:lineRule="auto"/>
        <w:rPr>
          <w:rFonts w:ascii="宋体" w:hAnsi="宋体" w:cs="宋体"/>
          <w:b/>
          <w:bCs/>
          <w:sz w:val="24"/>
        </w:rPr>
      </w:pPr>
      <w:r>
        <w:rPr>
          <w:rFonts w:hint="eastAsia" w:ascii="宋体" w:hAnsi="宋体" w:cs="宋体"/>
          <w:b/>
          <w:bCs/>
          <w:sz w:val="24"/>
        </w:rPr>
        <w:t>采购清单技术参数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747"/>
        <w:gridCol w:w="4150"/>
        <w:gridCol w:w="758"/>
        <w:gridCol w:w="830"/>
      </w:tblGrid>
      <w:tr w14:paraId="5F54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tcPr>
          <w:p w14:paraId="565D9CA9">
            <w:pPr>
              <w:spacing w:line="360" w:lineRule="auto"/>
              <w:jc w:val="center"/>
              <w:rPr>
                <w:rFonts w:ascii="宋体" w:hAnsi="宋体" w:cs="宋体"/>
                <w:b/>
                <w:bCs/>
                <w:sz w:val="24"/>
              </w:rPr>
            </w:pPr>
            <w:r>
              <w:rPr>
                <w:rFonts w:hint="eastAsia" w:ascii="宋体" w:hAnsi="宋体" w:cs="宋体"/>
                <w:b/>
                <w:bCs/>
                <w:sz w:val="24"/>
              </w:rPr>
              <w:t>序号</w:t>
            </w:r>
          </w:p>
        </w:tc>
        <w:tc>
          <w:tcPr>
            <w:tcW w:w="1747" w:type="dxa"/>
          </w:tcPr>
          <w:p w14:paraId="3E6FE8B7">
            <w:pPr>
              <w:spacing w:line="360" w:lineRule="auto"/>
              <w:jc w:val="center"/>
              <w:rPr>
                <w:rFonts w:ascii="宋体" w:hAnsi="宋体" w:cs="宋体"/>
                <w:b/>
                <w:bCs/>
                <w:sz w:val="24"/>
              </w:rPr>
            </w:pPr>
            <w:r>
              <w:rPr>
                <w:rFonts w:hint="eastAsia" w:ascii="宋体" w:hAnsi="宋体" w:cs="宋体"/>
                <w:b/>
                <w:bCs/>
                <w:sz w:val="24"/>
              </w:rPr>
              <w:t>项目名称</w:t>
            </w:r>
          </w:p>
        </w:tc>
        <w:tc>
          <w:tcPr>
            <w:tcW w:w="4150" w:type="dxa"/>
          </w:tcPr>
          <w:p w14:paraId="6657C3F1">
            <w:pPr>
              <w:spacing w:line="360" w:lineRule="auto"/>
              <w:jc w:val="center"/>
              <w:rPr>
                <w:rFonts w:ascii="宋体" w:hAnsi="宋体" w:cs="宋体"/>
                <w:b/>
                <w:bCs/>
                <w:sz w:val="24"/>
              </w:rPr>
            </w:pPr>
            <w:r>
              <w:rPr>
                <w:rFonts w:hint="eastAsia" w:ascii="宋体" w:hAnsi="宋体" w:cs="宋体"/>
                <w:b/>
                <w:bCs/>
                <w:sz w:val="24"/>
              </w:rPr>
              <w:t>技术参数</w:t>
            </w:r>
          </w:p>
        </w:tc>
        <w:tc>
          <w:tcPr>
            <w:tcW w:w="758" w:type="dxa"/>
          </w:tcPr>
          <w:p w14:paraId="4066E038">
            <w:pPr>
              <w:spacing w:line="360" w:lineRule="auto"/>
              <w:jc w:val="center"/>
              <w:rPr>
                <w:rFonts w:ascii="宋体" w:hAnsi="宋体" w:cs="宋体"/>
                <w:b/>
                <w:bCs/>
                <w:sz w:val="24"/>
              </w:rPr>
            </w:pPr>
            <w:r>
              <w:rPr>
                <w:rFonts w:hint="eastAsia" w:ascii="宋体" w:hAnsi="宋体" w:cs="宋体"/>
                <w:b/>
                <w:bCs/>
                <w:sz w:val="24"/>
              </w:rPr>
              <w:t>数量</w:t>
            </w:r>
          </w:p>
        </w:tc>
        <w:tc>
          <w:tcPr>
            <w:tcW w:w="830" w:type="dxa"/>
          </w:tcPr>
          <w:p w14:paraId="4ADA9C3C">
            <w:pPr>
              <w:spacing w:line="360" w:lineRule="auto"/>
              <w:jc w:val="center"/>
              <w:rPr>
                <w:rFonts w:ascii="宋体" w:hAnsi="宋体" w:cs="宋体"/>
                <w:b/>
                <w:bCs/>
                <w:sz w:val="24"/>
              </w:rPr>
            </w:pPr>
            <w:r>
              <w:rPr>
                <w:rFonts w:hint="eastAsia" w:ascii="宋体" w:hAnsi="宋体" w:cs="宋体"/>
                <w:b/>
                <w:bCs/>
                <w:sz w:val="24"/>
              </w:rPr>
              <w:t>单位</w:t>
            </w:r>
          </w:p>
        </w:tc>
      </w:tr>
      <w:tr w14:paraId="3FE3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2D7561C9">
            <w:pPr>
              <w:spacing w:line="360" w:lineRule="auto"/>
              <w:jc w:val="center"/>
              <w:rPr>
                <w:rFonts w:ascii="宋体" w:hAnsi="宋体" w:cs="宋体"/>
                <w:sz w:val="24"/>
              </w:rPr>
            </w:pPr>
            <w:r>
              <w:rPr>
                <w:rFonts w:hint="eastAsia" w:ascii="宋体" w:hAnsi="宋体" w:cs="宋体"/>
                <w:sz w:val="24"/>
              </w:rPr>
              <w:t>1</w:t>
            </w:r>
          </w:p>
        </w:tc>
        <w:tc>
          <w:tcPr>
            <w:tcW w:w="1747" w:type="dxa"/>
            <w:shd w:val="clear" w:color="auto" w:fill="auto"/>
            <w:vAlign w:val="center"/>
          </w:tcPr>
          <w:p w14:paraId="39E95D85">
            <w:pPr>
              <w:spacing w:line="360" w:lineRule="auto"/>
              <w:rPr>
                <w:rFonts w:ascii="宋体" w:hAnsi="宋体" w:cs="宋体"/>
                <w:sz w:val="24"/>
              </w:rPr>
            </w:pPr>
            <w:r>
              <w:rPr>
                <w:rFonts w:hint="eastAsia" w:ascii="宋体" w:hAnsi="宋体" w:cs="宋体"/>
                <w:sz w:val="24"/>
              </w:rPr>
              <w:t>公网独享宽带</w:t>
            </w:r>
          </w:p>
        </w:tc>
        <w:tc>
          <w:tcPr>
            <w:tcW w:w="4150" w:type="dxa"/>
            <w:vAlign w:val="center"/>
          </w:tcPr>
          <w:p w14:paraId="3BCC3572">
            <w:pPr>
              <w:spacing w:line="360" w:lineRule="auto"/>
              <w:rPr>
                <w:rFonts w:ascii="宋体" w:hAnsi="宋体" w:cs="宋体"/>
                <w:sz w:val="24"/>
              </w:rPr>
            </w:pPr>
            <w:r>
              <w:rPr>
                <w:rFonts w:hint="eastAsia" w:ascii="宋体" w:hAnsi="宋体" w:cs="宋体"/>
                <w:sz w:val="24"/>
              </w:rPr>
              <w:t>1、公网带宽≥20Mbps</w:t>
            </w:r>
          </w:p>
          <w:p w14:paraId="75464FEF">
            <w:pPr>
              <w:spacing w:line="360" w:lineRule="auto"/>
              <w:rPr>
                <w:rFonts w:ascii="宋体" w:hAnsi="宋体" w:cs="宋体"/>
                <w:sz w:val="24"/>
              </w:rPr>
            </w:pPr>
            <w:r>
              <w:rPr>
                <w:rFonts w:hint="eastAsia" w:ascii="宋体" w:hAnsi="宋体" w:cs="宋体"/>
                <w:sz w:val="24"/>
              </w:rPr>
              <w:t>2、公网IP≥1个</w:t>
            </w:r>
          </w:p>
          <w:p w14:paraId="2A8BAE0F">
            <w:pPr>
              <w:spacing w:line="360" w:lineRule="auto"/>
              <w:rPr>
                <w:rFonts w:ascii="宋体" w:hAnsi="宋体" w:cs="宋体"/>
                <w:sz w:val="24"/>
              </w:rPr>
            </w:pPr>
            <w:r>
              <w:rPr>
                <w:rFonts w:hint="eastAsia" w:ascii="宋体" w:hAnsi="宋体" w:cs="宋体"/>
                <w:sz w:val="24"/>
              </w:rPr>
              <w:t>3、支持流量分发、负载类型、会话保持、转发策略、健康检查和获取用户真实IP</w:t>
            </w:r>
          </w:p>
        </w:tc>
        <w:tc>
          <w:tcPr>
            <w:tcW w:w="758" w:type="dxa"/>
            <w:shd w:val="clear" w:color="auto" w:fill="auto"/>
            <w:vAlign w:val="center"/>
          </w:tcPr>
          <w:p w14:paraId="6834E3F6">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60F6A4DD">
            <w:pPr>
              <w:spacing w:line="360" w:lineRule="auto"/>
              <w:jc w:val="center"/>
              <w:rPr>
                <w:rFonts w:ascii="宋体" w:hAnsi="宋体" w:cs="宋体"/>
                <w:sz w:val="24"/>
              </w:rPr>
            </w:pPr>
            <w:r>
              <w:rPr>
                <w:rFonts w:hint="eastAsia" w:ascii="宋体" w:hAnsi="宋体" w:cs="宋体"/>
                <w:sz w:val="24"/>
              </w:rPr>
              <w:t>条</w:t>
            </w:r>
          </w:p>
        </w:tc>
      </w:tr>
      <w:tr w14:paraId="2C9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157C1B2A">
            <w:pPr>
              <w:spacing w:line="360" w:lineRule="auto"/>
              <w:jc w:val="center"/>
              <w:rPr>
                <w:rFonts w:ascii="宋体" w:hAnsi="宋体" w:cs="宋体"/>
                <w:sz w:val="24"/>
              </w:rPr>
            </w:pPr>
            <w:r>
              <w:rPr>
                <w:rFonts w:hint="eastAsia" w:ascii="宋体" w:hAnsi="宋体" w:cs="宋体"/>
                <w:sz w:val="24"/>
              </w:rPr>
              <w:t>2</w:t>
            </w:r>
          </w:p>
        </w:tc>
        <w:tc>
          <w:tcPr>
            <w:tcW w:w="1747" w:type="dxa"/>
            <w:shd w:val="clear" w:color="auto" w:fill="auto"/>
            <w:vAlign w:val="center"/>
          </w:tcPr>
          <w:p w14:paraId="079E2585">
            <w:pPr>
              <w:spacing w:line="360" w:lineRule="auto"/>
              <w:rPr>
                <w:rFonts w:ascii="宋体" w:hAnsi="宋体" w:cs="宋体"/>
                <w:sz w:val="24"/>
              </w:rPr>
            </w:pPr>
            <w:r>
              <w:rPr>
                <w:rFonts w:hint="eastAsia" w:ascii="宋体" w:hAnsi="宋体" w:cs="宋体"/>
                <w:sz w:val="24"/>
              </w:rPr>
              <w:t>云专网专线</w:t>
            </w:r>
          </w:p>
        </w:tc>
        <w:tc>
          <w:tcPr>
            <w:tcW w:w="4150" w:type="dxa"/>
            <w:shd w:val="clear" w:color="auto" w:fill="auto"/>
          </w:tcPr>
          <w:p w14:paraId="4572F79D">
            <w:pPr>
              <w:spacing w:line="360" w:lineRule="auto"/>
              <w:rPr>
                <w:rFonts w:ascii="宋体" w:hAnsi="宋体" w:cs="宋体"/>
                <w:sz w:val="24"/>
              </w:rPr>
            </w:pPr>
            <w:r>
              <w:rPr>
                <w:rFonts w:hint="eastAsia" w:ascii="宋体" w:hAnsi="宋体" w:cs="宋体"/>
                <w:sz w:val="24"/>
              </w:rPr>
              <w:t>公网带宽≥10Mbps；</w:t>
            </w:r>
          </w:p>
          <w:p w14:paraId="34AE1035">
            <w:pPr>
              <w:spacing w:line="360" w:lineRule="auto"/>
              <w:rPr>
                <w:rFonts w:ascii="宋体" w:hAnsi="宋体" w:cs="宋体"/>
                <w:sz w:val="24"/>
              </w:rPr>
            </w:pPr>
            <w:r>
              <w:rPr>
                <w:rFonts w:hint="eastAsia" w:ascii="宋体" w:hAnsi="宋体" w:cs="宋体"/>
                <w:sz w:val="24"/>
              </w:rPr>
              <w:t>（1）线路可用率达到99.9%。</w:t>
            </w:r>
          </w:p>
          <w:p w14:paraId="4EA2F6C8">
            <w:pPr>
              <w:spacing w:line="360" w:lineRule="auto"/>
              <w:rPr>
                <w:rFonts w:ascii="宋体" w:hAnsi="宋体" w:cs="宋体"/>
                <w:sz w:val="24"/>
              </w:rPr>
            </w:pPr>
            <w:r>
              <w:rPr>
                <w:rFonts w:hint="eastAsia" w:ascii="宋体" w:hAnsi="宋体" w:cs="宋体"/>
                <w:sz w:val="24"/>
              </w:rPr>
              <w:t>（2）网络时延不高于20ms，丢包率不高于5%。</w:t>
            </w:r>
          </w:p>
        </w:tc>
        <w:tc>
          <w:tcPr>
            <w:tcW w:w="758" w:type="dxa"/>
            <w:shd w:val="clear" w:color="auto" w:fill="auto"/>
            <w:vAlign w:val="center"/>
          </w:tcPr>
          <w:p w14:paraId="10934818">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47F349CE">
            <w:pPr>
              <w:spacing w:line="360" w:lineRule="auto"/>
              <w:jc w:val="center"/>
              <w:rPr>
                <w:rFonts w:ascii="宋体" w:hAnsi="宋体" w:cs="宋体"/>
                <w:sz w:val="24"/>
              </w:rPr>
            </w:pPr>
            <w:r>
              <w:rPr>
                <w:rFonts w:hint="eastAsia" w:ascii="宋体" w:hAnsi="宋体" w:cs="宋体"/>
                <w:sz w:val="24"/>
              </w:rPr>
              <w:t>条</w:t>
            </w:r>
          </w:p>
        </w:tc>
      </w:tr>
      <w:tr w14:paraId="3009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646DB4F1">
            <w:pPr>
              <w:spacing w:line="360" w:lineRule="auto"/>
              <w:jc w:val="center"/>
              <w:rPr>
                <w:rFonts w:ascii="宋体" w:hAnsi="宋体" w:cs="宋体"/>
                <w:sz w:val="24"/>
              </w:rPr>
            </w:pPr>
            <w:r>
              <w:rPr>
                <w:rFonts w:hint="eastAsia" w:ascii="宋体" w:hAnsi="宋体" w:cs="宋体"/>
                <w:sz w:val="24"/>
              </w:rPr>
              <w:t>3</w:t>
            </w:r>
          </w:p>
        </w:tc>
        <w:tc>
          <w:tcPr>
            <w:tcW w:w="1747" w:type="dxa"/>
            <w:shd w:val="clear" w:color="auto" w:fill="auto"/>
            <w:vAlign w:val="center"/>
          </w:tcPr>
          <w:p w14:paraId="624F2368">
            <w:pPr>
              <w:spacing w:line="360" w:lineRule="auto"/>
              <w:rPr>
                <w:rFonts w:ascii="宋体" w:hAnsi="宋体" w:cs="宋体"/>
                <w:sz w:val="24"/>
              </w:rPr>
            </w:pPr>
            <w:r>
              <w:rPr>
                <w:rFonts w:hint="eastAsia" w:ascii="宋体" w:hAnsi="宋体" w:cs="宋体"/>
                <w:sz w:val="24"/>
              </w:rPr>
              <w:t>云专线</w:t>
            </w:r>
          </w:p>
        </w:tc>
        <w:tc>
          <w:tcPr>
            <w:tcW w:w="4150" w:type="dxa"/>
            <w:shd w:val="clear" w:color="auto" w:fill="auto"/>
          </w:tcPr>
          <w:p w14:paraId="5F2C739C">
            <w:pPr>
              <w:spacing w:line="360" w:lineRule="auto"/>
              <w:rPr>
                <w:rFonts w:ascii="宋体" w:hAnsi="宋体" w:cs="宋体"/>
                <w:sz w:val="24"/>
              </w:rPr>
            </w:pPr>
            <w:r>
              <w:rPr>
                <w:rFonts w:hint="eastAsia" w:ascii="宋体" w:hAnsi="宋体" w:cs="宋体"/>
                <w:sz w:val="24"/>
              </w:rPr>
              <w:t>公网带宽≥20Mbps；</w:t>
            </w:r>
          </w:p>
          <w:p w14:paraId="4154A335">
            <w:pPr>
              <w:spacing w:line="360" w:lineRule="auto"/>
              <w:rPr>
                <w:rFonts w:ascii="宋体" w:hAnsi="宋体" w:cs="宋体"/>
                <w:sz w:val="24"/>
              </w:rPr>
            </w:pPr>
            <w:r>
              <w:rPr>
                <w:rFonts w:hint="eastAsia" w:ascii="宋体" w:hAnsi="宋体" w:cs="宋体"/>
                <w:sz w:val="24"/>
              </w:rPr>
              <w:t>（1）线路可用率达到99.9%。</w:t>
            </w:r>
          </w:p>
          <w:p w14:paraId="7990E2CE">
            <w:pPr>
              <w:spacing w:line="360" w:lineRule="auto"/>
              <w:rPr>
                <w:rFonts w:ascii="宋体" w:hAnsi="宋体" w:cs="宋体"/>
                <w:sz w:val="24"/>
              </w:rPr>
            </w:pPr>
            <w:r>
              <w:rPr>
                <w:rFonts w:hint="eastAsia" w:ascii="宋体" w:hAnsi="宋体" w:cs="宋体"/>
                <w:sz w:val="24"/>
              </w:rPr>
              <w:t>（2）网络时延不高于20ms，丢包率不高于5%。</w:t>
            </w:r>
          </w:p>
        </w:tc>
        <w:tc>
          <w:tcPr>
            <w:tcW w:w="758" w:type="dxa"/>
            <w:shd w:val="clear" w:color="auto" w:fill="auto"/>
            <w:vAlign w:val="center"/>
          </w:tcPr>
          <w:p w14:paraId="6C0C1CEB">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695EAF69">
            <w:pPr>
              <w:spacing w:line="360" w:lineRule="auto"/>
              <w:jc w:val="center"/>
              <w:rPr>
                <w:rFonts w:ascii="宋体" w:hAnsi="宋体" w:cs="宋体"/>
                <w:sz w:val="24"/>
              </w:rPr>
            </w:pPr>
            <w:r>
              <w:rPr>
                <w:rFonts w:hint="eastAsia" w:ascii="宋体" w:hAnsi="宋体" w:cs="宋体"/>
                <w:sz w:val="24"/>
              </w:rPr>
              <w:t>条</w:t>
            </w:r>
          </w:p>
        </w:tc>
      </w:tr>
      <w:tr w14:paraId="7924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5895CB56">
            <w:pPr>
              <w:spacing w:line="360" w:lineRule="auto"/>
              <w:jc w:val="center"/>
              <w:rPr>
                <w:rFonts w:ascii="宋体" w:hAnsi="宋体" w:cs="宋体"/>
                <w:sz w:val="24"/>
              </w:rPr>
            </w:pPr>
            <w:r>
              <w:rPr>
                <w:rFonts w:hint="eastAsia" w:ascii="宋体" w:hAnsi="宋体" w:cs="宋体"/>
                <w:sz w:val="24"/>
              </w:rPr>
              <w:t>4</w:t>
            </w:r>
          </w:p>
        </w:tc>
        <w:tc>
          <w:tcPr>
            <w:tcW w:w="1747" w:type="dxa"/>
            <w:shd w:val="clear" w:color="auto" w:fill="auto"/>
            <w:vAlign w:val="center"/>
          </w:tcPr>
          <w:p w14:paraId="4FB9D92A">
            <w:pPr>
              <w:spacing w:line="360" w:lineRule="auto"/>
              <w:rPr>
                <w:rFonts w:ascii="宋体" w:hAnsi="宋体" w:cs="宋体"/>
                <w:sz w:val="24"/>
              </w:rPr>
            </w:pPr>
            <w:r>
              <w:rPr>
                <w:rFonts w:hint="eastAsia" w:ascii="宋体" w:hAnsi="宋体" w:cs="宋体"/>
                <w:sz w:val="24"/>
              </w:rPr>
              <w:t>云主机</w:t>
            </w:r>
          </w:p>
        </w:tc>
        <w:tc>
          <w:tcPr>
            <w:tcW w:w="4150" w:type="dxa"/>
            <w:vAlign w:val="center"/>
          </w:tcPr>
          <w:p w14:paraId="7DB103B9">
            <w:pPr>
              <w:spacing w:line="360" w:lineRule="auto"/>
              <w:rPr>
                <w:rFonts w:ascii="宋体" w:hAnsi="宋体" w:cs="宋体"/>
                <w:sz w:val="24"/>
              </w:rPr>
            </w:pPr>
            <w:r>
              <w:rPr>
                <w:rFonts w:hint="eastAsia" w:ascii="宋体" w:hAnsi="宋体" w:cs="宋体"/>
                <w:sz w:val="24"/>
              </w:rPr>
              <w:t>单台配置：CPU≥8核，内存≥16G，系统盘（SAS）≥100GB，数据盘（SAS）≥500GB</w:t>
            </w:r>
          </w:p>
          <w:p w14:paraId="21959CD4">
            <w:pPr>
              <w:spacing w:line="360" w:lineRule="auto"/>
              <w:rPr>
                <w:rFonts w:ascii="宋体" w:hAnsi="宋体" w:cs="宋体"/>
                <w:sz w:val="24"/>
              </w:rPr>
            </w:pPr>
            <w:r>
              <w:rPr>
                <w:rFonts w:hint="eastAsia" w:ascii="宋体" w:hAnsi="宋体" w:cs="宋体"/>
                <w:sz w:val="24"/>
              </w:rPr>
              <w:t>1、支持Windows Server、Centos、Ubuntu、Rocky Linux、openEuler等多种操作系统；</w:t>
            </w:r>
          </w:p>
          <w:p w14:paraId="08FC31B8">
            <w:pPr>
              <w:spacing w:line="360" w:lineRule="auto"/>
              <w:rPr>
                <w:rFonts w:ascii="宋体" w:hAnsi="宋体" w:cs="宋体"/>
                <w:sz w:val="24"/>
              </w:rPr>
            </w:pPr>
            <w:r>
              <w:rPr>
                <w:rFonts w:hint="eastAsia" w:ascii="宋体" w:hAnsi="宋体" w:cs="宋体"/>
                <w:sz w:val="24"/>
              </w:rPr>
              <w:t>2、支持对云主机进行开机、关机、重启、变配、重置密码等功能；</w:t>
            </w:r>
          </w:p>
        </w:tc>
        <w:tc>
          <w:tcPr>
            <w:tcW w:w="758" w:type="dxa"/>
            <w:shd w:val="clear" w:color="auto" w:fill="auto"/>
            <w:vAlign w:val="center"/>
          </w:tcPr>
          <w:p w14:paraId="6FDF8AAA">
            <w:pPr>
              <w:spacing w:line="360" w:lineRule="auto"/>
              <w:jc w:val="center"/>
              <w:rPr>
                <w:rFonts w:ascii="宋体" w:hAnsi="宋体" w:cs="宋体"/>
                <w:sz w:val="24"/>
              </w:rPr>
            </w:pPr>
            <w:r>
              <w:rPr>
                <w:rFonts w:hint="eastAsia" w:ascii="宋体" w:hAnsi="宋体" w:cs="宋体"/>
                <w:sz w:val="24"/>
              </w:rPr>
              <w:t>2</w:t>
            </w:r>
          </w:p>
        </w:tc>
        <w:tc>
          <w:tcPr>
            <w:tcW w:w="830" w:type="dxa"/>
            <w:shd w:val="clear" w:color="auto" w:fill="auto"/>
            <w:vAlign w:val="center"/>
          </w:tcPr>
          <w:p w14:paraId="2437809D">
            <w:pPr>
              <w:spacing w:line="360" w:lineRule="auto"/>
              <w:jc w:val="center"/>
              <w:rPr>
                <w:rFonts w:ascii="宋体" w:hAnsi="宋体" w:cs="宋体"/>
                <w:sz w:val="24"/>
              </w:rPr>
            </w:pPr>
            <w:r>
              <w:rPr>
                <w:rFonts w:hint="eastAsia" w:ascii="宋体" w:hAnsi="宋体" w:cs="宋体"/>
                <w:sz w:val="24"/>
              </w:rPr>
              <w:t>台</w:t>
            </w:r>
          </w:p>
        </w:tc>
      </w:tr>
      <w:tr w14:paraId="2FE7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230F29EF">
            <w:pPr>
              <w:spacing w:line="360" w:lineRule="auto"/>
              <w:jc w:val="center"/>
              <w:rPr>
                <w:rFonts w:ascii="宋体" w:hAnsi="宋体" w:cs="宋体"/>
                <w:sz w:val="24"/>
              </w:rPr>
            </w:pPr>
            <w:r>
              <w:rPr>
                <w:rFonts w:hint="eastAsia" w:ascii="宋体" w:hAnsi="宋体" w:cs="宋体"/>
                <w:sz w:val="24"/>
              </w:rPr>
              <w:t>5</w:t>
            </w:r>
          </w:p>
        </w:tc>
        <w:tc>
          <w:tcPr>
            <w:tcW w:w="1747" w:type="dxa"/>
            <w:shd w:val="clear" w:color="auto" w:fill="auto"/>
            <w:vAlign w:val="center"/>
          </w:tcPr>
          <w:p w14:paraId="62ED7E74">
            <w:pPr>
              <w:spacing w:line="360" w:lineRule="auto"/>
              <w:rPr>
                <w:rFonts w:ascii="宋体" w:hAnsi="宋体" w:cs="宋体"/>
                <w:sz w:val="24"/>
              </w:rPr>
            </w:pPr>
            <w:r>
              <w:rPr>
                <w:rFonts w:hint="eastAsia" w:ascii="宋体" w:hAnsi="宋体" w:cs="宋体"/>
                <w:sz w:val="24"/>
              </w:rPr>
              <w:t>云下一代防火墙</w:t>
            </w:r>
          </w:p>
        </w:tc>
        <w:tc>
          <w:tcPr>
            <w:tcW w:w="4150" w:type="dxa"/>
            <w:vAlign w:val="center"/>
          </w:tcPr>
          <w:p w14:paraId="0DA1E03F">
            <w:pPr>
              <w:spacing w:line="360" w:lineRule="auto"/>
              <w:rPr>
                <w:rFonts w:ascii="宋体" w:hAnsi="宋体" w:cs="宋体"/>
                <w:sz w:val="24"/>
              </w:rPr>
            </w:pPr>
            <w:r>
              <w:rPr>
                <w:rFonts w:hint="eastAsia" w:ascii="宋体" w:hAnsi="宋体" w:cs="宋体"/>
                <w:sz w:val="24"/>
              </w:rPr>
              <w:t>1、提供对多种路由方式的全面支持，包括静态路由、ISP路由、RIP路由、OSPF路由、IS-IS路由、BGP路由、策略路由。增强系统在不同网络环境下的适应性，提供更灵活的网络配置和管理选项；(提供产品相关功能截图证明)</w:t>
            </w:r>
          </w:p>
          <w:p w14:paraId="3B4C1588">
            <w:pPr>
              <w:spacing w:line="360" w:lineRule="auto"/>
              <w:rPr>
                <w:rFonts w:ascii="宋体" w:hAnsi="宋体" w:cs="宋体"/>
                <w:sz w:val="24"/>
              </w:rPr>
            </w:pPr>
            <w:r>
              <w:rPr>
                <w:rFonts w:hint="eastAsia" w:ascii="宋体" w:hAnsi="宋体" w:cs="宋体"/>
                <w:sz w:val="24"/>
              </w:rPr>
              <w:t>2、</w:t>
            </w:r>
            <w:r>
              <w:rPr>
                <w:rFonts w:hint="eastAsia" w:ascii="宋体" w:hAnsi="宋体" w:cs="宋体"/>
                <w:color w:val="000000"/>
                <w:kern w:val="0"/>
                <w:sz w:val="24"/>
                <w:lang w:bidi="ar"/>
              </w:rPr>
              <w:t>▲</w:t>
            </w:r>
            <w:r>
              <w:rPr>
                <w:rFonts w:hint="eastAsia" w:ascii="宋体" w:hAnsi="宋体" w:cs="宋体"/>
                <w:sz w:val="24"/>
              </w:rPr>
              <w:t>支持策略优化功能，能够提取命中指定策略ID的流量作为流量数据分析源，生成服务并且根据管理员设置的替换规则、聚合规则优化流量数据，最后自动生成符合管理员期望的安全策略规则；(提供产品相关功能截图证明)</w:t>
            </w:r>
          </w:p>
          <w:p w14:paraId="23523A2B">
            <w:pPr>
              <w:spacing w:line="360" w:lineRule="auto"/>
              <w:rPr>
                <w:rFonts w:ascii="宋体" w:hAnsi="宋体" w:cs="宋体"/>
                <w:sz w:val="24"/>
              </w:rPr>
            </w:pPr>
            <w:r>
              <w:rPr>
                <w:rFonts w:hint="eastAsia" w:ascii="宋体" w:hAnsi="宋体" w:cs="宋体"/>
                <w:sz w:val="24"/>
              </w:rPr>
              <w:t>3、</w:t>
            </w:r>
            <w:r>
              <w:rPr>
                <w:rFonts w:hint="eastAsia" w:ascii="宋体" w:hAnsi="宋体" w:cs="宋体"/>
                <w:color w:val="000000"/>
                <w:kern w:val="0"/>
                <w:sz w:val="24"/>
                <w:lang w:bidi="ar"/>
              </w:rPr>
              <w:t>▲</w:t>
            </w:r>
            <w:r>
              <w:rPr>
                <w:rFonts w:hint="eastAsia" w:ascii="宋体" w:hAnsi="宋体" w:cs="宋体"/>
                <w:sz w:val="24"/>
              </w:rPr>
              <w:t>支持SNAT/DNAT命中数分析和冗余检测功能，协助用户快速发现并识别潜在的僵尸NAT规则。增强了系统的可维护性，提高了对网络规则的管理效率，使用户更容易识别和清理不必要的NAT规则；(提供产品相关功能截图证明)</w:t>
            </w:r>
          </w:p>
          <w:p w14:paraId="7C69E42E">
            <w:pPr>
              <w:spacing w:line="360" w:lineRule="auto"/>
              <w:rPr>
                <w:rFonts w:ascii="宋体" w:hAnsi="宋体" w:cs="宋体"/>
                <w:sz w:val="24"/>
              </w:rPr>
            </w:pPr>
            <w:r>
              <w:rPr>
                <w:rFonts w:hint="eastAsia" w:ascii="宋体" w:hAnsi="宋体" w:cs="宋体"/>
                <w:sz w:val="24"/>
              </w:rPr>
              <w:t>4、</w:t>
            </w:r>
            <w:r>
              <w:rPr>
                <w:rFonts w:hint="eastAsia" w:ascii="宋体" w:hAnsi="宋体" w:cs="宋体"/>
                <w:color w:val="000000"/>
                <w:kern w:val="0"/>
                <w:sz w:val="24"/>
                <w:lang w:bidi="ar"/>
              </w:rPr>
              <w:t>▲</w:t>
            </w:r>
            <w:r>
              <w:rPr>
                <w:rFonts w:hint="eastAsia" w:ascii="宋体" w:hAnsi="宋体" w:cs="宋体"/>
                <w:sz w:val="24"/>
              </w:rPr>
              <w:t>支持ICMP Flood、UDP Flood、SYN Flood、WinNuke、IP地址欺骗、地址扫描与端口扫描、Pingof Death、Teardrop、Land、Smurf、Fraggle、IP Fragment、IP Option、 Huge ICMP、 TCP Flag异常、DNS Query Flood、DNS Reply Flood、TCP Split Handshake、SIP Flood等攻击防护，提升系统的安全性，防范多样化的网络威胁；(提供产品相关功能截图证明)</w:t>
            </w:r>
          </w:p>
          <w:p w14:paraId="7884889F">
            <w:pPr>
              <w:spacing w:line="360" w:lineRule="auto"/>
              <w:rPr>
                <w:rFonts w:ascii="宋体" w:hAnsi="宋体" w:cs="宋体"/>
                <w:sz w:val="24"/>
              </w:rPr>
            </w:pPr>
            <w:r>
              <w:rPr>
                <w:rFonts w:hint="eastAsia" w:ascii="宋体" w:hAnsi="宋体" w:cs="宋体"/>
                <w:sz w:val="24"/>
              </w:rPr>
              <w:t>5、</w:t>
            </w:r>
            <w:r>
              <w:rPr>
                <w:rFonts w:hint="eastAsia" w:ascii="宋体" w:hAnsi="宋体" w:cs="宋体"/>
                <w:color w:val="000000"/>
                <w:kern w:val="0"/>
                <w:sz w:val="24"/>
                <w:lang w:bidi="ar"/>
              </w:rPr>
              <w:t>▲</w:t>
            </w:r>
            <w:r>
              <w:rPr>
                <w:rFonts w:hint="eastAsia" w:ascii="宋体" w:hAnsi="宋体" w:cs="宋体"/>
                <w:sz w:val="24"/>
              </w:rPr>
              <w:t>支持对网站外链防护功能、CC攻击的检测和防御功能、对跨站脚本攻击的检测和防御功能、对SQL注入攻击的检测和防御功能，可以对Web服务系统提供保护;(提供产品相关功能截图证明)</w:t>
            </w:r>
          </w:p>
        </w:tc>
        <w:tc>
          <w:tcPr>
            <w:tcW w:w="758" w:type="dxa"/>
            <w:shd w:val="clear" w:color="auto" w:fill="auto"/>
            <w:vAlign w:val="center"/>
          </w:tcPr>
          <w:p w14:paraId="68E0BB53">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4526FCEA">
            <w:pPr>
              <w:spacing w:line="360" w:lineRule="auto"/>
              <w:jc w:val="center"/>
              <w:rPr>
                <w:rFonts w:ascii="宋体" w:hAnsi="宋体" w:cs="宋体"/>
                <w:sz w:val="24"/>
              </w:rPr>
            </w:pPr>
            <w:r>
              <w:rPr>
                <w:rFonts w:hint="eastAsia" w:ascii="宋体" w:hAnsi="宋体" w:cs="宋体"/>
                <w:sz w:val="24"/>
              </w:rPr>
              <w:t>台</w:t>
            </w:r>
          </w:p>
        </w:tc>
      </w:tr>
      <w:tr w14:paraId="33BC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48330B2E">
            <w:pPr>
              <w:spacing w:line="360" w:lineRule="auto"/>
              <w:jc w:val="center"/>
              <w:rPr>
                <w:rFonts w:ascii="宋体" w:hAnsi="宋体" w:cs="宋体"/>
                <w:sz w:val="24"/>
              </w:rPr>
            </w:pPr>
            <w:r>
              <w:rPr>
                <w:rFonts w:hint="eastAsia" w:ascii="宋体" w:hAnsi="宋体" w:cs="宋体"/>
                <w:sz w:val="24"/>
              </w:rPr>
              <w:t>6</w:t>
            </w:r>
          </w:p>
        </w:tc>
        <w:tc>
          <w:tcPr>
            <w:tcW w:w="1747" w:type="dxa"/>
            <w:shd w:val="clear" w:color="auto" w:fill="auto"/>
            <w:vAlign w:val="center"/>
          </w:tcPr>
          <w:p w14:paraId="588AEA7B">
            <w:pPr>
              <w:spacing w:line="360" w:lineRule="auto"/>
              <w:rPr>
                <w:rFonts w:ascii="宋体" w:hAnsi="宋体" w:cs="宋体"/>
                <w:sz w:val="24"/>
              </w:rPr>
            </w:pPr>
            <w:r>
              <w:rPr>
                <w:rFonts w:hint="eastAsia" w:ascii="宋体" w:hAnsi="宋体" w:cs="宋体"/>
                <w:sz w:val="24"/>
              </w:rPr>
              <w:t>网页防篡改</w:t>
            </w:r>
          </w:p>
        </w:tc>
        <w:tc>
          <w:tcPr>
            <w:tcW w:w="4150" w:type="dxa"/>
            <w:vAlign w:val="center"/>
          </w:tcPr>
          <w:p w14:paraId="5B47543F">
            <w:pPr>
              <w:numPr>
                <w:ilvl w:val="0"/>
                <w:numId w:val="3"/>
              </w:numPr>
              <w:spacing w:line="360" w:lineRule="auto"/>
              <w:rPr>
                <w:rFonts w:ascii="宋体" w:hAnsi="宋体" w:cs="宋体"/>
                <w:sz w:val="24"/>
                <w:shd w:val="clear" w:color="auto" w:fill="FFFFFF"/>
              </w:rPr>
            </w:pPr>
            <w:r>
              <w:rPr>
                <w:rFonts w:hint="eastAsia" w:ascii="宋体" w:hAnsi="宋体" w:cs="宋体"/>
                <w:sz w:val="24"/>
                <w:shd w:val="clear" w:color="auto" w:fill="FFFFFF"/>
              </w:rPr>
              <w:t>防护策略支持自定义配置，按需指定防护的进程和文件类型，支持各类网站文件的保护。</w:t>
            </w:r>
          </w:p>
          <w:p w14:paraId="4385E4EE">
            <w:pPr>
              <w:numPr>
                <w:ilvl w:val="0"/>
                <w:numId w:val="3"/>
              </w:numPr>
              <w:spacing w:line="360" w:lineRule="auto"/>
              <w:rPr>
                <w:rFonts w:ascii="宋体" w:hAnsi="宋体" w:cs="宋体"/>
                <w:sz w:val="24"/>
                <w:shd w:val="clear" w:color="auto" w:fill="FFFFFF"/>
              </w:rPr>
            </w:pPr>
            <w:r>
              <w:rPr>
                <w:rFonts w:hint="eastAsia" w:ascii="宋体" w:hAnsi="宋体" w:cs="宋体"/>
                <w:sz w:val="24"/>
                <w:shd w:val="clear" w:color="auto" w:fill="FFFFFF"/>
              </w:rPr>
              <w:t>篡改监测：针对云主机或物理机防护目录下的异常文件变动进行实时监测。</w:t>
            </w:r>
          </w:p>
          <w:p w14:paraId="2D221270">
            <w:pPr>
              <w:numPr>
                <w:ilvl w:val="0"/>
                <w:numId w:val="3"/>
              </w:numPr>
              <w:spacing w:line="360" w:lineRule="auto"/>
              <w:rPr>
                <w:rFonts w:ascii="宋体" w:hAnsi="宋体" w:cs="宋体"/>
                <w:sz w:val="24"/>
                <w:shd w:val="clear" w:color="auto" w:fill="FFFFFF"/>
              </w:rPr>
            </w:pPr>
            <w:r>
              <w:rPr>
                <w:rFonts w:hint="eastAsia" w:ascii="宋体" w:hAnsi="宋体" w:cs="宋体"/>
                <w:sz w:val="24"/>
                <w:shd w:val="clear" w:color="auto" w:fill="FFFFFF"/>
              </w:rPr>
              <w:t>文件备份：对云主机或物理机防护目录下的目录和文件，系统进行备份。</w:t>
            </w:r>
          </w:p>
        </w:tc>
        <w:tc>
          <w:tcPr>
            <w:tcW w:w="758" w:type="dxa"/>
            <w:shd w:val="clear" w:color="auto" w:fill="auto"/>
            <w:vAlign w:val="center"/>
          </w:tcPr>
          <w:p w14:paraId="412EA5C6">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4FD05E71">
            <w:pPr>
              <w:spacing w:line="360" w:lineRule="auto"/>
              <w:jc w:val="center"/>
              <w:rPr>
                <w:rFonts w:ascii="宋体" w:hAnsi="宋体" w:cs="宋体"/>
                <w:sz w:val="24"/>
              </w:rPr>
            </w:pPr>
            <w:r>
              <w:rPr>
                <w:rFonts w:hint="eastAsia" w:ascii="宋体" w:hAnsi="宋体" w:cs="宋体"/>
                <w:sz w:val="24"/>
              </w:rPr>
              <w:t>台</w:t>
            </w:r>
          </w:p>
        </w:tc>
      </w:tr>
      <w:tr w14:paraId="0AFD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1AB9F83A">
            <w:pPr>
              <w:spacing w:line="360" w:lineRule="auto"/>
              <w:jc w:val="center"/>
              <w:rPr>
                <w:rFonts w:ascii="宋体" w:hAnsi="宋体" w:cs="宋体"/>
                <w:sz w:val="24"/>
              </w:rPr>
            </w:pPr>
            <w:r>
              <w:rPr>
                <w:rFonts w:hint="eastAsia" w:ascii="宋体" w:hAnsi="宋体" w:cs="宋体"/>
                <w:sz w:val="24"/>
              </w:rPr>
              <w:t>7</w:t>
            </w:r>
          </w:p>
        </w:tc>
        <w:tc>
          <w:tcPr>
            <w:tcW w:w="1747" w:type="dxa"/>
            <w:shd w:val="clear" w:color="auto" w:fill="auto"/>
            <w:vAlign w:val="center"/>
          </w:tcPr>
          <w:p w14:paraId="5070C2D2">
            <w:pPr>
              <w:spacing w:line="360" w:lineRule="auto"/>
              <w:rPr>
                <w:rFonts w:ascii="宋体" w:hAnsi="宋体" w:cs="宋体"/>
                <w:sz w:val="24"/>
              </w:rPr>
            </w:pPr>
            <w:r>
              <w:rPr>
                <w:rFonts w:hint="eastAsia" w:ascii="宋体" w:hAnsi="宋体" w:cs="宋体"/>
                <w:sz w:val="24"/>
              </w:rPr>
              <w:t>日志审计</w:t>
            </w:r>
          </w:p>
        </w:tc>
        <w:tc>
          <w:tcPr>
            <w:tcW w:w="4150" w:type="dxa"/>
            <w:vAlign w:val="center"/>
          </w:tcPr>
          <w:p w14:paraId="6CEF73D6">
            <w:pPr>
              <w:numPr>
                <w:ilvl w:val="0"/>
                <w:numId w:val="4"/>
              </w:numPr>
              <w:spacing w:line="360" w:lineRule="auto"/>
              <w:rPr>
                <w:rFonts w:ascii="宋体" w:hAnsi="宋体" w:cs="宋体"/>
                <w:sz w:val="24"/>
              </w:rPr>
            </w:pPr>
            <w:r>
              <w:rPr>
                <w:rFonts w:hint="eastAsia" w:ascii="宋体" w:hAnsi="宋体" w:cs="宋体"/>
                <w:sz w:val="24"/>
              </w:rPr>
              <w:t>运行环境：</w:t>
            </w:r>
            <w:r>
              <w:rPr>
                <w:rFonts w:hint="eastAsia" w:ascii="宋体" w:hAnsi="宋体" w:cs="宋体"/>
                <w:color w:val="000000"/>
                <w:kern w:val="0"/>
                <w:sz w:val="24"/>
                <w:lang w:bidi="ar"/>
              </w:rPr>
              <w:t>▲</w:t>
            </w:r>
            <w:r>
              <w:rPr>
                <w:rFonts w:hint="eastAsia" w:ascii="宋体" w:hAnsi="宋体" w:cs="宋体"/>
                <w:sz w:val="24"/>
              </w:rPr>
              <w:t>（1）产品要求集成数据库，无须再独立安装数据库系统亦无须对数据库进行专门的维护（2）系统采用 B/S 架构，管理员只需浏览器即可连接到(提供产品相关功能截图证明)</w:t>
            </w:r>
          </w:p>
          <w:p w14:paraId="11F09E78">
            <w:pPr>
              <w:numPr>
                <w:ilvl w:val="0"/>
                <w:numId w:val="4"/>
              </w:numPr>
              <w:spacing w:line="360" w:lineRule="auto"/>
              <w:rPr>
                <w:rFonts w:ascii="宋体" w:hAnsi="宋体" w:cs="宋体"/>
                <w:sz w:val="24"/>
              </w:rPr>
            </w:pPr>
            <w:r>
              <w:rPr>
                <w:rFonts w:hint="eastAsia" w:ascii="宋体" w:hAnsi="宋体" w:cs="宋体"/>
                <w:sz w:val="24"/>
              </w:rPr>
              <w:t>性能要求：能够平均每秒采集入库 400 条事件。(提供产品相关功能截图证明)</w:t>
            </w:r>
          </w:p>
          <w:p w14:paraId="1947B01F">
            <w:pPr>
              <w:numPr>
                <w:ilvl w:val="0"/>
                <w:numId w:val="4"/>
              </w:numPr>
              <w:spacing w:line="360" w:lineRule="auto"/>
              <w:rPr>
                <w:rFonts w:ascii="宋体" w:hAnsi="宋体" w:cs="宋体"/>
                <w:sz w:val="24"/>
              </w:rPr>
            </w:pPr>
            <w:r>
              <w:rPr>
                <w:rFonts w:hint="eastAsia" w:ascii="宋体" w:hAnsi="宋体" w:cs="宋体"/>
                <w:color w:val="000000"/>
                <w:kern w:val="0"/>
                <w:sz w:val="24"/>
                <w:lang w:bidi="ar"/>
              </w:rPr>
              <w:t>▲</w:t>
            </w:r>
            <w:r>
              <w:rPr>
                <w:rFonts w:hint="eastAsia" w:ascii="宋体" w:hAnsi="宋体" w:cs="宋体"/>
                <w:sz w:val="24"/>
              </w:rPr>
              <w:t>可视化图表：报表、报告，支持自定义内容配置，支持对系统中预置报表模板选择生产的时间进行预览、生成报表。支持在报表中以柱状图、曲线图、饼状图方式统计安全报警和原始日志情况;报表格式支持 PDF、Word 等文件格式，支持周期性生成报表并通过邮件推送用户(提供产品相关功能截图证明)</w:t>
            </w:r>
          </w:p>
          <w:p w14:paraId="035292B7">
            <w:pPr>
              <w:numPr>
                <w:ilvl w:val="0"/>
                <w:numId w:val="4"/>
              </w:numPr>
              <w:spacing w:line="360" w:lineRule="auto"/>
              <w:rPr>
                <w:rFonts w:ascii="宋体" w:hAnsi="宋体" w:cs="宋体"/>
                <w:sz w:val="24"/>
              </w:rPr>
            </w:pPr>
            <w:r>
              <w:rPr>
                <w:rFonts w:hint="eastAsia" w:ascii="宋体" w:hAnsi="宋体" w:cs="宋体"/>
                <w:sz w:val="24"/>
              </w:rPr>
              <w:t>日志查询：（1）系统允许管理员以查询场景的形式查看不同类型的；（2）用户可自定义查询场景，每个查询场景都要以查询；（3）自定义事件查询策略，基于事件分类的查询条件不少于 10 大项 50 小项。(提供产品相关功能截图证明)</w:t>
            </w:r>
          </w:p>
          <w:p w14:paraId="7BE82A4A">
            <w:pPr>
              <w:numPr>
                <w:ilvl w:val="0"/>
                <w:numId w:val="4"/>
              </w:numPr>
              <w:spacing w:line="360" w:lineRule="auto"/>
              <w:rPr>
                <w:rFonts w:ascii="宋体" w:hAnsi="宋体" w:cs="宋体"/>
                <w:sz w:val="24"/>
              </w:rPr>
            </w:pPr>
            <w:r>
              <w:rPr>
                <w:rFonts w:hint="eastAsia" w:ascii="宋体" w:hAnsi="宋体" w:cs="宋体"/>
                <w:color w:val="000000"/>
                <w:kern w:val="0"/>
                <w:sz w:val="24"/>
                <w:lang w:bidi="ar"/>
              </w:rPr>
              <w:t>▲</w:t>
            </w:r>
            <w:r>
              <w:rPr>
                <w:rFonts w:hint="eastAsia" w:ascii="宋体" w:hAnsi="宋体" w:cs="宋体"/>
                <w:sz w:val="24"/>
              </w:rPr>
              <w:t>对象资产管理（1）支持批量管理IP 地址、端口、时间、字符串、表等资源信息（2）在查询时便于选择特定对象下的某个或多个资源内容，帮助用户管理常用的过滤条件(提供产品相关功能截图证明)</w:t>
            </w:r>
          </w:p>
        </w:tc>
        <w:tc>
          <w:tcPr>
            <w:tcW w:w="758" w:type="dxa"/>
            <w:shd w:val="clear" w:color="auto" w:fill="auto"/>
            <w:vAlign w:val="center"/>
          </w:tcPr>
          <w:p w14:paraId="73ACE684">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18C92C2D">
            <w:pPr>
              <w:spacing w:line="360" w:lineRule="auto"/>
              <w:jc w:val="center"/>
              <w:rPr>
                <w:rFonts w:ascii="宋体" w:hAnsi="宋体" w:cs="宋体"/>
                <w:sz w:val="24"/>
              </w:rPr>
            </w:pPr>
            <w:r>
              <w:rPr>
                <w:rFonts w:hint="eastAsia" w:ascii="宋体" w:hAnsi="宋体" w:cs="宋体"/>
                <w:sz w:val="24"/>
              </w:rPr>
              <w:t>台</w:t>
            </w:r>
          </w:p>
        </w:tc>
      </w:tr>
      <w:tr w14:paraId="717B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028C727C">
            <w:pPr>
              <w:spacing w:line="360" w:lineRule="auto"/>
              <w:jc w:val="center"/>
              <w:rPr>
                <w:rFonts w:ascii="宋体" w:hAnsi="宋体" w:cs="宋体"/>
                <w:sz w:val="24"/>
              </w:rPr>
            </w:pPr>
            <w:r>
              <w:rPr>
                <w:rFonts w:hint="eastAsia" w:ascii="宋体" w:hAnsi="宋体" w:cs="宋体"/>
                <w:sz w:val="24"/>
              </w:rPr>
              <w:t>8</w:t>
            </w:r>
          </w:p>
        </w:tc>
        <w:tc>
          <w:tcPr>
            <w:tcW w:w="1747" w:type="dxa"/>
            <w:shd w:val="clear" w:color="auto" w:fill="auto"/>
            <w:vAlign w:val="center"/>
          </w:tcPr>
          <w:p w14:paraId="7A5B9585">
            <w:pPr>
              <w:spacing w:line="360" w:lineRule="auto"/>
              <w:jc w:val="center"/>
              <w:rPr>
                <w:rFonts w:ascii="宋体" w:hAnsi="宋体" w:cs="宋体"/>
                <w:sz w:val="24"/>
              </w:rPr>
            </w:pPr>
            <w:r>
              <w:rPr>
                <w:rFonts w:hint="eastAsia" w:ascii="宋体" w:hAnsi="宋体" w:cs="宋体"/>
                <w:sz w:val="24"/>
              </w:rPr>
              <w:t>主机安全</w:t>
            </w:r>
          </w:p>
        </w:tc>
        <w:tc>
          <w:tcPr>
            <w:tcW w:w="4150" w:type="dxa"/>
            <w:vAlign w:val="center"/>
          </w:tcPr>
          <w:p w14:paraId="628FF37E">
            <w:pPr>
              <w:numPr>
                <w:ilvl w:val="0"/>
                <w:numId w:val="5"/>
              </w:numPr>
              <w:spacing w:line="360" w:lineRule="auto"/>
              <w:rPr>
                <w:rFonts w:ascii="宋体" w:hAnsi="宋体" w:cs="宋体"/>
                <w:sz w:val="24"/>
              </w:rPr>
            </w:pPr>
            <w:r>
              <w:rPr>
                <w:rFonts w:hint="eastAsia" w:ascii="宋体" w:hAnsi="宋体" w:cs="宋体"/>
                <w:sz w:val="24"/>
              </w:rPr>
              <w:t>兼容多个操作系统Windows、CentOs 、Ubuntu、KylinOs V10、Uos V20等；(提供产品相关功能截图证明)</w:t>
            </w:r>
          </w:p>
          <w:p w14:paraId="5EC0A5E2">
            <w:pPr>
              <w:numPr>
                <w:ilvl w:val="0"/>
                <w:numId w:val="5"/>
              </w:numPr>
              <w:spacing w:line="360" w:lineRule="auto"/>
              <w:rPr>
                <w:rFonts w:ascii="宋体" w:hAnsi="宋体" w:cs="宋体"/>
                <w:sz w:val="24"/>
              </w:rPr>
            </w:pPr>
            <w:r>
              <w:rPr>
                <w:rFonts w:hint="eastAsia" w:ascii="宋体" w:hAnsi="宋体" w:cs="宋体"/>
                <w:sz w:val="24"/>
              </w:rPr>
              <w:t>支持通过可视化图形方式展示服务器和资产指纹统计情况，支持基于端口、账号、进程、软件多个维度进行 Top 排名；(提供产品相关功能截图证明)</w:t>
            </w:r>
          </w:p>
          <w:p w14:paraId="10A1AB21">
            <w:pPr>
              <w:numPr>
                <w:ilvl w:val="0"/>
                <w:numId w:val="5"/>
              </w:numPr>
              <w:spacing w:line="360" w:lineRule="auto"/>
              <w:rPr>
                <w:rFonts w:ascii="宋体" w:hAnsi="宋体" w:cs="宋体"/>
                <w:sz w:val="24"/>
              </w:rPr>
            </w:pPr>
            <w:r>
              <w:rPr>
                <w:rFonts w:hint="eastAsia" w:ascii="宋体" w:hAnsi="宋体" w:cs="宋体"/>
                <w:sz w:val="24"/>
              </w:rPr>
              <w:t>检测主机系统中的账号，支持展示用户名、是否设置密码、用户组、到期时间、上次登录时间、上次登录IP。(提供产品相关功能截图证明)</w:t>
            </w:r>
          </w:p>
          <w:p w14:paraId="38611498">
            <w:pPr>
              <w:numPr>
                <w:ilvl w:val="0"/>
                <w:numId w:val="5"/>
              </w:numPr>
              <w:spacing w:line="360" w:lineRule="auto"/>
              <w:rPr>
                <w:rFonts w:ascii="宋体" w:hAnsi="宋体" w:cs="宋体"/>
                <w:sz w:val="24"/>
              </w:rPr>
            </w:pPr>
            <w:r>
              <w:rPr>
                <w:rFonts w:hint="eastAsia" w:ascii="宋体" w:hAnsi="宋体" w:cs="宋体"/>
                <w:color w:val="000000"/>
                <w:kern w:val="0"/>
                <w:sz w:val="24"/>
                <w:lang w:bidi="ar"/>
              </w:rPr>
              <w:t>▲</w:t>
            </w:r>
            <w:r>
              <w:rPr>
                <w:rFonts w:hint="eastAsia" w:ascii="宋体" w:hAnsi="宋体" w:cs="宋体"/>
                <w:sz w:val="24"/>
              </w:rPr>
              <w:t>提供账户历史变更信息，根据账户变更情况，快速排查主机中的可疑账户，历史变更信息包括账号变动状态，修改账号名、管理员权限、用户组。(提供产品相关功能截图证明)</w:t>
            </w:r>
          </w:p>
          <w:p w14:paraId="40B972D2">
            <w:pPr>
              <w:numPr>
                <w:ilvl w:val="0"/>
                <w:numId w:val="5"/>
              </w:numPr>
              <w:spacing w:line="360" w:lineRule="auto"/>
              <w:rPr>
                <w:rFonts w:ascii="宋体" w:hAnsi="宋体" w:cs="宋体"/>
                <w:sz w:val="24"/>
              </w:rPr>
            </w:pPr>
            <w:r>
              <w:rPr>
                <w:rFonts w:hint="eastAsia" w:ascii="宋体" w:hAnsi="宋体" w:cs="宋体"/>
                <w:color w:val="000000"/>
                <w:kern w:val="0"/>
                <w:sz w:val="24"/>
                <w:lang w:bidi="ar"/>
              </w:rPr>
              <w:t>▲</w:t>
            </w:r>
            <w:r>
              <w:rPr>
                <w:rFonts w:hint="eastAsia" w:ascii="宋体" w:hAnsi="宋体" w:cs="宋体"/>
                <w:sz w:val="24"/>
              </w:rPr>
              <w:t>支持检测 Linux 软件漏洞、Windows 系统漏洞、Web-CMS 漏洞、应用漏洞，支持一键扫描和定时扫描方式可查看漏洞详细信息，并提供漏洞修复建议。(提供产品相关功能截图证明)</w:t>
            </w:r>
          </w:p>
        </w:tc>
        <w:tc>
          <w:tcPr>
            <w:tcW w:w="758" w:type="dxa"/>
            <w:shd w:val="clear" w:color="auto" w:fill="auto"/>
            <w:vAlign w:val="center"/>
          </w:tcPr>
          <w:p w14:paraId="02069E9F">
            <w:pPr>
              <w:spacing w:line="360" w:lineRule="auto"/>
              <w:jc w:val="center"/>
              <w:rPr>
                <w:rFonts w:ascii="宋体" w:hAnsi="宋体" w:cs="宋体"/>
                <w:sz w:val="24"/>
              </w:rPr>
            </w:pPr>
            <w:r>
              <w:rPr>
                <w:rFonts w:hint="eastAsia" w:ascii="宋体" w:hAnsi="宋体" w:cs="宋体"/>
                <w:sz w:val="24"/>
              </w:rPr>
              <w:t>2</w:t>
            </w:r>
          </w:p>
        </w:tc>
        <w:tc>
          <w:tcPr>
            <w:tcW w:w="830" w:type="dxa"/>
            <w:shd w:val="clear" w:color="auto" w:fill="auto"/>
            <w:vAlign w:val="center"/>
          </w:tcPr>
          <w:p w14:paraId="3715F3B1">
            <w:pPr>
              <w:spacing w:line="360" w:lineRule="auto"/>
              <w:jc w:val="center"/>
              <w:rPr>
                <w:rFonts w:ascii="宋体" w:hAnsi="宋体" w:cs="宋体"/>
                <w:sz w:val="24"/>
              </w:rPr>
            </w:pPr>
            <w:r>
              <w:rPr>
                <w:rFonts w:hint="eastAsia" w:ascii="宋体" w:hAnsi="宋体" w:cs="宋体"/>
                <w:sz w:val="24"/>
              </w:rPr>
              <w:t>台</w:t>
            </w:r>
          </w:p>
        </w:tc>
      </w:tr>
      <w:tr w14:paraId="41B7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55720C68">
            <w:pPr>
              <w:spacing w:line="360" w:lineRule="auto"/>
              <w:jc w:val="center"/>
              <w:rPr>
                <w:rFonts w:ascii="宋体" w:hAnsi="宋体" w:cs="宋体"/>
                <w:sz w:val="24"/>
              </w:rPr>
            </w:pPr>
            <w:r>
              <w:rPr>
                <w:rFonts w:hint="eastAsia" w:ascii="宋体" w:hAnsi="宋体" w:cs="宋体"/>
                <w:sz w:val="24"/>
              </w:rPr>
              <w:t>9</w:t>
            </w:r>
          </w:p>
        </w:tc>
        <w:tc>
          <w:tcPr>
            <w:tcW w:w="1747" w:type="dxa"/>
            <w:shd w:val="clear" w:color="auto" w:fill="auto"/>
            <w:vAlign w:val="center"/>
          </w:tcPr>
          <w:p w14:paraId="0693C107">
            <w:pPr>
              <w:spacing w:line="360" w:lineRule="auto"/>
              <w:rPr>
                <w:rFonts w:ascii="宋体" w:hAnsi="宋体" w:cs="宋体"/>
                <w:sz w:val="24"/>
              </w:rPr>
            </w:pPr>
            <w:r>
              <w:rPr>
                <w:rFonts w:hint="eastAsia" w:ascii="宋体" w:hAnsi="宋体" w:cs="宋体"/>
                <w:sz w:val="24"/>
              </w:rPr>
              <w:t>SSL证书</w:t>
            </w:r>
          </w:p>
        </w:tc>
        <w:tc>
          <w:tcPr>
            <w:tcW w:w="4150" w:type="dxa"/>
            <w:vAlign w:val="center"/>
          </w:tcPr>
          <w:p w14:paraId="3AF5B876">
            <w:pPr>
              <w:numPr>
                <w:ilvl w:val="0"/>
                <w:numId w:val="6"/>
              </w:numPr>
              <w:spacing w:line="360" w:lineRule="auto"/>
              <w:rPr>
                <w:rFonts w:ascii="宋体" w:hAnsi="宋体" w:cs="宋体"/>
                <w:sz w:val="24"/>
                <w:shd w:val="clear" w:color="auto" w:fill="FFFFFF"/>
              </w:rPr>
            </w:pPr>
            <w:r>
              <w:rPr>
                <w:rFonts w:hint="eastAsia" w:ascii="宋体" w:hAnsi="宋体" w:cs="宋体"/>
                <w:sz w:val="24"/>
                <w:shd w:val="clear" w:color="auto" w:fill="FFFFFF"/>
              </w:rPr>
              <w:t>全面支持国际主流的RSA和ECC标准加密算法，适配用户密钥加密长度，同时支持我国商用密码SM2及相关标准算法。</w:t>
            </w:r>
          </w:p>
          <w:p w14:paraId="4A4904E8">
            <w:pPr>
              <w:numPr>
                <w:ilvl w:val="0"/>
                <w:numId w:val="6"/>
              </w:numPr>
              <w:spacing w:line="360" w:lineRule="auto"/>
              <w:rPr>
                <w:rFonts w:ascii="宋体" w:hAnsi="宋体" w:cs="宋体"/>
                <w:sz w:val="24"/>
                <w:shd w:val="clear" w:color="auto" w:fill="FFFFFF"/>
              </w:rPr>
            </w:pPr>
            <w:r>
              <w:rPr>
                <w:rFonts w:hint="eastAsia" w:ascii="宋体" w:hAnsi="宋体" w:cs="宋体"/>
                <w:sz w:val="24"/>
                <w:shd w:val="clear" w:color="auto" w:fill="FFFFFF"/>
              </w:rPr>
              <w:t>兼容性关系到用户访问时浏览器是否会正确给予网页安全的提示，支持目前99%主流的浏览器和移动设备。兼容性关系到用户访问时浏览器是否会正确给予网页安全的提示，支持目前99%主流的浏览器和移动设备。</w:t>
            </w:r>
          </w:p>
        </w:tc>
        <w:tc>
          <w:tcPr>
            <w:tcW w:w="758" w:type="dxa"/>
            <w:shd w:val="clear" w:color="auto" w:fill="auto"/>
            <w:vAlign w:val="center"/>
          </w:tcPr>
          <w:p w14:paraId="4EDAEE84">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5F2D809F">
            <w:pPr>
              <w:spacing w:line="360" w:lineRule="auto"/>
              <w:jc w:val="center"/>
              <w:rPr>
                <w:rFonts w:ascii="宋体" w:hAnsi="宋体" w:cs="宋体"/>
                <w:sz w:val="24"/>
              </w:rPr>
            </w:pPr>
            <w:r>
              <w:rPr>
                <w:rFonts w:hint="eastAsia" w:ascii="宋体" w:hAnsi="宋体" w:cs="宋体"/>
                <w:sz w:val="24"/>
              </w:rPr>
              <w:t>项</w:t>
            </w:r>
          </w:p>
        </w:tc>
      </w:tr>
      <w:tr w14:paraId="3E8F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2A6B3A90">
            <w:pPr>
              <w:spacing w:line="360" w:lineRule="auto"/>
              <w:jc w:val="center"/>
              <w:rPr>
                <w:rFonts w:ascii="宋体" w:hAnsi="宋体" w:cs="宋体"/>
                <w:sz w:val="24"/>
              </w:rPr>
            </w:pPr>
            <w:r>
              <w:rPr>
                <w:rFonts w:hint="eastAsia" w:ascii="宋体" w:hAnsi="宋体" w:cs="宋体"/>
                <w:sz w:val="24"/>
              </w:rPr>
              <w:t>10</w:t>
            </w:r>
          </w:p>
        </w:tc>
        <w:tc>
          <w:tcPr>
            <w:tcW w:w="1747" w:type="dxa"/>
            <w:shd w:val="clear" w:color="auto" w:fill="auto"/>
            <w:vAlign w:val="center"/>
          </w:tcPr>
          <w:p w14:paraId="33FC7000">
            <w:pPr>
              <w:spacing w:line="360" w:lineRule="auto"/>
              <w:jc w:val="center"/>
              <w:rPr>
                <w:rFonts w:ascii="宋体" w:hAnsi="宋体" w:cs="宋体"/>
                <w:sz w:val="24"/>
              </w:rPr>
            </w:pPr>
            <w:r>
              <w:rPr>
                <w:rFonts w:hint="eastAsia" w:ascii="宋体" w:hAnsi="宋体" w:cs="宋体"/>
                <w:sz w:val="24"/>
              </w:rPr>
              <w:t>Web应用防火墙</w:t>
            </w:r>
          </w:p>
        </w:tc>
        <w:tc>
          <w:tcPr>
            <w:tcW w:w="4150" w:type="dxa"/>
            <w:vAlign w:val="center"/>
          </w:tcPr>
          <w:p w14:paraId="0D81DE50">
            <w:pPr>
              <w:spacing w:line="360" w:lineRule="auto"/>
              <w:rPr>
                <w:rFonts w:ascii="宋体" w:hAnsi="宋体" w:cs="宋体"/>
                <w:sz w:val="24"/>
              </w:rPr>
            </w:pPr>
            <w:r>
              <w:rPr>
                <w:rFonts w:hint="eastAsia" w:ascii="宋体" w:hAnsi="宋体" w:cs="宋体"/>
                <w:sz w:val="24"/>
              </w:rPr>
              <w:t>1.</w:t>
            </w:r>
            <w:r>
              <w:rPr>
                <w:rFonts w:hint="eastAsia" w:ascii="宋体" w:hAnsi="宋体" w:cs="宋体"/>
                <w:color w:val="000000"/>
                <w:kern w:val="0"/>
                <w:sz w:val="24"/>
                <w:lang w:bidi="ar"/>
              </w:rPr>
              <w:t>▲</w:t>
            </w:r>
            <w:r>
              <w:rPr>
                <w:rFonts w:hint="eastAsia" w:ascii="宋体" w:hAnsi="宋体" w:cs="宋体"/>
                <w:sz w:val="24"/>
              </w:rPr>
              <w:t>支持监测网站中内链和外链支持IPv6地址访问的链接比例，并提供所有链接的检测结果，包括链接层级、状态码、访问用时、IPv6地址等信息（要求提供截图，并盖原厂章）</w:t>
            </w:r>
          </w:p>
          <w:p w14:paraId="2BC9F70E">
            <w:pPr>
              <w:spacing w:line="360" w:lineRule="auto"/>
              <w:rPr>
                <w:rFonts w:ascii="宋体" w:hAnsi="宋体" w:cs="宋体"/>
                <w:sz w:val="24"/>
              </w:rPr>
            </w:pPr>
            <w:r>
              <w:rPr>
                <w:rFonts w:hint="eastAsia" w:ascii="宋体" w:hAnsi="宋体" w:cs="宋体"/>
                <w:sz w:val="24"/>
              </w:rPr>
              <w:t>2.</w:t>
            </w:r>
            <w:r>
              <w:rPr>
                <w:rFonts w:hint="eastAsia" w:ascii="宋体" w:hAnsi="宋体" w:cs="宋体"/>
                <w:color w:val="000000"/>
                <w:kern w:val="0"/>
                <w:sz w:val="24"/>
                <w:lang w:bidi="ar"/>
              </w:rPr>
              <w:t>▲</w:t>
            </w:r>
            <w:r>
              <w:rPr>
                <w:rFonts w:hint="eastAsia" w:ascii="宋体" w:hAnsi="宋体" w:cs="宋体"/>
                <w:sz w:val="24"/>
              </w:rPr>
              <w:t>支持检测首页一致性、首页IPv6访问成功率、域名一致性、地址可解析性等网站指标；以及自定义扫描频率、扫描模式、最大链接数、最大线程数、首页响应时间、首页加载时间、链接响应时间、链接加载时间等配置，扫描频率最低支持24小时（要求提供截图，并盖原厂章）</w:t>
            </w:r>
          </w:p>
          <w:p w14:paraId="3F7DBC83">
            <w:pPr>
              <w:spacing w:line="360" w:lineRule="auto"/>
              <w:rPr>
                <w:rFonts w:ascii="宋体" w:hAnsi="宋体" w:cs="宋体"/>
                <w:sz w:val="24"/>
              </w:rPr>
            </w:pPr>
            <w:r>
              <w:rPr>
                <w:rFonts w:hint="eastAsia" w:ascii="宋体" w:hAnsi="宋体" w:cs="宋体"/>
                <w:sz w:val="24"/>
              </w:rPr>
              <w:t>3.</w:t>
            </w:r>
            <w:r>
              <w:rPr>
                <w:rFonts w:hint="eastAsia" w:ascii="宋体" w:hAnsi="宋体" w:cs="宋体"/>
                <w:color w:val="000000"/>
                <w:kern w:val="0"/>
                <w:sz w:val="24"/>
                <w:lang w:bidi="ar"/>
              </w:rPr>
              <w:t>▲</w:t>
            </w:r>
            <w:r>
              <w:rPr>
                <w:rFonts w:hint="eastAsia" w:ascii="宋体" w:hAnsi="宋体" w:cs="宋体"/>
                <w:sz w:val="24"/>
              </w:rPr>
              <w:t>对于APP，支持通过动态令牌校验、调试检测、Root检测、Hook检测、模拟器检测、双开检测、代理检测、二次打包检测等技术识别机器流量；对于微信小程序，支持通过动态令牌校验、Appid检测、微信平台检测等技术识别机器流量（要求提供截图，并盖原厂章）</w:t>
            </w:r>
          </w:p>
          <w:p w14:paraId="6C415346">
            <w:pPr>
              <w:spacing w:line="360" w:lineRule="auto"/>
              <w:rPr>
                <w:rFonts w:ascii="宋体" w:hAnsi="宋体" w:cs="宋体"/>
                <w:sz w:val="24"/>
              </w:rPr>
            </w:pPr>
            <w:r>
              <w:rPr>
                <w:rFonts w:hint="eastAsia" w:ascii="宋体" w:hAnsi="宋体" w:cs="宋体"/>
                <w:sz w:val="24"/>
              </w:rPr>
              <w:t>4.支持监测IPv4、IPv6站点；监测协议至少支持HTTP/HTTPS/TCP；对于HTTPS站点支持SSL证书监测，可发现包括证书不匹配、证书过期等问题（要求提供截图，并盖原厂章）</w:t>
            </w:r>
          </w:p>
          <w:p w14:paraId="1BC94154">
            <w:pPr>
              <w:spacing w:line="360" w:lineRule="auto"/>
              <w:rPr>
                <w:rFonts w:ascii="宋体" w:hAnsi="宋体" w:cs="宋体"/>
              </w:rPr>
            </w:pPr>
            <w:r>
              <w:rPr>
                <w:rFonts w:hint="eastAsia" w:ascii="宋体" w:hAnsi="宋体" w:cs="宋体"/>
                <w:sz w:val="24"/>
              </w:rPr>
              <w:t>5.</w:t>
            </w:r>
            <w:r>
              <w:rPr>
                <w:rFonts w:hint="eastAsia" w:ascii="宋体" w:hAnsi="宋体" w:cs="宋体"/>
                <w:color w:val="000000"/>
                <w:kern w:val="0"/>
                <w:sz w:val="24"/>
                <w:lang w:bidi="ar"/>
              </w:rPr>
              <w:t>▲</w:t>
            </w:r>
            <w:r>
              <w:rPr>
                <w:rFonts w:hint="eastAsia" w:ascii="宋体" w:hAnsi="宋体" w:cs="宋体"/>
                <w:sz w:val="24"/>
              </w:rPr>
              <w:t>对现有网络及相关信息系统进行 IPv6 改造，改造内容需符合国家及行业现行IPv6相关标准规范，确保改造后系统具备IPv6地址转换、路由转发等基础功能，可实现与IPv6网络环境的正常互联互通，并保障业务数据在IPv6网络环境下的稳定传输与安全运行。</w:t>
            </w:r>
          </w:p>
        </w:tc>
        <w:tc>
          <w:tcPr>
            <w:tcW w:w="758" w:type="dxa"/>
            <w:shd w:val="clear" w:color="auto" w:fill="auto"/>
            <w:vAlign w:val="center"/>
          </w:tcPr>
          <w:p w14:paraId="7007CEF6">
            <w:pPr>
              <w:spacing w:line="360" w:lineRule="auto"/>
              <w:jc w:val="center"/>
              <w:rPr>
                <w:rFonts w:ascii="宋体" w:hAnsi="宋体" w:cs="宋体"/>
                <w:sz w:val="24"/>
              </w:rPr>
            </w:pPr>
            <w:r>
              <w:rPr>
                <w:rFonts w:hint="eastAsia" w:ascii="宋体" w:hAnsi="宋体" w:cs="宋体"/>
                <w:sz w:val="24"/>
              </w:rPr>
              <w:t>1</w:t>
            </w:r>
          </w:p>
        </w:tc>
        <w:tc>
          <w:tcPr>
            <w:tcW w:w="830" w:type="dxa"/>
            <w:shd w:val="clear" w:color="auto" w:fill="auto"/>
            <w:vAlign w:val="center"/>
          </w:tcPr>
          <w:p w14:paraId="3EE6B9C2">
            <w:pPr>
              <w:spacing w:line="360" w:lineRule="auto"/>
              <w:jc w:val="center"/>
              <w:rPr>
                <w:rFonts w:ascii="宋体" w:hAnsi="宋体" w:cs="宋体"/>
                <w:sz w:val="24"/>
              </w:rPr>
            </w:pPr>
            <w:r>
              <w:rPr>
                <w:rFonts w:hint="eastAsia" w:ascii="宋体" w:hAnsi="宋体" w:cs="宋体"/>
                <w:sz w:val="24"/>
              </w:rPr>
              <w:t>项</w:t>
            </w:r>
          </w:p>
        </w:tc>
      </w:tr>
    </w:tbl>
    <w:p w14:paraId="190D7173">
      <w:bookmarkStart w:id="18" w:name="_Toc25700"/>
    </w:p>
    <w:p w14:paraId="3A5347FA">
      <w:pPr>
        <w:spacing w:line="360" w:lineRule="auto"/>
        <w:rPr>
          <w:rFonts w:ascii="宋体" w:hAnsi="宋体" w:cs="宋体"/>
          <w:b/>
          <w:sz w:val="24"/>
        </w:rPr>
      </w:pPr>
      <w:r>
        <w:rPr>
          <w:rFonts w:hint="eastAsia" w:ascii="宋体" w:hAnsi="宋体" w:cs="宋体"/>
          <w:b/>
          <w:sz w:val="24"/>
        </w:rPr>
        <w:br w:type="page"/>
      </w:r>
    </w:p>
    <w:p w14:paraId="3C5BD0B8">
      <w:pPr>
        <w:adjustRightInd w:val="0"/>
        <w:snapToGrid w:val="0"/>
        <w:spacing w:line="360" w:lineRule="auto"/>
        <w:jc w:val="center"/>
        <w:outlineLvl w:val="0"/>
        <w:rPr>
          <w:rFonts w:ascii="宋体" w:hAnsi="宋体" w:cs="宋体"/>
          <w:b/>
          <w:sz w:val="28"/>
          <w:szCs w:val="28"/>
        </w:rPr>
      </w:pPr>
      <w:r>
        <w:rPr>
          <w:rFonts w:hint="eastAsia" w:ascii="宋体" w:hAnsi="宋体" w:cs="宋体"/>
          <w:b/>
          <w:sz w:val="28"/>
          <w:szCs w:val="28"/>
        </w:rPr>
        <w:t>第三章  供应商须知</w:t>
      </w:r>
      <w:bookmarkEnd w:id="18"/>
    </w:p>
    <w:p w14:paraId="14D603B6">
      <w:pPr>
        <w:adjustRightInd w:val="0"/>
        <w:snapToGrid w:val="0"/>
        <w:spacing w:line="360" w:lineRule="auto"/>
        <w:jc w:val="center"/>
        <w:rPr>
          <w:rFonts w:ascii="宋体" w:hAnsi="宋体" w:cs="宋体"/>
          <w:b/>
          <w:sz w:val="24"/>
        </w:rPr>
      </w:pPr>
      <w:r>
        <w:rPr>
          <w:rFonts w:hint="eastAsia" w:ascii="宋体" w:hAnsi="宋体" w:cs="宋体"/>
          <w:b/>
          <w:sz w:val="24"/>
        </w:rPr>
        <w:t>供应商须知前附表</w:t>
      </w:r>
    </w:p>
    <w:p w14:paraId="14393345">
      <w:pPr>
        <w:spacing w:line="360" w:lineRule="auto"/>
        <w:ind w:firstLine="482"/>
        <w:rPr>
          <w:rFonts w:ascii="宋体" w:hAnsi="宋体" w:cs="宋体"/>
          <w:sz w:val="24"/>
        </w:rPr>
      </w:pPr>
      <w:r>
        <w:rPr>
          <w:rFonts w:hint="eastAsia" w:ascii="宋体" w:hAnsi="宋体" w:cs="宋体"/>
          <w:bCs/>
          <w:sz w:val="24"/>
        </w:rPr>
        <w:t>“供应商须知前附表”根据项目的具体特点和实际需要编制，用于进一步明确正文中未尽事宜，如有与本章正文内容不一致的，以本表的内容为准。</w:t>
      </w:r>
    </w:p>
    <w:tbl>
      <w:tblPr>
        <w:tblStyle w:val="13"/>
        <w:tblW w:w="8295" w:type="dxa"/>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256"/>
        <w:gridCol w:w="5399"/>
      </w:tblGrid>
      <w:tr w14:paraId="559084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0EEA6FF2">
            <w:pPr>
              <w:pStyle w:val="22"/>
              <w:snapToGrid w:val="0"/>
              <w:spacing w:line="360" w:lineRule="auto"/>
              <w:ind w:left="9"/>
              <w:jc w:val="center"/>
              <w:rPr>
                <w:b/>
                <w:lang w:val="zh-CN"/>
              </w:rPr>
            </w:pPr>
            <w:r>
              <w:rPr>
                <w:rFonts w:hint="eastAsia"/>
                <w:b/>
                <w:lang w:val="zh-CN"/>
              </w:rPr>
              <w:t xml:space="preserve">序号 </w:t>
            </w:r>
          </w:p>
        </w:tc>
        <w:tc>
          <w:tcPr>
            <w:tcW w:w="2256" w:type="dxa"/>
            <w:tcBorders>
              <w:top w:val="single" w:color="auto" w:sz="18" w:space="0"/>
              <w:left w:val="single" w:color="auto" w:sz="4" w:space="0"/>
              <w:bottom w:val="single" w:color="auto" w:sz="8" w:space="0"/>
              <w:right w:val="single" w:color="auto" w:sz="8" w:space="0"/>
            </w:tcBorders>
            <w:vAlign w:val="center"/>
          </w:tcPr>
          <w:p w14:paraId="076511A0">
            <w:pPr>
              <w:pStyle w:val="22"/>
              <w:snapToGrid w:val="0"/>
              <w:spacing w:line="360" w:lineRule="auto"/>
              <w:jc w:val="center"/>
              <w:rPr>
                <w:b/>
                <w:lang w:val="zh-CN"/>
              </w:rPr>
            </w:pPr>
            <w:r>
              <w:rPr>
                <w:rFonts w:hint="eastAsia"/>
                <w:b/>
                <w:lang w:val="zh-CN"/>
              </w:rPr>
              <w:t xml:space="preserve">条款名称 </w:t>
            </w:r>
          </w:p>
        </w:tc>
        <w:tc>
          <w:tcPr>
            <w:tcW w:w="5399" w:type="dxa"/>
            <w:tcBorders>
              <w:top w:val="single" w:color="auto" w:sz="18" w:space="0"/>
              <w:left w:val="single" w:color="auto" w:sz="8" w:space="0"/>
              <w:bottom w:val="single" w:color="auto" w:sz="8" w:space="0"/>
              <w:right w:val="single" w:color="auto" w:sz="18" w:space="0"/>
            </w:tcBorders>
            <w:vAlign w:val="center"/>
          </w:tcPr>
          <w:p w14:paraId="4E9B06D1">
            <w:pPr>
              <w:pStyle w:val="22"/>
              <w:snapToGrid w:val="0"/>
              <w:spacing w:line="360" w:lineRule="auto"/>
              <w:jc w:val="center"/>
              <w:rPr>
                <w:b/>
                <w:lang w:val="zh-CN"/>
              </w:rPr>
            </w:pPr>
            <w:r>
              <w:rPr>
                <w:rFonts w:hint="eastAsia"/>
                <w:b/>
                <w:lang w:val="zh-CN"/>
              </w:rPr>
              <w:t>说明和要求</w:t>
            </w:r>
          </w:p>
        </w:tc>
      </w:tr>
      <w:tr w14:paraId="48D138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2F67EF01">
            <w:pPr>
              <w:pStyle w:val="22"/>
              <w:snapToGrid w:val="0"/>
              <w:spacing w:line="360" w:lineRule="auto"/>
              <w:jc w:val="center"/>
              <w:rPr>
                <w:bCs/>
              </w:rPr>
            </w:pPr>
            <w:r>
              <w:rPr>
                <w:rFonts w:hint="eastAsia"/>
                <w:bCs/>
              </w:rPr>
              <w:t>1</w:t>
            </w:r>
          </w:p>
        </w:tc>
        <w:tc>
          <w:tcPr>
            <w:tcW w:w="2256" w:type="dxa"/>
            <w:tcBorders>
              <w:top w:val="single" w:color="auto" w:sz="8" w:space="0"/>
              <w:left w:val="single" w:color="auto" w:sz="4" w:space="0"/>
              <w:bottom w:val="single" w:color="auto" w:sz="8" w:space="0"/>
              <w:right w:val="single" w:color="auto" w:sz="8" w:space="0"/>
            </w:tcBorders>
            <w:vAlign w:val="center"/>
          </w:tcPr>
          <w:p w14:paraId="34F0333D">
            <w:pPr>
              <w:adjustRightInd w:val="0"/>
              <w:snapToGrid w:val="0"/>
              <w:spacing w:line="360" w:lineRule="auto"/>
              <w:ind w:left="150" w:leftChars="50"/>
              <w:rPr>
                <w:rFonts w:ascii="宋体" w:hAnsi="宋体" w:cs="宋体"/>
                <w:bCs/>
                <w:kern w:val="0"/>
                <w:sz w:val="24"/>
                <w:lang w:val="zh-CN"/>
              </w:rPr>
            </w:pPr>
            <w:r>
              <w:rPr>
                <w:rFonts w:hint="eastAsia" w:ascii="宋体" w:hAnsi="宋体" w:cs="宋体"/>
                <w:bCs/>
                <w:kern w:val="0"/>
                <w:sz w:val="24"/>
                <w:lang w:val="zh-CN"/>
              </w:rPr>
              <w:t>有无带</w:t>
            </w:r>
            <w:r>
              <w:rPr>
                <w:rFonts w:hint="eastAsia" w:ascii="宋体" w:hAnsi="宋体" w:cs="宋体"/>
                <w:bCs/>
                <w:sz w:val="24"/>
              </w:rPr>
              <w:t>★</w:t>
            </w:r>
            <w:r>
              <w:rPr>
                <w:rFonts w:hint="eastAsia" w:ascii="宋体" w:hAnsi="宋体" w:cs="宋体"/>
                <w:bCs/>
                <w:kern w:val="0"/>
                <w:sz w:val="24"/>
                <w:lang w:val="zh-CN"/>
              </w:rPr>
              <w:t>要求</w:t>
            </w:r>
          </w:p>
        </w:tc>
        <w:tc>
          <w:tcPr>
            <w:tcW w:w="5399" w:type="dxa"/>
            <w:tcBorders>
              <w:top w:val="single" w:color="auto" w:sz="8" w:space="0"/>
              <w:left w:val="single" w:color="auto" w:sz="8" w:space="0"/>
              <w:bottom w:val="single" w:color="auto" w:sz="8" w:space="0"/>
              <w:right w:val="single" w:color="auto" w:sz="18" w:space="0"/>
            </w:tcBorders>
            <w:vAlign w:val="center"/>
          </w:tcPr>
          <w:p w14:paraId="65DF4473">
            <w:pPr>
              <w:pStyle w:val="5"/>
              <w:spacing w:line="360" w:lineRule="auto"/>
              <w:ind w:left="150" w:leftChars="50"/>
              <w:rPr>
                <w:rFonts w:ascii="宋体" w:hAnsi="宋体" w:cs="宋体"/>
                <w:bCs/>
                <w:sz w:val="24"/>
                <w:lang w:val="zh-CN"/>
              </w:rPr>
            </w:pPr>
            <w:r>
              <w:rPr>
                <w:rFonts w:hint="eastAsia" w:ascii="宋体" w:hAnsi="宋体" w:cs="宋体"/>
                <w:bCs/>
                <w:sz w:val="24"/>
              </w:rPr>
              <w:t>无。</w:t>
            </w:r>
          </w:p>
        </w:tc>
      </w:tr>
      <w:tr w14:paraId="42F1DC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0" w:hRule="atLeast"/>
        </w:trPr>
        <w:tc>
          <w:tcPr>
            <w:tcW w:w="640" w:type="dxa"/>
            <w:tcBorders>
              <w:top w:val="single" w:color="auto" w:sz="8" w:space="0"/>
              <w:left w:val="single" w:color="auto" w:sz="18" w:space="0"/>
              <w:bottom w:val="single" w:color="auto" w:sz="8" w:space="0"/>
              <w:right w:val="single" w:color="auto" w:sz="8" w:space="0"/>
            </w:tcBorders>
            <w:vAlign w:val="center"/>
          </w:tcPr>
          <w:p w14:paraId="61243031">
            <w:pPr>
              <w:pStyle w:val="22"/>
              <w:snapToGrid w:val="0"/>
              <w:spacing w:line="360" w:lineRule="auto"/>
              <w:ind w:left="9"/>
              <w:jc w:val="center"/>
              <w:rPr>
                <w:bCs/>
                <w:lang w:val="zh-CN"/>
              </w:rPr>
            </w:pPr>
            <w:r>
              <w:rPr>
                <w:rFonts w:hint="eastAsia"/>
                <w:bCs/>
              </w:rPr>
              <w:t>2</w:t>
            </w:r>
          </w:p>
        </w:tc>
        <w:tc>
          <w:tcPr>
            <w:tcW w:w="2256" w:type="dxa"/>
            <w:tcBorders>
              <w:top w:val="single" w:color="auto" w:sz="8" w:space="0"/>
              <w:left w:val="single" w:color="auto" w:sz="4" w:space="0"/>
              <w:bottom w:val="single" w:color="auto" w:sz="8" w:space="0"/>
              <w:right w:val="single" w:color="auto" w:sz="8" w:space="0"/>
            </w:tcBorders>
            <w:vAlign w:val="center"/>
          </w:tcPr>
          <w:p w14:paraId="48AA27A3">
            <w:pPr>
              <w:adjustRightInd w:val="0"/>
              <w:snapToGrid w:val="0"/>
              <w:spacing w:line="360" w:lineRule="auto"/>
              <w:ind w:left="150" w:leftChars="50"/>
              <w:rPr>
                <w:rFonts w:ascii="宋体" w:hAnsi="宋体" w:cs="宋体"/>
                <w:bCs/>
                <w:kern w:val="0"/>
                <w:sz w:val="24"/>
              </w:rPr>
            </w:pPr>
            <w:r>
              <w:rPr>
                <w:rFonts w:hint="eastAsia" w:ascii="宋体" w:hAnsi="宋体" w:cs="宋体"/>
                <w:bCs/>
                <w:kern w:val="0"/>
                <w:sz w:val="24"/>
                <w:lang w:val="zh-CN"/>
              </w:rPr>
              <w:t>是否接受进口产品</w:t>
            </w:r>
            <w:r>
              <w:rPr>
                <w:rFonts w:hint="eastAsia" w:ascii="宋体" w:hAnsi="宋体" w:cs="宋体"/>
                <w:bCs/>
                <w:kern w:val="0"/>
                <w:sz w:val="24"/>
              </w:rPr>
              <w:t>响应</w:t>
            </w:r>
          </w:p>
        </w:tc>
        <w:tc>
          <w:tcPr>
            <w:tcW w:w="5399" w:type="dxa"/>
            <w:tcBorders>
              <w:top w:val="single" w:color="auto" w:sz="8" w:space="0"/>
              <w:left w:val="single" w:color="auto" w:sz="8" w:space="0"/>
              <w:bottom w:val="single" w:color="auto" w:sz="8" w:space="0"/>
              <w:right w:val="single" w:color="auto" w:sz="18" w:space="0"/>
            </w:tcBorders>
            <w:vAlign w:val="center"/>
          </w:tcPr>
          <w:p w14:paraId="32366FCA">
            <w:pPr>
              <w:adjustRightInd w:val="0"/>
              <w:snapToGrid w:val="0"/>
              <w:spacing w:line="360" w:lineRule="auto"/>
              <w:ind w:left="150" w:leftChars="50"/>
              <w:rPr>
                <w:rFonts w:ascii="宋体" w:hAnsi="宋体" w:cs="宋体"/>
                <w:bCs/>
                <w:sz w:val="24"/>
                <w:lang w:val="zh-CN"/>
              </w:rPr>
            </w:pPr>
            <w:r>
              <w:rPr>
                <w:rFonts w:hint="eastAsia" w:ascii="宋体" w:hAnsi="宋体" w:cs="宋体"/>
                <w:bCs/>
                <w:sz w:val="24"/>
                <w:lang w:val="zh-CN"/>
              </w:rPr>
              <w:t>不接受</w:t>
            </w:r>
          </w:p>
        </w:tc>
      </w:tr>
      <w:tr w14:paraId="5E7E36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9" w:hRule="atLeast"/>
        </w:trPr>
        <w:tc>
          <w:tcPr>
            <w:tcW w:w="640" w:type="dxa"/>
            <w:tcBorders>
              <w:top w:val="single" w:color="auto" w:sz="8" w:space="0"/>
              <w:left w:val="single" w:color="auto" w:sz="18" w:space="0"/>
              <w:bottom w:val="single" w:color="auto" w:sz="8" w:space="0"/>
              <w:right w:val="single" w:color="auto" w:sz="8" w:space="0"/>
            </w:tcBorders>
            <w:vAlign w:val="center"/>
          </w:tcPr>
          <w:p w14:paraId="13D16DE9">
            <w:pPr>
              <w:pStyle w:val="22"/>
              <w:snapToGrid w:val="0"/>
              <w:spacing w:line="360" w:lineRule="auto"/>
              <w:ind w:left="9"/>
              <w:jc w:val="center"/>
              <w:rPr>
                <w:bCs/>
                <w:lang w:val="zh-CN"/>
              </w:rPr>
            </w:pPr>
            <w:r>
              <w:rPr>
                <w:rFonts w:hint="eastAsia"/>
                <w:bCs/>
              </w:rPr>
              <w:t>3</w:t>
            </w:r>
          </w:p>
        </w:tc>
        <w:tc>
          <w:tcPr>
            <w:tcW w:w="2256" w:type="dxa"/>
            <w:tcBorders>
              <w:top w:val="single" w:color="auto" w:sz="8" w:space="0"/>
              <w:left w:val="single" w:color="auto" w:sz="4" w:space="0"/>
              <w:bottom w:val="single" w:color="auto" w:sz="8" w:space="0"/>
              <w:right w:val="single" w:color="auto" w:sz="8" w:space="0"/>
            </w:tcBorders>
            <w:vAlign w:val="center"/>
          </w:tcPr>
          <w:p w14:paraId="55C6CDB2">
            <w:pPr>
              <w:adjustRightInd w:val="0"/>
              <w:snapToGrid w:val="0"/>
              <w:spacing w:line="360" w:lineRule="auto"/>
              <w:ind w:left="150" w:leftChars="50"/>
              <w:jc w:val="left"/>
              <w:rPr>
                <w:rFonts w:ascii="宋体" w:hAnsi="宋体" w:cs="宋体"/>
                <w:bCs/>
                <w:sz w:val="24"/>
              </w:rPr>
            </w:pPr>
            <w:r>
              <w:rPr>
                <w:rFonts w:hint="eastAsia" w:ascii="宋体" w:hAnsi="宋体" w:cs="宋体"/>
                <w:bCs/>
                <w:sz w:val="24"/>
              </w:rPr>
              <w:t>标前现场考察或/和标前答疑会</w:t>
            </w:r>
          </w:p>
        </w:tc>
        <w:tc>
          <w:tcPr>
            <w:tcW w:w="5399" w:type="dxa"/>
            <w:tcBorders>
              <w:top w:val="single" w:color="auto" w:sz="8" w:space="0"/>
              <w:left w:val="single" w:color="auto" w:sz="8" w:space="0"/>
              <w:bottom w:val="single" w:color="auto" w:sz="8" w:space="0"/>
              <w:right w:val="single" w:color="auto" w:sz="18" w:space="0"/>
            </w:tcBorders>
            <w:vAlign w:val="center"/>
          </w:tcPr>
          <w:p w14:paraId="1BC0CD09">
            <w:pPr>
              <w:adjustRightInd w:val="0"/>
              <w:snapToGrid w:val="0"/>
              <w:spacing w:line="360" w:lineRule="auto"/>
              <w:ind w:left="150" w:leftChars="50"/>
              <w:rPr>
                <w:rFonts w:ascii="宋体" w:hAnsi="宋体" w:cs="宋体"/>
                <w:bCs/>
                <w:sz w:val="24"/>
                <w:lang w:val="zh-CN"/>
              </w:rPr>
            </w:pPr>
            <w:r>
              <w:rPr>
                <w:rFonts w:hint="eastAsia" w:ascii="宋体" w:hAnsi="宋体" w:cs="宋体"/>
                <w:bCs/>
                <w:sz w:val="24"/>
                <w:lang w:val="zh-CN"/>
              </w:rPr>
              <w:t>不组织</w:t>
            </w:r>
          </w:p>
        </w:tc>
      </w:tr>
      <w:tr w14:paraId="782C46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455030C2">
            <w:pPr>
              <w:pStyle w:val="22"/>
              <w:snapToGrid w:val="0"/>
              <w:spacing w:line="360" w:lineRule="auto"/>
              <w:ind w:left="9"/>
              <w:jc w:val="center"/>
              <w:rPr>
                <w:bCs/>
                <w:lang w:val="zh-CN"/>
              </w:rPr>
            </w:pPr>
            <w:r>
              <w:rPr>
                <w:rFonts w:hint="eastAsia"/>
                <w:bCs/>
              </w:rPr>
              <w:t>4</w:t>
            </w:r>
          </w:p>
        </w:tc>
        <w:tc>
          <w:tcPr>
            <w:tcW w:w="2256" w:type="dxa"/>
            <w:tcBorders>
              <w:top w:val="single" w:color="auto" w:sz="8" w:space="0"/>
              <w:left w:val="single" w:color="auto" w:sz="4" w:space="0"/>
              <w:bottom w:val="single" w:color="auto" w:sz="8" w:space="0"/>
              <w:right w:val="single" w:color="auto" w:sz="8" w:space="0"/>
            </w:tcBorders>
            <w:vAlign w:val="center"/>
          </w:tcPr>
          <w:p w14:paraId="05F21E29">
            <w:pPr>
              <w:pStyle w:val="22"/>
              <w:snapToGrid w:val="0"/>
              <w:spacing w:line="360" w:lineRule="auto"/>
              <w:ind w:left="150" w:leftChars="50"/>
              <w:jc w:val="both"/>
              <w:rPr>
                <w:bCs/>
              </w:rPr>
            </w:pPr>
            <w:r>
              <w:rPr>
                <w:rFonts w:hint="eastAsia"/>
                <w:bCs/>
                <w:lang w:val="zh-CN"/>
              </w:rPr>
              <w:t>述标和/或产（样）品演（展）示</w:t>
            </w:r>
          </w:p>
        </w:tc>
        <w:tc>
          <w:tcPr>
            <w:tcW w:w="5399" w:type="dxa"/>
            <w:tcBorders>
              <w:top w:val="single" w:color="auto" w:sz="8" w:space="0"/>
              <w:left w:val="single" w:color="auto" w:sz="8" w:space="0"/>
              <w:bottom w:val="single" w:color="auto" w:sz="8" w:space="0"/>
              <w:right w:val="single" w:color="auto" w:sz="18" w:space="0"/>
            </w:tcBorders>
            <w:vAlign w:val="center"/>
          </w:tcPr>
          <w:p w14:paraId="5D1084B4">
            <w:pPr>
              <w:adjustRightInd w:val="0"/>
              <w:snapToGrid w:val="0"/>
              <w:spacing w:line="360" w:lineRule="auto"/>
              <w:ind w:left="150" w:leftChars="50"/>
              <w:rPr>
                <w:rFonts w:ascii="宋体" w:hAnsi="宋体" w:cs="宋体"/>
                <w:bCs/>
                <w:kern w:val="0"/>
                <w:sz w:val="24"/>
                <w:lang w:val="zh-CN"/>
              </w:rPr>
            </w:pPr>
            <w:r>
              <w:rPr>
                <w:rFonts w:hint="eastAsia" w:ascii="宋体" w:hAnsi="宋体" w:cs="宋体"/>
                <w:bCs/>
                <w:sz w:val="24"/>
              </w:rPr>
              <w:t>无</w:t>
            </w:r>
          </w:p>
        </w:tc>
      </w:tr>
      <w:tr w14:paraId="422C80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3" w:hRule="atLeast"/>
        </w:trPr>
        <w:tc>
          <w:tcPr>
            <w:tcW w:w="640" w:type="dxa"/>
            <w:tcBorders>
              <w:top w:val="single" w:color="auto" w:sz="8" w:space="0"/>
              <w:left w:val="single" w:color="auto" w:sz="18" w:space="0"/>
              <w:bottom w:val="single" w:color="auto" w:sz="8" w:space="0"/>
              <w:right w:val="single" w:color="auto" w:sz="8" w:space="0"/>
            </w:tcBorders>
            <w:vAlign w:val="center"/>
          </w:tcPr>
          <w:p w14:paraId="591C6636">
            <w:pPr>
              <w:pStyle w:val="22"/>
              <w:snapToGrid w:val="0"/>
              <w:spacing w:line="360" w:lineRule="auto"/>
              <w:ind w:left="9"/>
              <w:jc w:val="center"/>
              <w:rPr>
                <w:bCs/>
                <w:lang w:val="zh-CN"/>
              </w:rPr>
            </w:pPr>
            <w:r>
              <w:rPr>
                <w:rFonts w:hint="eastAsia"/>
                <w:bCs/>
              </w:rPr>
              <w:t>5</w:t>
            </w:r>
          </w:p>
        </w:tc>
        <w:tc>
          <w:tcPr>
            <w:tcW w:w="2256" w:type="dxa"/>
            <w:tcBorders>
              <w:top w:val="single" w:color="auto" w:sz="8" w:space="0"/>
              <w:left w:val="single" w:color="auto" w:sz="4" w:space="0"/>
              <w:bottom w:val="single" w:color="auto" w:sz="8" w:space="0"/>
              <w:right w:val="single" w:color="auto" w:sz="8" w:space="0"/>
            </w:tcBorders>
            <w:vAlign w:val="center"/>
          </w:tcPr>
          <w:p w14:paraId="2986B753">
            <w:pPr>
              <w:pStyle w:val="22"/>
              <w:snapToGrid w:val="0"/>
              <w:spacing w:line="360" w:lineRule="auto"/>
              <w:ind w:left="150" w:leftChars="50"/>
              <w:jc w:val="both"/>
              <w:rPr>
                <w:bCs/>
                <w:lang w:val="zh-CN"/>
              </w:rPr>
            </w:pPr>
            <w:r>
              <w:rPr>
                <w:rFonts w:hint="eastAsia"/>
                <w:bCs/>
                <w:lang w:val="zh-CN"/>
              </w:rPr>
              <w:t>本项目是否接受备选</w:t>
            </w:r>
            <w:r>
              <w:rPr>
                <w:rFonts w:hint="eastAsia"/>
                <w:bCs/>
              </w:rPr>
              <w:t>响应</w:t>
            </w:r>
            <w:r>
              <w:rPr>
                <w:rFonts w:hint="eastAsia"/>
                <w:bCs/>
                <w:lang w:val="zh-CN"/>
              </w:rPr>
              <w:t>方案</w:t>
            </w:r>
          </w:p>
        </w:tc>
        <w:tc>
          <w:tcPr>
            <w:tcW w:w="5399" w:type="dxa"/>
            <w:tcBorders>
              <w:top w:val="single" w:color="auto" w:sz="8" w:space="0"/>
              <w:left w:val="single" w:color="auto" w:sz="8" w:space="0"/>
              <w:bottom w:val="single" w:color="auto" w:sz="8" w:space="0"/>
              <w:right w:val="single" w:color="auto" w:sz="18" w:space="0"/>
            </w:tcBorders>
            <w:vAlign w:val="center"/>
          </w:tcPr>
          <w:p w14:paraId="7962F78B">
            <w:pPr>
              <w:adjustRightInd w:val="0"/>
              <w:snapToGrid w:val="0"/>
              <w:spacing w:line="360" w:lineRule="auto"/>
              <w:ind w:left="150" w:leftChars="50"/>
              <w:rPr>
                <w:rFonts w:ascii="宋体" w:hAnsi="宋体" w:cs="宋体"/>
                <w:bCs/>
                <w:sz w:val="24"/>
              </w:rPr>
            </w:pPr>
            <w:r>
              <w:rPr>
                <w:rFonts w:hint="eastAsia" w:ascii="宋体" w:hAnsi="宋体" w:cs="宋体"/>
                <w:bCs/>
                <w:sz w:val="24"/>
              </w:rPr>
              <w:t>不接受</w:t>
            </w:r>
          </w:p>
        </w:tc>
      </w:tr>
      <w:tr w14:paraId="06560A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591FF0F4">
            <w:pPr>
              <w:pStyle w:val="22"/>
              <w:snapToGrid w:val="0"/>
              <w:spacing w:line="360" w:lineRule="auto"/>
              <w:ind w:left="9"/>
              <w:jc w:val="center"/>
              <w:rPr>
                <w:bCs/>
                <w:lang w:val="zh-CN"/>
              </w:rPr>
            </w:pPr>
            <w:r>
              <w:rPr>
                <w:rFonts w:hint="eastAsia"/>
                <w:bCs/>
              </w:rPr>
              <w:t>6</w:t>
            </w:r>
          </w:p>
        </w:tc>
        <w:tc>
          <w:tcPr>
            <w:tcW w:w="2256" w:type="dxa"/>
            <w:tcBorders>
              <w:top w:val="single" w:color="auto" w:sz="8" w:space="0"/>
              <w:left w:val="single" w:color="auto" w:sz="4" w:space="0"/>
              <w:bottom w:val="single" w:color="auto" w:sz="8" w:space="0"/>
              <w:right w:val="single" w:color="auto" w:sz="8" w:space="0"/>
            </w:tcBorders>
            <w:vAlign w:val="center"/>
          </w:tcPr>
          <w:p w14:paraId="02C18BEB">
            <w:pPr>
              <w:pStyle w:val="22"/>
              <w:snapToGrid w:val="0"/>
              <w:spacing w:line="360" w:lineRule="auto"/>
              <w:ind w:left="150" w:leftChars="50"/>
              <w:rPr>
                <w:bCs/>
              </w:rPr>
            </w:pPr>
            <w:r>
              <w:rPr>
                <w:rFonts w:hint="eastAsia"/>
                <w:bCs/>
                <w:lang w:val="zh-CN"/>
              </w:rPr>
              <w:t>本项目要求</w:t>
            </w:r>
            <w:r>
              <w:rPr>
                <w:rFonts w:hint="eastAsia"/>
                <w:bCs/>
              </w:rPr>
              <w:t>供应商</w:t>
            </w:r>
            <w:r>
              <w:rPr>
                <w:rFonts w:hint="eastAsia"/>
                <w:bCs/>
                <w:lang w:val="zh-CN"/>
              </w:rPr>
              <w:t>提供的资格及</w:t>
            </w:r>
            <w:r>
              <w:rPr>
                <w:rFonts w:hint="eastAsia"/>
                <w:bCs/>
              </w:rPr>
              <w:t>技术</w:t>
            </w:r>
            <w:r>
              <w:rPr>
                <w:rFonts w:hint="eastAsia"/>
                <w:bCs/>
                <w:lang w:val="zh-CN"/>
              </w:rPr>
              <w:t>商务证明（说明）文件</w:t>
            </w:r>
          </w:p>
        </w:tc>
        <w:tc>
          <w:tcPr>
            <w:tcW w:w="5399" w:type="dxa"/>
            <w:tcBorders>
              <w:top w:val="single" w:color="auto" w:sz="8" w:space="0"/>
              <w:left w:val="single" w:color="auto" w:sz="8" w:space="0"/>
              <w:bottom w:val="single" w:color="auto" w:sz="8" w:space="0"/>
              <w:right w:val="single" w:color="auto" w:sz="18" w:space="0"/>
            </w:tcBorders>
            <w:vAlign w:val="center"/>
          </w:tcPr>
          <w:p w14:paraId="0496736A">
            <w:pPr>
              <w:pStyle w:val="6"/>
              <w:spacing w:after="0" w:line="360" w:lineRule="auto"/>
              <w:rPr>
                <w:rFonts w:ascii="宋体" w:hAnsi="宋体" w:cs="宋体"/>
                <w:sz w:val="24"/>
                <w:lang w:val="zh-CN"/>
              </w:rPr>
            </w:pPr>
            <w:r>
              <w:rPr>
                <w:rFonts w:hint="eastAsia" w:ascii="宋体" w:hAnsi="宋体" w:cs="宋体"/>
                <w:bCs/>
                <w:kern w:val="0"/>
                <w:sz w:val="24"/>
                <w:lang w:val="zh-CN"/>
              </w:rPr>
              <w:t>详见资格审查</w:t>
            </w:r>
            <w:r>
              <w:rPr>
                <w:rFonts w:hint="eastAsia" w:ascii="宋体" w:hAnsi="宋体" w:cs="宋体"/>
                <w:bCs/>
                <w:kern w:val="0"/>
                <w:sz w:val="24"/>
              </w:rPr>
              <w:t>及评审标准</w:t>
            </w:r>
            <w:r>
              <w:rPr>
                <w:rFonts w:hint="eastAsia" w:ascii="宋体" w:hAnsi="宋体" w:cs="宋体"/>
                <w:bCs/>
                <w:kern w:val="0"/>
                <w:sz w:val="24"/>
                <w:lang w:val="zh-CN"/>
              </w:rPr>
              <w:t>。</w:t>
            </w:r>
          </w:p>
        </w:tc>
      </w:tr>
      <w:tr w14:paraId="429AD0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7" w:hRule="atLeast"/>
        </w:trPr>
        <w:tc>
          <w:tcPr>
            <w:tcW w:w="640" w:type="dxa"/>
            <w:tcBorders>
              <w:top w:val="single" w:color="auto" w:sz="8" w:space="0"/>
              <w:left w:val="single" w:color="auto" w:sz="18" w:space="0"/>
              <w:bottom w:val="single" w:color="auto" w:sz="8" w:space="0"/>
              <w:right w:val="single" w:color="auto" w:sz="8" w:space="0"/>
            </w:tcBorders>
            <w:vAlign w:val="center"/>
          </w:tcPr>
          <w:p w14:paraId="507D982E">
            <w:pPr>
              <w:pStyle w:val="22"/>
              <w:snapToGrid w:val="0"/>
              <w:spacing w:line="360" w:lineRule="auto"/>
              <w:ind w:left="9"/>
              <w:jc w:val="center"/>
              <w:rPr>
                <w:bCs/>
                <w:lang w:val="zh-CN"/>
              </w:rPr>
            </w:pPr>
            <w:r>
              <w:rPr>
                <w:rFonts w:hint="eastAsia"/>
                <w:bCs/>
              </w:rPr>
              <w:t>7</w:t>
            </w:r>
          </w:p>
        </w:tc>
        <w:tc>
          <w:tcPr>
            <w:tcW w:w="2256" w:type="dxa"/>
            <w:tcBorders>
              <w:top w:val="single" w:color="auto" w:sz="8" w:space="0"/>
              <w:left w:val="single" w:color="auto" w:sz="4" w:space="0"/>
              <w:bottom w:val="single" w:color="auto" w:sz="8" w:space="0"/>
              <w:right w:val="single" w:color="auto" w:sz="8" w:space="0"/>
            </w:tcBorders>
            <w:vAlign w:val="center"/>
          </w:tcPr>
          <w:p w14:paraId="7F4F54E6">
            <w:pPr>
              <w:pStyle w:val="22"/>
              <w:snapToGrid w:val="0"/>
              <w:spacing w:line="360" w:lineRule="auto"/>
              <w:ind w:left="150" w:leftChars="50"/>
              <w:rPr>
                <w:bCs/>
              </w:rPr>
            </w:pPr>
            <w:r>
              <w:rPr>
                <w:rFonts w:hint="eastAsia"/>
                <w:bCs/>
              </w:rPr>
              <w:t>响应</w:t>
            </w:r>
            <w:r>
              <w:rPr>
                <w:rFonts w:hint="eastAsia"/>
                <w:bCs/>
                <w:lang w:val="zh-CN"/>
              </w:rPr>
              <w:t>有效期</w:t>
            </w:r>
          </w:p>
        </w:tc>
        <w:tc>
          <w:tcPr>
            <w:tcW w:w="5399" w:type="dxa"/>
            <w:tcBorders>
              <w:top w:val="single" w:color="auto" w:sz="8" w:space="0"/>
              <w:left w:val="single" w:color="auto" w:sz="8" w:space="0"/>
              <w:bottom w:val="single" w:color="auto" w:sz="8" w:space="0"/>
              <w:right w:val="single" w:color="auto" w:sz="18" w:space="0"/>
            </w:tcBorders>
            <w:vAlign w:val="center"/>
          </w:tcPr>
          <w:p w14:paraId="465E9DC3">
            <w:pPr>
              <w:pStyle w:val="22"/>
              <w:snapToGrid w:val="0"/>
              <w:spacing w:line="360" w:lineRule="auto"/>
              <w:ind w:left="150" w:leftChars="50" w:right="150" w:rightChars="50"/>
              <w:rPr>
                <w:bCs/>
                <w:lang w:val="zh-CN"/>
              </w:rPr>
            </w:pPr>
            <w:r>
              <w:rPr>
                <w:rFonts w:hint="eastAsia"/>
                <w:bCs/>
              </w:rPr>
              <w:t>自响应截止之日起90天。</w:t>
            </w:r>
          </w:p>
        </w:tc>
      </w:tr>
      <w:tr w14:paraId="03A5B3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7B55C53F">
            <w:pPr>
              <w:pStyle w:val="22"/>
              <w:snapToGrid w:val="0"/>
              <w:spacing w:line="360" w:lineRule="auto"/>
              <w:ind w:left="9"/>
              <w:jc w:val="center"/>
              <w:rPr>
                <w:bCs/>
                <w:lang w:val="zh-CN"/>
              </w:rPr>
            </w:pPr>
            <w:r>
              <w:rPr>
                <w:rFonts w:hint="eastAsia"/>
                <w:bCs/>
              </w:rPr>
              <w:t>8</w:t>
            </w:r>
          </w:p>
        </w:tc>
        <w:tc>
          <w:tcPr>
            <w:tcW w:w="2256" w:type="dxa"/>
            <w:tcBorders>
              <w:top w:val="single" w:color="auto" w:sz="8" w:space="0"/>
              <w:left w:val="single" w:color="auto" w:sz="4" w:space="0"/>
              <w:bottom w:val="single" w:color="auto" w:sz="8" w:space="0"/>
              <w:right w:val="single" w:color="auto" w:sz="8" w:space="0"/>
            </w:tcBorders>
            <w:vAlign w:val="center"/>
          </w:tcPr>
          <w:p w14:paraId="54F14C29">
            <w:pPr>
              <w:pStyle w:val="22"/>
              <w:snapToGrid w:val="0"/>
              <w:spacing w:line="360" w:lineRule="auto"/>
              <w:ind w:left="150" w:leftChars="50"/>
              <w:rPr>
                <w:bCs/>
                <w:lang w:val="zh-CN"/>
              </w:rPr>
            </w:pPr>
            <w:r>
              <w:rPr>
                <w:rFonts w:hint="eastAsia"/>
                <w:bCs/>
                <w:lang w:val="zh-CN"/>
              </w:rPr>
              <w:t>投标保证金</w:t>
            </w:r>
            <w:r>
              <w:rPr>
                <w:rFonts w:hint="eastAsia"/>
                <w:bCs/>
              </w:rPr>
              <w:t>要求</w:t>
            </w:r>
          </w:p>
        </w:tc>
        <w:tc>
          <w:tcPr>
            <w:tcW w:w="5399" w:type="dxa"/>
            <w:tcBorders>
              <w:top w:val="single" w:color="auto" w:sz="8" w:space="0"/>
              <w:left w:val="single" w:color="auto" w:sz="8" w:space="0"/>
              <w:bottom w:val="single" w:color="auto" w:sz="8" w:space="0"/>
              <w:right w:val="single" w:color="auto" w:sz="18" w:space="0"/>
            </w:tcBorders>
            <w:vAlign w:val="center"/>
          </w:tcPr>
          <w:p w14:paraId="3DEF4537">
            <w:pPr>
              <w:pStyle w:val="5"/>
              <w:adjustRightInd w:val="0"/>
              <w:snapToGrid w:val="0"/>
              <w:spacing w:line="360" w:lineRule="auto"/>
              <w:ind w:left="150" w:leftChars="50" w:right="150" w:rightChars="50"/>
              <w:rPr>
                <w:rFonts w:ascii="宋体" w:hAnsi="宋体" w:cs="宋体"/>
                <w:bCs/>
                <w:sz w:val="24"/>
                <w:lang w:val="zh-CN"/>
              </w:rPr>
            </w:pPr>
            <w:r>
              <w:rPr>
                <w:rFonts w:hint="eastAsia" w:ascii="宋体" w:hAnsi="宋体" w:cs="宋体"/>
                <w:bCs/>
                <w:sz w:val="24"/>
              </w:rPr>
              <w:t>本项目不收取投标保证金。采购文件中关于投标保证金的要求不适用于本项目。</w:t>
            </w:r>
          </w:p>
        </w:tc>
      </w:tr>
      <w:tr w14:paraId="253A78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0150004C">
            <w:pPr>
              <w:pStyle w:val="22"/>
              <w:snapToGrid w:val="0"/>
              <w:spacing w:line="360" w:lineRule="auto"/>
              <w:ind w:left="9"/>
              <w:jc w:val="center"/>
              <w:rPr>
                <w:bCs/>
              </w:rPr>
            </w:pPr>
            <w:r>
              <w:rPr>
                <w:rFonts w:hint="eastAsia"/>
                <w:bCs/>
              </w:rPr>
              <w:t>9</w:t>
            </w:r>
          </w:p>
        </w:tc>
        <w:tc>
          <w:tcPr>
            <w:tcW w:w="2256" w:type="dxa"/>
            <w:tcBorders>
              <w:top w:val="single" w:color="auto" w:sz="8" w:space="0"/>
              <w:left w:val="single" w:color="auto" w:sz="4" w:space="0"/>
              <w:bottom w:val="single" w:color="auto" w:sz="8" w:space="0"/>
              <w:right w:val="single" w:color="auto" w:sz="8" w:space="0"/>
            </w:tcBorders>
            <w:vAlign w:val="center"/>
          </w:tcPr>
          <w:p w14:paraId="1CAC585C">
            <w:pPr>
              <w:pStyle w:val="22"/>
              <w:snapToGrid w:val="0"/>
              <w:spacing w:line="360" w:lineRule="auto"/>
              <w:ind w:left="150" w:leftChars="50"/>
              <w:jc w:val="both"/>
              <w:rPr>
                <w:bCs/>
              </w:rPr>
            </w:pPr>
            <w:r>
              <w:rPr>
                <w:rFonts w:hint="eastAsia"/>
                <w:bCs/>
              </w:rPr>
              <w:t>响应</w:t>
            </w:r>
            <w:r>
              <w:rPr>
                <w:rFonts w:hint="eastAsia"/>
                <w:bCs/>
                <w:lang w:val="zh-CN"/>
              </w:rPr>
              <w:t>文件要求</w:t>
            </w:r>
          </w:p>
        </w:tc>
        <w:tc>
          <w:tcPr>
            <w:tcW w:w="5399" w:type="dxa"/>
            <w:tcBorders>
              <w:top w:val="single" w:color="auto" w:sz="8" w:space="0"/>
              <w:left w:val="single" w:color="auto" w:sz="8" w:space="0"/>
              <w:bottom w:val="single" w:color="auto" w:sz="8" w:space="0"/>
              <w:right w:val="single" w:color="auto" w:sz="18" w:space="0"/>
            </w:tcBorders>
            <w:vAlign w:val="center"/>
          </w:tcPr>
          <w:p w14:paraId="0121D402">
            <w:pPr>
              <w:pStyle w:val="22"/>
              <w:spacing w:line="360" w:lineRule="auto"/>
            </w:pPr>
            <w:r>
              <w:rPr>
                <w:rFonts w:hint="eastAsia"/>
                <w:bCs/>
                <w:kern w:val="2"/>
                <w:lang w:val="zh-CN"/>
              </w:rPr>
              <w:fldChar w:fldCharType="begin"/>
            </w:r>
            <w:r>
              <w:rPr>
                <w:rFonts w:hint="eastAsia"/>
                <w:bCs/>
                <w:kern w:val="2"/>
                <w:lang w:val="zh-CN"/>
              </w:rPr>
              <w:instrText xml:space="preserve"> = 1 \* GB3 \* MERGEFORMAT </w:instrText>
            </w:r>
            <w:r>
              <w:rPr>
                <w:rFonts w:hint="eastAsia"/>
                <w:bCs/>
                <w:kern w:val="2"/>
                <w:lang w:val="zh-CN"/>
              </w:rPr>
              <w:fldChar w:fldCharType="separate"/>
            </w:r>
            <w:r>
              <w:rPr>
                <w:rFonts w:hint="eastAsia"/>
                <w:bCs/>
                <w:kern w:val="2"/>
              </w:rPr>
              <w:t>①</w:t>
            </w:r>
            <w:r>
              <w:rPr>
                <w:rFonts w:hint="eastAsia"/>
                <w:bCs/>
                <w:kern w:val="2"/>
                <w:lang w:val="zh-CN"/>
              </w:rPr>
              <w:fldChar w:fldCharType="end"/>
            </w:r>
            <w:r>
              <w:rPr>
                <w:rFonts w:hint="eastAsia"/>
                <w:bCs/>
                <w:kern w:val="2"/>
                <w:lang w:val="zh-CN"/>
              </w:rPr>
              <w:t>正本</w:t>
            </w:r>
            <w:r>
              <w:rPr>
                <w:rFonts w:hint="eastAsia"/>
                <w:bCs/>
                <w:kern w:val="2"/>
                <w:u w:val="single"/>
              </w:rPr>
              <w:t xml:space="preserve"> </w:t>
            </w:r>
            <w:r>
              <w:rPr>
                <w:rFonts w:hint="eastAsia"/>
                <w:bCs/>
                <w:kern w:val="2"/>
                <w:u w:val="single"/>
                <w:lang w:val="zh-CN"/>
              </w:rPr>
              <w:t>一</w:t>
            </w:r>
            <w:r>
              <w:rPr>
                <w:rFonts w:hint="eastAsia"/>
                <w:bCs/>
                <w:kern w:val="2"/>
                <w:u w:val="single"/>
              </w:rPr>
              <w:t xml:space="preserve"> </w:t>
            </w:r>
            <w:r>
              <w:rPr>
                <w:rFonts w:hint="eastAsia"/>
                <w:bCs/>
                <w:kern w:val="2"/>
                <w:lang w:val="zh-CN"/>
              </w:rPr>
              <w:t xml:space="preserve">份 </w:t>
            </w:r>
            <w:r>
              <w:rPr>
                <w:rFonts w:hint="eastAsia"/>
                <w:bCs/>
                <w:kern w:val="2"/>
                <w:lang w:val="zh-CN"/>
              </w:rPr>
              <w:fldChar w:fldCharType="begin"/>
            </w:r>
            <w:r>
              <w:rPr>
                <w:rFonts w:hint="eastAsia"/>
                <w:bCs/>
                <w:kern w:val="2"/>
                <w:lang w:val="zh-CN"/>
              </w:rPr>
              <w:instrText xml:space="preserve"> = 2 \* GB3 \* MERGEFORMAT </w:instrText>
            </w:r>
            <w:r>
              <w:rPr>
                <w:rFonts w:hint="eastAsia"/>
                <w:bCs/>
                <w:kern w:val="2"/>
                <w:lang w:val="zh-CN"/>
              </w:rPr>
              <w:fldChar w:fldCharType="separate"/>
            </w:r>
            <w:r>
              <w:rPr>
                <w:rFonts w:hint="eastAsia"/>
                <w:bCs/>
                <w:kern w:val="2"/>
              </w:rPr>
              <w:t>②</w:t>
            </w:r>
            <w:r>
              <w:rPr>
                <w:rFonts w:hint="eastAsia"/>
                <w:bCs/>
                <w:kern w:val="2"/>
                <w:lang w:val="zh-CN"/>
              </w:rPr>
              <w:fldChar w:fldCharType="end"/>
            </w:r>
            <w:r>
              <w:rPr>
                <w:rFonts w:hint="eastAsia"/>
                <w:bCs/>
                <w:kern w:val="2"/>
                <w:lang w:val="zh-CN"/>
              </w:rPr>
              <w:t>副本</w:t>
            </w:r>
            <w:r>
              <w:rPr>
                <w:rFonts w:hint="eastAsia"/>
                <w:bCs/>
                <w:kern w:val="2"/>
                <w:u w:val="single"/>
              </w:rPr>
              <w:t xml:space="preserve">  两  </w:t>
            </w:r>
            <w:r>
              <w:rPr>
                <w:rFonts w:hint="eastAsia"/>
                <w:bCs/>
                <w:kern w:val="2"/>
                <w:lang w:val="zh-CN"/>
              </w:rPr>
              <w:t xml:space="preserve">份 </w:t>
            </w:r>
            <w:r>
              <w:rPr>
                <w:rFonts w:hint="eastAsia"/>
                <w:bCs/>
                <w:kern w:val="2"/>
                <w:lang w:val="zh-CN"/>
              </w:rPr>
              <w:fldChar w:fldCharType="begin"/>
            </w:r>
            <w:r>
              <w:rPr>
                <w:rFonts w:hint="eastAsia"/>
                <w:bCs/>
                <w:kern w:val="2"/>
                <w:lang w:val="zh-CN"/>
              </w:rPr>
              <w:instrText xml:space="preserve"> = 3 \* GB3 \* MERGEFORMAT </w:instrText>
            </w:r>
            <w:r>
              <w:rPr>
                <w:rFonts w:hint="eastAsia"/>
                <w:bCs/>
                <w:kern w:val="2"/>
                <w:lang w:val="zh-CN"/>
              </w:rPr>
              <w:fldChar w:fldCharType="separate"/>
            </w:r>
            <w:r>
              <w:rPr>
                <w:rFonts w:hint="eastAsia"/>
                <w:bCs/>
                <w:kern w:val="2"/>
              </w:rPr>
              <w:t>③</w:t>
            </w:r>
            <w:r>
              <w:rPr>
                <w:rFonts w:hint="eastAsia"/>
                <w:bCs/>
                <w:kern w:val="2"/>
                <w:lang w:val="zh-CN"/>
              </w:rPr>
              <w:fldChar w:fldCharType="end"/>
            </w:r>
            <w:r>
              <w:rPr>
                <w:rFonts w:hint="eastAsia"/>
                <w:bCs/>
                <w:kern w:val="2"/>
                <w:lang w:val="zh-CN"/>
              </w:rPr>
              <w:t>电子版响应文件</w:t>
            </w:r>
            <w:r>
              <w:rPr>
                <w:rFonts w:hint="eastAsia"/>
                <w:bCs/>
                <w:kern w:val="2"/>
                <w:u w:val="single"/>
              </w:rPr>
              <w:t xml:space="preserve"> </w:t>
            </w:r>
            <w:r>
              <w:rPr>
                <w:rFonts w:hint="eastAsia"/>
                <w:bCs/>
                <w:kern w:val="2"/>
                <w:u w:val="single"/>
                <w:lang w:val="zh-CN"/>
              </w:rPr>
              <w:t>一</w:t>
            </w:r>
            <w:r>
              <w:rPr>
                <w:rFonts w:hint="eastAsia"/>
                <w:bCs/>
                <w:kern w:val="2"/>
                <w:u w:val="single"/>
              </w:rPr>
              <w:t xml:space="preserve"> </w:t>
            </w:r>
            <w:r>
              <w:rPr>
                <w:rFonts w:hint="eastAsia"/>
                <w:bCs/>
                <w:kern w:val="2"/>
                <w:lang w:val="zh-CN"/>
              </w:rPr>
              <w:t>份（</w:t>
            </w:r>
            <w:r>
              <w:rPr>
                <w:rFonts w:hint="eastAsia"/>
                <w:bCs/>
                <w:kern w:val="2"/>
              </w:rPr>
              <w:t>电子版响应文件须是PDF格式并且须与响应文件正本保持一致，与正本一起密封</w:t>
            </w:r>
            <w:r>
              <w:rPr>
                <w:rFonts w:hint="eastAsia"/>
                <w:bCs/>
                <w:kern w:val="2"/>
                <w:lang w:val="zh-CN"/>
              </w:rPr>
              <w:t>）。</w:t>
            </w:r>
            <w:r>
              <w:rPr>
                <w:rFonts w:hint="eastAsia"/>
                <w:bCs/>
                <w:kern w:val="2"/>
              </w:rPr>
              <w:t>正本、副本必须打印装订，副本可以用正本的完整复印件，并在封面标明“正本”、“副本”字样。正本与副本如有不一致，则以正本为准。</w:t>
            </w:r>
          </w:p>
        </w:tc>
      </w:tr>
      <w:tr w14:paraId="45182F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461F0D91">
            <w:pPr>
              <w:pStyle w:val="22"/>
              <w:snapToGrid w:val="0"/>
              <w:spacing w:line="360" w:lineRule="auto"/>
              <w:ind w:left="9"/>
              <w:jc w:val="center"/>
              <w:rPr>
                <w:bCs/>
              </w:rPr>
            </w:pPr>
            <w:r>
              <w:rPr>
                <w:rFonts w:hint="eastAsia"/>
                <w:bCs/>
              </w:rPr>
              <w:t>10</w:t>
            </w:r>
          </w:p>
        </w:tc>
        <w:tc>
          <w:tcPr>
            <w:tcW w:w="2256" w:type="dxa"/>
            <w:tcBorders>
              <w:top w:val="single" w:color="auto" w:sz="8" w:space="0"/>
              <w:left w:val="single" w:color="auto" w:sz="4" w:space="0"/>
              <w:bottom w:val="single" w:color="auto" w:sz="8" w:space="0"/>
              <w:right w:val="single" w:color="auto" w:sz="8" w:space="0"/>
            </w:tcBorders>
            <w:vAlign w:val="center"/>
          </w:tcPr>
          <w:p w14:paraId="301C1B0E">
            <w:pPr>
              <w:pStyle w:val="22"/>
              <w:spacing w:line="360" w:lineRule="auto"/>
              <w:ind w:left="33"/>
              <w:jc w:val="both"/>
              <w:rPr>
                <w:bCs/>
                <w:lang w:val="zh-CN"/>
              </w:rPr>
            </w:pPr>
            <w:r>
              <w:rPr>
                <w:rFonts w:hint="eastAsia"/>
                <w:bCs/>
                <w:lang w:val="zh-CN"/>
              </w:rPr>
              <w:t>响应文件密封要求</w:t>
            </w:r>
          </w:p>
        </w:tc>
        <w:tc>
          <w:tcPr>
            <w:tcW w:w="5399" w:type="dxa"/>
            <w:tcBorders>
              <w:top w:val="single" w:color="auto" w:sz="8" w:space="0"/>
              <w:left w:val="single" w:color="auto" w:sz="8" w:space="0"/>
              <w:bottom w:val="single" w:color="auto" w:sz="8" w:space="0"/>
              <w:right w:val="single" w:color="auto" w:sz="18" w:space="0"/>
            </w:tcBorders>
            <w:vAlign w:val="center"/>
          </w:tcPr>
          <w:p w14:paraId="60C27A07">
            <w:pPr>
              <w:pStyle w:val="22"/>
              <w:spacing w:line="360" w:lineRule="auto"/>
              <w:rPr>
                <w:bCs/>
              </w:rPr>
            </w:pPr>
            <w:r>
              <w:rPr>
                <w:rFonts w:hint="eastAsia"/>
                <w:bCs/>
              </w:rPr>
              <w:t>①响应文件正本和副本须密封，并在密封处加盖单位公章或供应商代表签名。</w:t>
            </w:r>
          </w:p>
          <w:p w14:paraId="1EBDCA25">
            <w:pPr>
              <w:pStyle w:val="22"/>
              <w:spacing w:line="360" w:lineRule="auto"/>
              <w:rPr>
                <w:bCs/>
              </w:rPr>
            </w:pPr>
            <w:r>
              <w:rPr>
                <w:rFonts w:hint="eastAsia"/>
                <w:bCs/>
              </w:rPr>
              <w:t>②电子版响应文件和纸质版响应文件应密封，一起提交。</w:t>
            </w:r>
          </w:p>
          <w:p w14:paraId="7F28987C">
            <w:pPr>
              <w:pStyle w:val="22"/>
              <w:spacing w:line="360" w:lineRule="auto"/>
              <w:rPr>
                <w:bCs/>
              </w:rPr>
            </w:pPr>
            <w:r>
              <w:rPr>
                <w:rFonts w:hint="eastAsia"/>
                <w:bCs/>
                <w:kern w:val="2"/>
              </w:rPr>
              <w:t>注：未按上述要求密封的响应文件不予接受，视为无效响应文件。</w:t>
            </w:r>
          </w:p>
        </w:tc>
      </w:tr>
      <w:tr w14:paraId="05BC88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71787080">
            <w:pPr>
              <w:pStyle w:val="22"/>
              <w:snapToGrid w:val="0"/>
              <w:spacing w:line="360" w:lineRule="auto"/>
              <w:ind w:left="9"/>
              <w:jc w:val="center"/>
              <w:rPr>
                <w:bCs/>
              </w:rPr>
            </w:pPr>
            <w:r>
              <w:rPr>
                <w:rFonts w:hint="eastAsia"/>
                <w:bCs/>
              </w:rPr>
              <w:t>11</w:t>
            </w:r>
          </w:p>
        </w:tc>
        <w:tc>
          <w:tcPr>
            <w:tcW w:w="2256" w:type="dxa"/>
            <w:tcBorders>
              <w:top w:val="single" w:color="auto" w:sz="8" w:space="0"/>
              <w:left w:val="single" w:color="auto" w:sz="4" w:space="0"/>
              <w:bottom w:val="single" w:color="auto" w:sz="8" w:space="0"/>
              <w:right w:val="single" w:color="auto" w:sz="8" w:space="0"/>
            </w:tcBorders>
            <w:vAlign w:val="center"/>
          </w:tcPr>
          <w:p w14:paraId="175279D2">
            <w:pPr>
              <w:adjustRightInd w:val="0"/>
              <w:snapToGrid w:val="0"/>
              <w:spacing w:line="360" w:lineRule="auto"/>
              <w:ind w:left="150" w:leftChars="50"/>
              <w:rPr>
                <w:rFonts w:ascii="宋体" w:hAnsi="宋体" w:cs="宋体"/>
                <w:bCs/>
                <w:sz w:val="24"/>
                <w:lang w:val="zh-CN"/>
              </w:rPr>
            </w:pPr>
            <w:r>
              <w:rPr>
                <w:rFonts w:hint="eastAsia" w:ascii="宋体" w:hAnsi="宋体" w:cs="宋体"/>
                <w:bCs/>
                <w:sz w:val="24"/>
              </w:rPr>
              <w:t>响应文件封套上标示</w:t>
            </w:r>
          </w:p>
        </w:tc>
        <w:tc>
          <w:tcPr>
            <w:tcW w:w="5399" w:type="dxa"/>
            <w:tcBorders>
              <w:top w:val="single" w:color="auto" w:sz="8" w:space="0"/>
              <w:left w:val="single" w:color="auto" w:sz="8" w:space="0"/>
              <w:bottom w:val="single" w:color="auto" w:sz="8" w:space="0"/>
              <w:right w:val="single" w:color="auto" w:sz="18" w:space="0"/>
            </w:tcBorders>
            <w:vAlign w:val="center"/>
          </w:tcPr>
          <w:p w14:paraId="0BFA0ED1">
            <w:pPr>
              <w:spacing w:line="360" w:lineRule="auto"/>
              <w:rPr>
                <w:rFonts w:ascii="宋体" w:hAnsi="宋体" w:cs="宋体"/>
                <w:bCs/>
                <w:sz w:val="24"/>
              </w:rPr>
            </w:pPr>
            <w:r>
              <w:rPr>
                <w:rFonts w:hint="eastAsia" w:ascii="宋体" w:hAnsi="宋体" w:cs="宋体"/>
                <w:bCs/>
                <w:sz w:val="24"/>
              </w:rPr>
              <w:t>响应文件    正本（副本）</w:t>
            </w:r>
          </w:p>
          <w:p w14:paraId="10328AA6">
            <w:pPr>
              <w:spacing w:line="360" w:lineRule="auto"/>
              <w:rPr>
                <w:rFonts w:ascii="宋体" w:hAnsi="宋体" w:cs="宋体"/>
                <w:bCs/>
                <w:sz w:val="24"/>
                <w:u w:val="single"/>
              </w:rPr>
            </w:pPr>
            <w:r>
              <w:rPr>
                <w:rFonts w:hint="eastAsia" w:ascii="宋体" w:hAnsi="宋体" w:cs="宋体"/>
                <w:bCs/>
                <w:sz w:val="24"/>
              </w:rPr>
              <w:t>项目名称:</w:t>
            </w:r>
            <w:r>
              <w:rPr>
                <w:rFonts w:hint="eastAsia" w:ascii="宋体" w:hAnsi="宋体" w:cs="宋体"/>
                <w:bCs/>
                <w:sz w:val="24"/>
                <w:u w:val="single"/>
              </w:rPr>
              <w:t xml:space="preserve">           </w:t>
            </w:r>
          </w:p>
          <w:p w14:paraId="4E11016F">
            <w:pPr>
              <w:spacing w:line="360" w:lineRule="auto"/>
              <w:rPr>
                <w:rFonts w:ascii="宋体" w:hAnsi="宋体" w:cs="宋体"/>
                <w:bCs/>
                <w:sz w:val="24"/>
              </w:rPr>
            </w:pPr>
            <w:r>
              <w:rPr>
                <w:rFonts w:hint="eastAsia" w:ascii="宋体" w:hAnsi="宋体" w:cs="宋体"/>
                <w:bCs/>
                <w:sz w:val="24"/>
              </w:rPr>
              <w:t>项目编号（包号，如有）：</w:t>
            </w:r>
            <w:r>
              <w:rPr>
                <w:rFonts w:hint="eastAsia" w:ascii="宋体" w:hAnsi="宋体" w:cs="宋体"/>
                <w:bCs/>
                <w:sz w:val="24"/>
                <w:u w:val="single"/>
              </w:rPr>
              <w:t xml:space="preserve">           </w:t>
            </w:r>
          </w:p>
          <w:p w14:paraId="5EF6A60C">
            <w:pPr>
              <w:spacing w:line="360" w:lineRule="auto"/>
              <w:rPr>
                <w:rFonts w:ascii="宋体" w:hAnsi="宋体" w:cs="宋体"/>
                <w:bCs/>
                <w:sz w:val="24"/>
              </w:rPr>
            </w:pPr>
            <w:r>
              <w:rPr>
                <w:rFonts w:hint="eastAsia" w:ascii="宋体" w:hAnsi="宋体" w:cs="宋体"/>
                <w:bCs/>
                <w:sz w:val="24"/>
              </w:rPr>
              <w:t>供应商名称（加盖公章）：</w:t>
            </w:r>
          </w:p>
          <w:p w14:paraId="26A5A41C">
            <w:pPr>
              <w:spacing w:line="360" w:lineRule="auto"/>
              <w:rPr>
                <w:rFonts w:ascii="宋体" w:hAnsi="宋体" w:cs="宋体"/>
                <w:bCs/>
                <w:sz w:val="24"/>
              </w:rPr>
            </w:pPr>
            <w:r>
              <w:rPr>
                <w:rFonts w:hint="eastAsia" w:ascii="宋体" w:hAnsi="宋体" w:cs="宋体"/>
                <w:bCs/>
                <w:sz w:val="24"/>
              </w:rPr>
              <w:t>供应商联系人姓名、联系电话：</w:t>
            </w:r>
          </w:p>
          <w:p w14:paraId="7F2E0E48">
            <w:pPr>
              <w:adjustRightInd w:val="0"/>
              <w:snapToGrid w:val="0"/>
              <w:spacing w:line="360" w:lineRule="auto"/>
              <w:ind w:right="150" w:rightChars="50"/>
              <w:rPr>
                <w:rFonts w:ascii="宋体" w:hAnsi="宋体" w:cs="宋体"/>
                <w:bCs/>
                <w:sz w:val="24"/>
                <w:lang w:val="zh-CN"/>
              </w:rPr>
            </w:pPr>
            <w:r>
              <w:rPr>
                <w:rFonts w:hint="eastAsia" w:ascii="宋体" w:hAnsi="宋体" w:cs="宋体"/>
                <w:bCs/>
                <w:sz w:val="24"/>
              </w:rPr>
              <w:t>于项目开标</w:t>
            </w:r>
            <w:r>
              <w:rPr>
                <w:rFonts w:hint="eastAsia" w:ascii="宋体" w:hAnsi="宋体" w:cs="宋体"/>
                <w:bCs/>
                <w:kern w:val="0"/>
                <w:sz w:val="24"/>
                <w:lang w:val="zh-CN"/>
              </w:rPr>
              <w:t>前</w:t>
            </w:r>
            <w:r>
              <w:rPr>
                <w:rFonts w:hint="eastAsia" w:ascii="宋体" w:hAnsi="宋体" w:cs="宋体"/>
                <w:bCs/>
                <w:sz w:val="24"/>
              </w:rPr>
              <w:t>不得开启</w:t>
            </w:r>
          </w:p>
        </w:tc>
      </w:tr>
      <w:tr w14:paraId="000F78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2" w:hRule="atLeast"/>
        </w:trPr>
        <w:tc>
          <w:tcPr>
            <w:tcW w:w="640" w:type="dxa"/>
            <w:vAlign w:val="center"/>
          </w:tcPr>
          <w:p w14:paraId="1DA5AC44">
            <w:pPr>
              <w:pStyle w:val="4"/>
              <w:adjustRightInd w:val="0"/>
              <w:snapToGrid w:val="0"/>
              <w:spacing w:line="360" w:lineRule="auto"/>
              <w:ind w:left="9" w:firstLine="0"/>
              <w:jc w:val="center"/>
              <w:rPr>
                <w:rFonts w:ascii="宋体" w:hAnsi="宋体" w:cs="宋体"/>
                <w:bCs/>
                <w:sz w:val="24"/>
                <w:szCs w:val="24"/>
              </w:rPr>
            </w:pPr>
            <w:r>
              <w:rPr>
                <w:rFonts w:hint="eastAsia" w:ascii="宋体" w:hAnsi="宋体" w:cs="宋体"/>
                <w:bCs/>
                <w:sz w:val="24"/>
                <w:szCs w:val="24"/>
              </w:rPr>
              <w:t>12</w:t>
            </w:r>
          </w:p>
        </w:tc>
        <w:tc>
          <w:tcPr>
            <w:tcW w:w="2256" w:type="dxa"/>
            <w:vAlign w:val="center"/>
          </w:tcPr>
          <w:p w14:paraId="08B9BF17">
            <w:pPr>
              <w:pStyle w:val="22"/>
              <w:snapToGrid w:val="0"/>
              <w:spacing w:line="360" w:lineRule="auto"/>
              <w:ind w:left="150" w:leftChars="50"/>
              <w:rPr>
                <w:bCs/>
              </w:rPr>
            </w:pPr>
            <w:r>
              <w:rPr>
                <w:rFonts w:hint="eastAsia"/>
                <w:bCs/>
              </w:rPr>
              <w:t>参加开启会议时供应商代表身份证明文件</w:t>
            </w:r>
          </w:p>
        </w:tc>
        <w:tc>
          <w:tcPr>
            <w:tcW w:w="5399" w:type="dxa"/>
            <w:vAlign w:val="center"/>
          </w:tcPr>
          <w:p w14:paraId="3E207F96">
            <w:pPr>
              <w:pStyle w:val="22"/>
              <w:snapToGrid w:val="0"/>
              <w:spacing w:line="360" w:lineRule="auto"/>
              <w:ind w:left="150" w:leftChars="50"/>
              <w:rPr>
                <w:bCs/>
              </w:rPr>
            </w:pPr>
            <w:r>
              <w:rPr>
                <w:rFonts w:hint="eastAsia"/>
                <w:bCs/>
              </w:rPr>
              <w:t>个人身份证（或其他有效证件）复印件</w:t>
            </w:r>
          </w:p>
        </w:tc>
      </w:tr>
      <w:tr w14:paraId="66D818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2" w:hRule="atLeast"/>
        </w:trPr>
        <w:tc>
          <w:tcPr>
            <w:tcW w:w="640" w:type="dxa"/>
            <w:vAlign w:val="center"/>
          </w:tcPr>
          <w:p w14:paraId="536474AE">
            <w:pPr>
              <w:pStyle w:val="4"/>
              <w:adjustRightInd w:val="0"/>
              <w:snapToGrid w:val="0"/>
              <w:spacing w:line="360" w:lineRule="auto"/>
              <w:ind w:left="9" w:firstLine="0"/>
              <w:jc w:val="center"/>
              <w:rPr>
                <w:rFonts w:ascii="宋体" w:hAnsi="宋体" w:cs="宋体"/>
                <w:bCs/>
                <w:sz w:val="24"/>
                <w:szCs w:val="24"/>
              </w:rPr>
            </w:pPr>
            <w:r>
              <w:rPr>
                <w:rFonts w:hint="eastAsia" w:ascii="宋体" w:hAnsi="宋体" w:cs="宋体"/>
                <w:bCs/>
                <w:sz w:val="24"/>
                <w:szCs w:val="24"/>
              </w:rPr>
              <w:t>13</w:t>
            </w:r>
          </w:p>
        </w:tc>
        <w:tc>
          <w:tcPr>
            <w:tcW w:w="2256" w:type="dxa"/>
            <w:vAlign w:val="center"/>
          </w:tcPr>
          <w:p w14:paraId="1F05C75E">
            <w:pPr>
              <w:pStyle w:val="22"/>
              <w:snapToGrid w:val="0"/>
              <w:spacing w:line="360" w:lineRule="auto"/>
              <w:ind w:left="150" w:leftChars="50"/>
              <w:jc w:val="both"/>
              <w:rPr>
                <w:bCs/>
              </w:rPr>
            </w:pPr>
            <w:r>
              <w:rPr>
                <w:rFonts w:hint="eastAsia"/>
                <w:bCs/>
                <w:lang w:val="zh-CN"/>
              </w:rPr>
              <w:t>评</w:t>
            </w:r>
            <w:r>
              <w:rPr>
                <w:rFonts w:hint="eastAsia"/>
                <w:bCs/>
              </w:rPr>
              <w:t>审</w:t>
            </w:r>
            <w:r>
              <w:rPr>
                <w:rFonts w:hint="eastAsia"/>
                <w:bCs/>
                <w:lang w:val="zh-CN"/>
              </w:rPr>
              <w:t>方法</w:t>
            </w:r>
          </w:p>
        </w:tc>
        <w:tc>
          <w:tcPr>
            <w:tcW w:w="5399" w:type="dxa"/>
            <w:vAlign w:val="center"/>
          </w:tcPr>
          <w:p w14:paraId="29891526">
            <w:pPr>
              <w:pStyle w:val="4"/>
              <w:spacing w:line="360" w:lineRule="auto"/>
              <w:ind w:firstLine="0"/>
              <w:rPr>
                <w:rFonts w:ascii="宋体" w:hAnsi="宋体" w:cs="宋体"/>
                <w:sz w:val="24"/>
                <w:szCs w:val="24"/>
              </w:rPr>
            </w:pPr>
            <w:r>
              <w:rPr>
                <w:rStyle w:val="23"/>
                <w:rFonts w:hint="eastAsia" w:ascii="宋体" w:hAnsi="宋体" w:cs="宋体"/>
                <w:kern w:val="0"/>
                <w:sz w:val="24"/>
                <w:szCs w:val="24"/>
              </w:rPr>
              <w:t>本项目采用</w:t>
            </w:r>
            <w:r>
              <w:rPr>
                <w:rStyle w:val="23"/>
                <w:rFonts w:hint="eastAsia" w:ascii="宋体" w:hAnsi="宋体" w:cs="宋体"/>
                <w:b/>
                <w:bCs/>
                <w:kern w:val="0"/>
                <w:sz w:val="24"/>
                <w:szCs w:val="24"/>
              </w:rPr>
              <w:t>综合评分法（</w:t>
            </w:r>
            <w:r>
              <w:rPr>
                <w:rStyle w:val="23"/>
                <w:rFonts w:hint="eastAsia" w:ascii="宋体" w:hAnsi="宋体" w:cs="宋体"/>
                <w:kern w:val="0"/>
                <w:sz w:val="24"/>
                <w:szCs w:val="24"/>
              </w:rPr>
              <w:t>是指供应商响应文件满足采购文件全部实质性要求，且按照评审因素的量化指标评审得分最高的供应商为成交候选人的评审方法</w:t>
            </w:r>
            <w:r>
              <w:rPr>
                <w:rStyle w:val="23"/>
                <w:rFonts w:hint="eastAsia" w:ascii="宋体" w:hAnsi="宋体" w:cs="宋体"/>
                <w:b/>
                <w:bCs/>
                <w:kern w:val="0"/>
                <w:sz w:val="24"/>
                <w:szCs w:val="24"/>
              </w:rPr>
              <w:t>）</w:t>
            </w:r>
            <w:r>
              <w:rPr>
                <w:rStyle w:val="23"/>
                <w:rFonts w:hint="eastAsia" w:ascii="宋体" w:hAnsi="宋体" w:cs="宋体"/>
                <w:kern w:val="0"/>
                <w:sz w:val="24"/>
                <w:szCs w:val="24"/>
              </w:rPr>
              <w:t>进行评审。</w:t>
            </w:r>
          </w:p>
        </w:tc>
      </w:tr>
      <w:tr w14:paraId="1BD82F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2" w:hRule="atLeast"/>
        </w:trPr>
        <w:tc>
          <w:tcPr>
            <w:tcW w:w="640" w:type="dxa"/>
            <w:vAlign w:val="center"/>
          </w:tcPr>
          <w:p w14:paraId="63241EE2">
            <w:pPr>
              <w:pStyle w:val="4"/>
              <w:adjustRightInd w:val="0"/>
              <w:snapToGrid w:val="0"/>
              <w:spacing w:line="360" w:lineRule="auto"/>
              <w:ind w:left="9" w:firstLine="0"/>
              <w:jc w:val="center"/>
              <w:rPr>
                <w:rFonts w:ascii="宋体" w:hAnsi="宋体" w:cs="宋体"/>
                <w:bCs/>
                <w:sz w:val="24"/>
                <w:szCs w:val="24"/>
              </w:rPr>
            </w:pPr>
            <w:r>
              <w:rPr>
                <w:rFonts w:hint="eastAsia" w:ascii="宋体" w:hAnsi="宋体" w:cs="宋体"/>
                <w:bCs/>
                <w:sz w:val="24"/>
                <w:szCs w:val="24"/>
              </w:rPr>
              <w:t>14</w:t>
            </w:r>
          </w:p>
        </w:tc>
        <w:tc>
          <w:tcPr>
            <w:tcW w:w="2256" w:type="dxa"/>
            <w:vAlign w:val="center"/>
          </w:tcPr>
          <w:p w14:paraId="4B8AC260">
            <w:pPr>
              <w:pStyle w:val="22"/>
              <w:snapToGrid w:val="0"/>
              <w:spacing w:line="360" w:lineRule="auto"/>
              <w:ind w:left="150" w:leftChars="50"/>
              <w:jc w:val="both"/>
              <w:rPr>
                <w:bCs/>
              </w:rPr>
            </w:pPr>
            <w:r>
              <w:rPr>
                <w:rFonts w:hint="eastAsia"/>
                <w:bCs/>
              </w:rPr>
              <w:t>项目要求</w:t>
            </w:r>
          </w:p>
        </w:tc>
        <w:tc>
          <w:tcPr>
            <w:tcW w:w="5399" w:type="dxa"/>
            <w:vAlign w:val="center"/>
          </w:tcPr>
          <w:p w14:paraId="1B536FF5">
            <w:pPr>
              <w:spacing w:line="360" w:lineRule="auto"/>
              <w:rPr>
                <w:rStyle w:val="23"/>
                <w:rFonts w:ascii="宋体" w:hAnsi="宋体" w:cs="宋体"/>
                <w:kern w:val="0"/>
                <w:sz w:val="24"/>
              </w:rPr>
            </w:pPr>
            <w:r>
              <w:rPr>
                <w:rFonts w:hint="eastAsia" w:ascii="宋体" w:hAnsi="宋体" w:cs="宋体"/>
                <w:kern w:val="0"/>
                <w:sz w:val="24"/>
              </w:rPr>
              <w:t>本次采购提交响应文件或者经评审实质性响应采购文件要求的供应商只有两家时，磋商小组将继续与该两家供应商进行磋商活动。</w:t>
            </w:r>
            <w:r>
              <w:rPr>
                <w:rFonts w:hint="eastAsia" w:ascii="宋体" w:hAnsi="宋体" w:cs="宋体"/>
                <w:sz w:val="24"/>
              </w:rPr>
              <w:t>当</w:t>
            </w:r>
            <w:r>
              <w:rPr>
                <w:rFonts w:hint="eastAsia" w:ascii="宋体" w:hAnsi="宋体" w:cs="宋体"/>
                <w:kern w:val="0"/>
                <w:sz w:val="24"/>
              </w:rPr>
              <w:t>提交响应文件或者经评审实质性响应采购文件要求的供应商少于两家时，本次磋商活动失败。</w:t>
            </w:r>
          </w:p>
        </w:tc>
      </w:tr>
      <w:tr w14:paraId="5937A3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2" w:hRule="atLeast"/>
        </w:trPr>
        <w:tc>
          <w:tcPr>
            <w:tcW w:w="640" w:type="dxa"/>
            <w:vAlign w:val="center"/>
          </w:tcPr>
          <w:p w14:paraId="6631BB27">
            <w:pPr>
              <w:pStyle w:val="4"/>
              <w:adjustRightInd w:val="0"/>
              <w:snapToGrid w:val="0"/>
              <w:spacing w:line="360" w:lineRule="auto"/>
              <w:ind w:left="9" w:firstLine="0"/>
              <w:jc w:val="center"/>
              <w:rPr>
                <w:rFonts w:ascii="宋体" w:hAnsi="宋体" w:cs="宋体"/>
                <w:bCs/>
                <w:sz w:val="24"/>
                <w:szCs w:val="24"/>
              </w:rPr>
            </w:pPr>
            <w:r>
              <w:rPr>
                <w:rFonts w:hint="eastAsia" w:ascii="宋体" w:hAnsi="宋体" w:cs="宋体"/>
                <w:bCs/>
                <w:sz w:val="24"/>
                <w:szCs w:val="24"/>
              </w:rPr>
              <w:t>15</w:t>
            </w:r>
          </w:p>
        </w:tc>
        <w:tc>
          <w:tcPr>
            <w:tcW w:w="2256" w:type="dxa"/>
            <w:vAlign w:val="center"/>
          </w:tcPr>
          <w:p w14:paraId="627CE448">
            <w:pPr>
              <w:pStyle w:val="22"/>
              <w:snapToGrid w:val="0"/>
              <w:spacing w:line="360" w:lineRule="auto"/>
              <w:ind w:left="150" w:leftChars="50"/>
              <w:jc w:val="both"/>
              <w:rPr>
                <w:bCs/>
              </w:rPr>
            </w:pPr>
            <w:r>
              <w:rPr>
                <w:rFonts w:hint="eastAsia"/>
                <w:bCs/>
              </w:rPr>
              <w:t>项目属性</w:t>
            </w:r>
          </w:p>
        </w:tc>
        <w:tc>
          <w:tcPr>
            <w:tcW w:w="5399" w:type="dxa"/>
            <w:vAlign w:val="center"/>
          </w:tcPr>
          <w:p w14:paraId="6A1D659F">
            <w:pPr>
              <w:pStyle w:val="22"/>
              <w:snapToGrid w:val="0"/>
              <w:spacing w:line="360" w:lineRule="auto"/>
              <w:ind w:left="150" w:leftChars="50"/>
              <w:jc w:val="both"/>
              <w:rPr>
                <w:bCs/>
              </w:rPr>
            </w:pPr>
            <w:r>
              <w:rPr>
                <w:rFonts w:hint="eastAsia"/>
                <w:bCs/>
              </w:rPr>
              <w:t>服务类</w:t>
            </w:r>
          </w:p>
        </w:tc>
      </w:tr>
    </w:tbl>
    <w:p w14:paraId="484112BF">
      <w:pPr>
        <w:pStyle w:val="6"/>
        <w:spacing w:after="0" w:line="360" w:lineRule="auto"/>
        <w:rPr>
          <w:rFonts w:ascii="宋体" w:hAnsi="宋体" w:cs="宋体"/>
          <w:sz w:val="24"/>
        </w:rPr>
      </w:pPr>
    </w:p>
    <w:p w14:paraId="1EB8CB5A">
      <w:pPr>
        <w:pStyle w:val="6"/>
        <w:spacing w:after="0" w:line="360" w:lineRule="auto"/>
        <w:rPr>
          <w:rFonts w:ascii="宋体" w:hAnsi="宋体" w:cs="宋体"/>
          <w:sz w:val="24"/>
        </w:rPr>
      </w:pPr>
    </w:p>
    <w:p w14:paraId="7435657F">
      <w:pPr>
        <w:pStyle w:val="6"/>
        <w:spacing w:after="0" w:line="360" w:lineRule="auto"/>
        <w:rPr>
          <w:rFonts w:ascii="宋体" w:hAnsi="宋体" w:cs="宋体"/>
          <w:sz w:val="24"/>
        </w:rPr>
      </w:pPr>
    </w:p>
    <w:p w14:paraId="5DC7A107">
      <w:pPr>
        <w:pStyle w:val="6"/>
        <w:spacing w:after="0" w:line="360" w:lineRule="auto"/>
        <w:rPr>
          <w:rFonts w:ascii="宋体" w:hAnsi="宋体" w:cs="宋体"/>
          <w:sz w:val="24"/>
        </w:rPr>
      </w:pPr>
    </w:p>
    <w:p w14:paraId="4B93E9B9">
      <w:pPr>
        <w:adjustRightInd w:val="0"/>
        <w:snapToGrid w:val="0"/>
        <w:spacing w:line="360" w:lineRule="auto"/>
        <w:ind w:firstLine="480" w:firstLineChars="200"/>
        <w:rPr>
          <w:rFonts w:ascii="宋体" w:hAnsi="宋体" w:cs="宋体"/>
          <w:bCs/>
          <w:kern w:val="0"/>
          <w:sz w:val="24"/>
        </w:rPr>
      </w:pPr>
      <w:bookmarkStart w:id="19" w:name="_Toc246826106"/>
      <w:r>
        <w:rPr>
          <w:rFonts w:hint="eastAsia" w:ascii="宋体" w:hAnsi="宋体" w:cs="宋体"/>
          <w:bCs/>
          <w:kern w:val="0"/>
          <w:sz w:val="24"/>
        </w:rPr>
        <w:t>一、总则</w:t>
      </w:r>
      <w:bookmarkEnd w:id="19"/>
    </w:p>
    <w:p w14:paraId="315C2EE6">
      <w:pPr>
        <w:adjustRightInd w:val="0"/>
        <w:snapToGrid w:val="0"/>
        <w:spacing w:line="360" w:lineRule="auto"/>
        <w:ind w:firstLine="480" w:firstLineChars="200"/>
        <w:rPr>
          <w:rFonts w:ascii="宋体" w:hAnsi="宋体" w:cs="宋体"/>
          <w:bCs/>
          <w:kern w:val="0"/>
          <w:sz w:val="24"/>
        </w:rPr>
      </w:pPr>
      <w:bookmarkStart w:id="20" w:name="_Toc246826115"/>
      <w:r>
        <w:rPr>
          <w:rFonts w:hint="eastAsia" w:ascii="宋体" w:hAnsi="宋体" w:cs="宋体"/>
          <w:bCs/>
          <w:kern w:val="0"/>
          <w:sz w:val="24"/>
        </w:rPr>
        <w:t>1.适用范围</w:t>
      </w:r>
    </w:p>
    <w:p w14:paraId="28503E72">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本采购文件仅适用于本次响应邀请函中所述项目的采购。</w:t>
      </w:r>
    </w:p>
    <w:p w14:paraId="22C96967">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2.定义</w:t>
      </w:r>
    </w:p>
    <w:p w14:paraId="4E390256">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本采购文件中的下列术语应解释为：</w:t>
      </w:r>
    </w:p>
    <w:p w14:paraId="69C08701">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2.1“采购人”系指本项目的采购人，是依法开展政府采购活动的国家机关、事业单位和团体组织。在履行合同阶段称为甲方或买方。</w:t>
      </w:r>
    </w:p>
    <w:p w14:paraId="13810C4C">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2.2“供应商”系指向采购人提供货物、工程或者服务的法人、其他组织或者自然人。法人的分支机构不得参加政府采购活动，但银行、保险、石油石化、电力、电信等特殊行业除外</w:t>
      </w:r>
      <w:r>
        <w:rPr>
          <w:rFonts w:hint="eastAsia" w:ascii="宋体" w:hAnsi="宋体" w:cs="宋体"/>
          <w:bCs/>
          <w:sz w:val="24"/>
          <w:lang w:val="zh-CN"/>
        </w:rPr>
        <w:t>。</w:t>
      </w:r>
      <w:r>
        <w:rPr>
          <w:rFonts w:hint="eastAsia" w:ascii="宋体" w:hAnsi="宋体" w:cs="宋体"/>
          <w:bCs/>
          <w:kern w:val="0"/>
          <w:sz w:val="24"/>
        </w:rPr>
        <w:t>在响应阶段称为供应商、供应商，在签订和履行合同阶段称为乙方、卖方或成交人（成交供应商）。</w:t>
      </w:r>
      <w:bookmarkStart w:id="21" w:name="_Toc267320062"/>
    </w:p>
    <w:p w14:paraId="10358BE9">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w:t>
      </w:r>
      <w:bookmarkEnd w:id="21"/>
      <w:r>
        <w:rPr>
          <w:rFonts w:hint="eastAsia" w:ascii="宋体" w:hAnsi="宋体" w:cs="宋体"/>
          <w:bCs/>
          <w:kern w:val="0"/>
          <w:sz w:val="24"/>
        </w:rPr>
        <w:t>.供应商</w:t>
      </w:r>
    </w:p>
    <w:p w14:paraId="3E7EEA3F">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3.1合格供应商条件</w:t>
      </w:r>
    </w:p>
    <w:p w14:paraId="79AF1FE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3.1.1在中华人民共和国境内注册，能够独立承担民事责任，有生产或供应能力的本国供应商，包括法人、其他组织</w:t>
      </w:r>
      <w:r>
        <w:rPr>
          <w:rFonts w:hint="eastAsia" w:ascii="宋体" w:hAnsi="宋体" w:cs="宋体"/>
          <w:bCs/>
          <w:sz w:val="24"/>
          <w:lang w:val="zh-CN"/>
        </w:rPr>
        <w:t>或者</w:t>
      </w:r>
      <w:r>
        <w:rPr>
          <w:rFonts w:hint="eastAsia" w:ascii="宋体" w:hAnsi="宋体" w:cs="宋体"/>
          <w:bCs/>
          <w:sz w:val="24"/>
        </w:rPr>
        <w:t>自然人；</w:t>
      </w:r>
    </w:p>
    <w:p w14:paraId="733DBC9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3.1.2符合《政府采购法》第二十二条规定的条件：</w:t>
      </w:r>
    </w:p>
    <w:p w14:paraId="326DAB10">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3.1.2.1具有独立承担民事责任的能力；</w:t>
      </w:r>
    </w:p>
    <w:p w14:paraId="0DF6482F">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3.1.2.1具有良好的商业信誉和健全的财务会计制度；</w:t>
      </w:r>
    </w:p>
    <w:p w14:paraId="44C64EA3">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3.1.2.1具有履行合同所必需的设备和专业技术能力；</w:t>
      </w:r>
    </w:p>
    <w:p w14:paraId="0D533BBC">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3.1.2.1有依法缴纳税收和社会保障资金的良好记录；</w:t>
      </w:r>
    </w:p>
    <w:p w14:paraId="12EC254B">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3.1.2.1参加政府采购活动前三年内，在经营活动中没有重大违法记录；</w:t>
      </w:r>
    </w:p>
    <w:p w14:paraId="0D405972">
      <w:pPr>
        <w:adjustRightInd w:val="0"/>
        <w:snapToGrid w:val="0"/>
        <w:spacing w:line="360" w:lineRule="auto"/>
        <w:ind w:firstLine="480" w:firstLineChars="200"/>
        <w:rPr>
          <w:rFonts w:ascii="宋体" w:hAnsi="宋体" w:cs="宋体"/>
          <w:bCs/>
          <w:sz w:val="24"/>
        </w:rPr>
      </w:pPr>
      <w:r>
        <w:rPr>
          <w:rFonts w:hint="eastAsia" w:ascii="宋体" w:hAnsi="宋体" w:cs="宋体"/>
          <w:bCs/>
          <w:kern w:val="0"/>
          <w:sz w:val="24"/>
        </w:rPr>
        <w:t>3.1.2.1法律、行政法规规定的其他条件。</w:t>
      </w:r>
    </w:p>
    <w:p w14:paraId="79E0374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3.1.3满足采购文件报价、商务和技术等实质性要求的；</w:t>
      </w:r>
    </w:p>
    <w:p w14:paraId="59E08D39">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3.2供应商的风险</w:t>
      </w:r>
    </w:p>
    <w:p w14:paraId="0723F457">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3.2.1供应商没有按照采购文件的要求编制、签署、密封、标记、递交及修正响应文件的，或者响应文件没有对采购文件在各方面都做出实质性响应的，将导致响应</w:t>
      </w:r>
      <w:r>
        <w:rPr>
          <w:rFonts w:hint="eastAsia" w:ascii="宋体" w:hAnsi="宋体" w:cs="宋体"/>
          <w:b/>
          <w:kern w:val="0"/>
          <w:sz w:val="24"/>
        </w:rPr>
        <w:t>无效</w:t>
      </w:r>
      <w:r>
        <w:rPr>
          <w:rFonts w:hint="eastAsia" w:ascii="宋体" w:hAnsi="宋体" w:cs="宋体"/>
          <w:bCs/>
          <w:kern w:val="0"/>
          <w:sz w:val="24"/>
        </w:rPr>
        <w:t>。</w:t>
      </w:r>
    </w:p>
    <w:p w14:paraId="1230256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3.2.2供应商提交的响应文件内容有下列情形之一的，一经发现，视为</w:t>
      </w:r>
      <w:r>
        <w:rPr>
          <w:rFonts w:hint="eastAsia" w:ascii="宋体" w:hAnsi="宋体" w:cs="宋体"/>
          <w:b/>
          <w:sz w:val="24"/>
        </w:rPr>
        <w:t>无效</w:t>
      </w:r>
      <w:r>
        <w:rPr>
          <w:rFonts w:hint="eastAsia" w:ascii="宋体" w:hAnsi="宋体" w:cs="宋体"/>
          <w:bCs/>
          <w:sz w:val="24"/>
        </w:rPr>
        <w:t>响应，并依法上报政府采购监督管理部门处理</w:t>
      </w:r>
      <w:r>
        <w:rPr>
          <w:rFonts w:hint="eastAsia" w:ascii="宋体" w:hAnsi="宋体" w:cs="宋体"/>
          <w:bCs/>
          <w:kern w:val="0"/>
          <w:sz w:val="24"/>
        </w:rPr>
        <w:t>：</w:t>
      </w:r>
    </w:p>
    <w:p w14:paraId="7F18E14F">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（1）提供虚假的资料。</w:t>
      </w:r>
    </w:p>
    <w:p w14:paraId="3ADCA4EB">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（2）在实质性方面失实。</w:t>
      </w:r>
    </w:p>
    <w:p w14:paraId="75D62ED4">
      <w:pPr>
        <w:adjustRightInd w:val="0"/>
        <w:snapToGrid w:val="0"/>
        <w:spacing w:line="360" w:lineRule="auto"/>
        <w:ind w:firstLine="480" w:firstLineChars="200"/>
        <w:rPr>
          <w:rFonts w:ascii="宋体" w:hAnsi="宋体" w:cs="宋体"/>
          <w:bCs/>
          <w:kern w:val="0"/>
          <w:sz w:val="24"/>
        </w:rPr>
      </w:pPr>
      <w:r>
        <w:rPr>
          <w:rFonts w:hint="eastAsia" w:ascii="宋体" w:hAnsi="宋体" w:cs="宋体"/>
          <w:bCs/>
          <w:kern w:val="0"/>
          <w:sz w:val="24"/>
        </w:rPr>
        <w:t>3.2.3</w:t>
      </w:r>
      <w:r>
        <w:rPr>
          <w:rFonts w:hint="eastAsia" w:ascii="宋体" w:hAnsi="宋体" w:cs="宋体"/>
          <w:bCs/>
          <w:sz w:val="24"/>
        </w:rPr>
        <w:t>供应商享受政策优惠条件但提供的证明（说明）文件或</w:t>
      </w:r>
      <w:r>
        <w:rPr>
          <w:rFonts w:hint="eastAsia" w:ascii="宋体" w:hAnsi="宋体" w:cs="宋体"/>
          <w:sz w:val="24"/>
        </w:rPr>
        <w:t>承诺文件失实的，</w:t>
      </w:r>
      <w:r>
        <w:rPr>
          <w:rFonts w:hint="eastAsia" w:ascii="宋体" w:hAnsi="宋体" w:cs="宋体"/>
          <w:bCs/>
          <w:sz w:val="24"/>
        </w:rPr>
        <w:t>视同响应文件提供虚假资料论处。</w:t>
      </w:r>
    </w:p>
    <w:p w14:paraId="165E745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4.响应费用</w:t>
      </w:r>
    </w:p>
    <w:p w14:paraId="36C8AD5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4.1无论响应过程中的做法和结果如何，供应商自行承担所有与参加采购活动有关的全部费用；</w:t>
      </w:r>
    </w:p>
    <w:p w14:paraId="25EB6182">
      <w:pPr>
        <w:pStyle w:val="5"/>
        <w:adjustRightInd w:val="0"/>
        <w:snapToGrid w:val="0"/>
        <w:spacing w:line="360" w:lineRule="auto"/>
        <w:ind w:firstLine="480" w:firstLineChars="200"/>
        <w:rPr>
          <w:rFonts w:ascii="宋体" w:hAnsi="宋体" w:cs="宋体"/>
          <w:bCs/>
          <w:sz w:val="24"/>
        </w:rPr>
      </w:pPr>
      <w:r>
        <w:rPr>
          <w:rFonts w:hint="eastAsia" w:ascii="宋体" w:hAnsi="宋体" w:cs="宋体"/>
          <w:bCs/>
          <w:sz w:val="24"/>
        </w:rPr>
        <w:t>4.2本次招标采购活动不收取</w:t>
      </w:r>
      <w:r>
        <w:rPr>
          <w:rFonts w:hint="eastAsia" w:ascii="宋体" w:hAnsi="宋体" w:cs="宋体"/>
          <w:sz w:val="24"/>
        </w:rPr>
        <w:t>任何费用</w:t>
      </w:r>
      <w:r>
        <w:rPr>
          <w:rFonts w:hint="eastAsia" w:ascii="宋体" w:hAnsi="宋体" w:cs="宋体"/>
          <w:bCs/>
          <w:sz w:val="24"/>
        </w:rPr>
        <w:t>。</w:t>
      </w:r>
    </w:p>
    <w:p w14:paraId="4D0B0BF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5.政策优惠条件及要求:无</w:t>
      </w:r>
    </w:p>
    <w:p w14:paraId="412CC27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6.注意事项</w:t>
      </w:r>
    </w:p>
    <w:p w14:paraId="666A838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6.1采购文件第二章《采购需求》中列明标的物的技术要求是采购人基于实际工作需要而提出的基本需求，如果有专利、商标、品牌、规格型号等信息的，仅起技术说明、参考作用，不具有任何限制性，响应产品响应其指标性能要求即可。技术指标具体详见“供应商须知前附表”要求。</w:t>
      </w:r>
    </w:p>
    <w:p w14:paraId="28A9725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6.2如果“采购需求”注明接受进口产品响应的，仍可接受国内产品参与竞争。所谓进口产品是指:通过中国海关报关验放进入中国境内且产自关外的产品。进口产品响应详见“供应商须知前附表”要求。</w:t>
      </w:r>
    </w:p>
    <w:p w14:paraId="7435C9A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6.3如果没有特别声明或要求，供应商被视为充分熟悉本招标项目所在地与履行合同有关的各种情况，包括自然环境、气候条件、劳动力及公用设施等，本采购文件不再对上述情况进行描述。</w:t>
      </w:r>
    </w:p>
    <w:p w14:paraId="7A6E7C0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6.4分包采购详见“供应商须知前附表”要求。</w:t>
      </w:r>
    </w:p>
    <w:p w14:paraId="74F4A9C2">
      <w:pPr>
        <w:adjustRightInd w:val="0"/>
        <w:snapToGrid w:val="0"/>
        <w:spacing w:line="360" w:lineRule="auto"/>
        <w:ind w:firstLine="480" w:firstLineChars="200"/>
        <w:rPr>
          <w:rFonts w:ascii="宋体" w:hAnsi="宋体" w:cs="宋体"/>
          <w:bCs/>
          <w:sz w:val="24"/>
        </w:rPr>
      </w:pPr>
      <w:bookmarkStart w:id="22" w:name="_Toc246826107"/>
      <w:r>
        <w:rPr>
          <w:rFonts w:hint="eastAsia" w:ascii="宋体" w:hAnsi="宋体" w:cs="宋体"/>
          <w:bCs/>
          <w:sz w:val="24"/>
        </w:rPr>
        <w:t>二、采购文件</w:t>
      </w:r>
      <w:bookmarkEnd w:id="22"/>
    </w:p>
    <w:p w14:paraId="5246575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7.采购文件的组成</w:t>
      </w:r>
    </w:p>
    <w:p w14:paraId="621274E9">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采购文件用以阐明供应商准备响应文件所必须的信息，以及响应、开标、评审和签订合同等有关规定。采购文件以电子版形式下载，采购文件由下述章节组成：</w:t>
      </w:r>
    </w:p>
    <w:p w14:paraId="1D09BAFB">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（1）响应邀请</w:t>
      </w:r>
    </w:p>
    <w:p w14:paraId="3365FE1C">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（2）采购需求</w:t>
      </w:r>
    </w:p>
    <w:p w14:paraId="580B10DB">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（3）供应商须知</w:t>
      </w:r>
    </w:p>
    <w:p w14:paraId="3671005B">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（4）评审方法与标准</w:t>
      </w:r>
    </w:p>
    <w:p w14:paraId="1C324CC2">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（5）采购合同格式</w:t>
      </w:r>
    </w:p>
    <w:p w14:paraId="7D6F1B4E">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（6）响应文件格式及附件</w:t>
      </w:r>
    </w:p>
    <w:p w14:paraId="1A4968EE">
      <w:pPr>
        <w:tabs>
          <w:tab w:val="left" w:pos="720"/>
        </w:tabs>
        <w:adjustRightInd w:val="0"/>
        <w:snapToGrid w:val="0"/>
        <w:spacing w:line="360" w:lineRule="auto"/>
        <w:ind w:firstLine="480" w:firstLineChars="200"/>
        <w:rPr>
          <w:rFonts w:ascii="宋体" w:hAnsi="宋体" w:cs="宋体"/>
          <w:bCs/>
          <w:sz w:val="24"/>
        </w:rPr>
      </w:pPr>
      <w:bookmarkStart w:id="23" w:name="_Toc183682348"/>
      <w:bookmarkStart w:id="24" w:name="_Toc183582211"/>
      <w:bookmarkStart w:id="25" w:name="_Toc217446040"/>
      <w:r>
        <w:rPr>
          <w:rFonts w:hint="eastAsia" w:ascii="宋体" w:hAnsi="宋体" w:cs="宋体"/>
          <w:bCs/>
          <w:sz w:val="24"/>
        </w:rPr>
        <w:t>8.采购文件的澄清</w:t>
      </w:r>
      <w:bookmarkEnd w:id="23"/>
      <w:bookmarkEnd w:id="24"/>
      <w:r>
        <w:rPr>
          <w:rFonts w:hint="eastAsia" w:ascii="宋体" w:hAnsi="宋体" w:cs="宋体"/>
          <w:bCs/>
          <w:sz w:val="24"/>
        </w:rPr>
        <w:t>和修改</w:t>
      </w:r>
      <w:bookmarkEnd w:id="25"/>
    </w:p>
    <w:p w14:paraId="31342466">
      <w:pPr>
        <w:tabs>
          <w:tab w:val="left" w:pos="72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8.1 在响应截止时间前，采购人无论出于何种原因，可以对采购文件进行澄清或者修改。</w:t>
      </w:r>
    </w:p>
    <w:p w14:paraId="3B313BF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8.2</w:t>
      </w:r>
      <w:bookmarkStart w:id="26" w:name="_Toc430422414"/>
      <w:bookmarkStart w:id="27" w:name="_Toc430492127"/>
      <w:bookmarkStart w:id="28" w:name="_Toc415567498"/>
      <w:bookmarkStart w:id="29" w:name="_Toc430488645"/>
      <w:bookmarkStart w:id="30" w:name="_Toc430489120"/>
      <w:bookmarkStart w:id="31" w:name="_Toc430488852"/>
      <w:bookmarkStart w:id="32" w:name="_Toc430490613"/>
      <w:r>
        <w:rPr>
          <w:rFonts w:hint="eastAsia" w:ascii="宋体" w:hAnsi="宋体" w:cs="宋体"/>
          <w:bCs/>
          <w:sz w:val="24"/>
        </w:rPr>
        <w:t xml:space="preserve"> 采购文件的修改</w:t>
      </w:r>
      <w:bookmarkEnd w:id="26"/>
      <w:bookmarkEnd w:id="27"/>
      <w:bookmarkEnd w:id="28"/>
      <w:bookmarkEnd w:id="29"/>
      <w:bookmarkEnd w:id="30"/>
      <w:bookmarkEnd w:id="31"/>
      <w:bookmarkEnd w:id="32"/>
    </w:p>
    <w:p w14:paraId="567F9CCB">
      <w:pPr>
        <w:pStyle w:val="9"/>
        <w:adjustRightInd w:val="0"/>
        <w:snapToGrid w:val="0"/>
        <w:spacing w:line="360" w:lineRule="auto"/>
        <w:ind w:firstLine="480" w:firstLineChars="200"/>
        <w:rPr>
          <w:rFonts w:hAnsi="宋体" w:cs="宋体"/>
          <w:bCs/>
          <w:sz w:val="24"/>
          <w:szCs w:val="24"/>
        </w:rPr>
      </w:pPr>
      <w:bookmarkStart w:id="33" w:name="_Toc246826109"/>
      <w:bookmarkStart w:id="34" w:name="_Toc245888275"/>
      <w:bookmarkStart w:id="35" w:name="_Toc245887536"/>
      <w:bookmarkStart w:id="36" w:name="_Toc246825804"/>
      <w:r>
        <w:rPr>
          <w:rFonts w:hint="eastAsia" w:hAnsi="宋体" w:cs="宋体"/>
          <w:bCs/>
          <w:sz w:val="24"/>
          <w:szCs w:val="24"/>
        </w:rPr>
        <w:t>（1）在响应截止时间以前，采购人可主动或依供应商要求澄清或质疑的问题对采购文件进行必要的补遗、澄清或修改；</w:t>
      </w:r>
      <w:bookmarkEnd w:id="33"/>
      <w:bookmarkEnd w:id="34"/>
      <w:bookmarkEnd w:id="35"/>
      <w:bookmarkEnd w:id="36"/>
      <w:bookmarkStart w:id="37" w:name="_Toc208848971"/>
      <w:bookmarkStart w:id="38" w:name="_Toc217446041"/>
    </w:p>
    <w:p w14:paraId="7F6B3257">
      <w:pPr>
        <w:pStyle w:val="9"/>
        <w:adjustRightInd w:val="0"/>
        <w:snapToGrid w:val="0"/>
        <w:spacing w:line="360" w:lineRule="auto"/>
        <w:ind w:firstLine="480" w:firstLineChars="200"/>
        <w:rPr>
          <w:rFonts w:hAnsi="宋体" w:cs="宋体"/>
          <w:bCs/>
          <w:sz w:val="24"/>
          <w:szCs w:val="24"/>
        </w:rPr>
      </w:pPr>
      <w:r>
        <w:rPr>
          <w:rFonts w:hint="eastAsia" w:hAnsi="宋体" w:cs="宋体"/>
          <w:bCs/>
          <w:sz w:val="24"/>
          <w:szCs w:val="24"/>
        </w:rPr>
        <w:t>（2）补遗、澄清或修改内容可能影响响应文件编制的，采购人须在响应截止时间3日前发布公告；不足3日的，采购人应当顺延提交响应文件的截止时间和开标时间，在此情况下，采购当事人受响应截止期制约的所有权利和义务均应延长至新的截止日期；</w:t>
      </w:r>
    </w:p>
    <w:p w14:paraId="22FEA67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（3）补遗、澄清或修改后的内容是采购文件的组成部分，并对潜在供应商具有约束力。有关</w:t>
      </w:r>
      <w:r>
        <w:rPr>
          <w:rFonts w:hint="eastAsia" w:ascii="宋体" w:hAnsi="宋体" w:cs="宋体"/>
          <w:bCs/>
          <w:spacing w:val="-8"/>
          <w:sz w:val="24"/>
        </w:rPr>
        <w:t>本项目采购文件的补遗、澄清及变更信息以第一章指定网站公告及下载内容为准，</w:t>
      </w:r>
      <w:r>
        <w:rPr>
          <w:rFonts w:hint="eastAsia" w:ascii="宋体" w:hAnsi="宋体" w:cs="宋体"/>
          <w:bCs/>
          <w:sz w:val="24"/>
        </w:rPr>
        <w:t>采购人不再另行通知，潜在供应商须及时关注关于本项目采购信息的更新事项，否则自行承担由此产生的风险。采购文件与更正公告的内容相互矛盾时，以最后发出的更正公告为准。</w:t>
      </w:r>
    </w:p>
    <w:p w14:paraId="74B3BEA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9.其他</w:t>
      </w:r>
    </w:p>
    <w:p w14:paraId="765C9C4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w:t>
      </w:r>
      <w:bookmarkEnd w:id="37"/>
      <w:bookmarkEnd w:id="38"/>
      <w:r>
        <w:rPr>
          <w:rFonts w:hint="eastAsia" w:ascii="宋体" w:hAnsi="宋体" w:cs="宋体"/>
          <w:bCs/>
          <w:sz w:val="24"/>
        </w:rPr>
        <w:t>标前现场考察或/和标前答疑会</w:t>
      </w:r>
    </w:p>
    <w:p w14:paraId="72FD914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9.1.1供应商须知前附表规定组织答疑会或/和现场考察的，采购人或/和采购代理机构按供应商须知前附表规定的时间、地点组织答疑会或/和供应商考察项目现场，供应商如不参加的，其风险由供应商自行承担，采购人或/和采购代理机构不承担任何责任。采购人或/和采购代理机构不组织现场考察的，供应商可以自行决定是否考察现场。</w:t>
      </w:r>
    </w:p>
    <w:p w14:paraId="50C3F5D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9.1.2答疑会上，采购人或/和采购代理机构将解答供应商的疑问。会上所有的解答与澄清仅供供应商编制响应文件时参考，采购人或/和采购代理机构不对供应商据此作出的判断和决策负责。</w:t>
      </w:r>
    </w:p>
    <w:p w14:paraId="7058E65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9.1.3采购人或/和采购代理机构在考察现场中口头介绍的情况（如有），供供应商在编制响应文件时参考，采购人或/和采购代理机构不对供应商据此作出的判断和决策负责。</w:t>
      </w:r>
    </w:p>
    <w:p w14:paraId="285DA19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9.1.4采购人或/和采购代理机构不单独或者分别组织只有1个供应商参加的现场考察及标前答疑会。</w:t>
      </w:r>
    </w:p>
    <w:p w14:paraId="30EBC85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9.1.5供应商自行承担参加答疑或现场考察所发生的一切费用。</w:t>
      </w:r>
    </w:p>
    <w:p w14:paraId="6936DE1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9.2述标和/或产（样）品演（展）示</w:t>
      </w:r>
    </w:p>
    <w:p w14:paraId="1598A0C8">
      <w:pPr>
        <w:pStyle w:val="4"/>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具体要求详见第二章“采购需求”和/或“供应商须知前附表”有关规定。</w:t>
      </w:r>
    </w:p>
    <w:p w14:paraId="745A9AE7">
      <w:pPr>
        <w:adjustRightInd w:val="0"/>
        <w:snapToGrid w:val="0"/>
        <w:spacing w:line="360" w:lineRule="auto"/>
        <w:ind w:firstLine="480" w:firstLineChars="200"/>
        <w:rPr>
          <w:rFonts w:ascii="宋体" w:hAnsi="宋体" w:cs="宋体"/>
          <w:bCs/>
          <w:sz w:val="24"/>
        </w:rPr>
      </w:pPr>
      <w:bookmarkStart w:id="39" w:name="_Toc246826110"/>
      <w:r>
        <w:rPr>
          <w:rFonts w:hint="eastAsia" w:ascii="宋体" w:hAnsi="宋体" w:cs="宋体"/>
          <w:bCs/>
          <w:sz w:val="24"/>
        </w:rPr>
        <w:t>三、响应文件的编写</w:t>
      </w:r>
      <w:bookmarkEnd w:id="39"/>
    </w:p>
    <w:p w14:paraId="42A5151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 响应文件的编制要求：供应商应当根据采购文件的要求编制响应文件（包括签名和盖章），否则自行承担由此产生的风险。</w:t>
      </w:r>
    </w:p>
    <w:p w14:paraId="5985F86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10.1供应商应当根据自己的商务能力、技术水平对采购文件提出的要求和条件逐条标明响应与否。如果因为响应文件填报的内容不详，或没有提供采购文件中所要求的全部资料及数据，则供应商自行承担由此产生的风险。</w:t>
      </w:r>
    </w:p>
    <w:p w14:paraId="590277E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10.2供应商提供的文件必须真实、充分、全面，并对响应文件所提供全部资料的真实性和合法性承担法律责任。</w:t>
      </w:r>
    </w:p>
    <w:p w14:paraId="7FC232B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10.3每一种规格的货物只允许有一个报价，否则将被视为</w:t>
      </w:r>
      <w:r>
        <w:rPr>
          <w:rFonts w:hint="eastAsia" w:ascii="宋体" w:hAnsi="宋体" w:cs="宋体"/>
          <w:b/>
          <w:sz w:val="24"/>
        </w:rPr>
        <w:t>无效</w:t>
      </w:r>
      <w:r>
        <w:rPr>
          <w:rFonts w:hint="eastAsia" w:ascii="宋体" w:hAnsi="宋体" w:cs="宋体"/>
          <w:bCs/>
          <w:sz w:val="24"/>
        </w:rPr>
        <w:t>响应。</w:t>
      </w:r>
    </w:p>
    <w:p w14:paraId="6D7950D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10.4只允许供应商有一个响应方案，否则将被视为</w:t>
      </w:r>
      <w:r>
        <w:rPr>
          <w:rFonts w:hint="eastAsia" w:ascii="宋体" w:hAnsi="宋体" w:cs="宋体"/>
          <w:b/>
          <w:sz w:val="24"/>
        </w:rPr>
        <w:t>无效</w:t>
      </w:r>
      <w:r>
        <w:rPr>
          <w:rFonts w:hint="eastAsia" w:ascii="宋体" w:hAnsi="宋体" w:cs="宋体"/>
          <w:bCs/>
          <w:sz w:val="24"/>
        </w:rPr>
        <w:t>响应。（采购文件允许有备选方案的除外）</w:t>
      </w:r>
    </w:p>
    <w:p w14:paraId="4499163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10.5 供应商根据采购文件载明的采购项目实际情况，拟在成交后将成交项目的非主体、非关键性工作交由他人完成的，应当在响应文件中载明。</w:t>
      </w:r>
    </w:p>
    <w:p w14:paraId="6C45591D">
      <w:pPr>
        <w:pStyle w:val="5"/>
        <w:adjustRightInd w:val="0"/>
        <w:snapToGrid w:val="0"/>
        <w:spacing w:line="360" w:lineRule="auto"/>
        <w:ind w:firstLine="480" w:firstLineChars="200"/>
        <w:rPr>
          <w:rFonts w:ascii="宋体" w:hAnsi="宋体" w:cs="宋体"/>
          <w:bCs/>
          <w:sz w:val="24"/>
        </w:rPr>
      </w:pPr>
      <w:r>
        <w:rPr>
          <w:rFonts w:hint="eastAsia" w:ascii="宋体" w:hAnsi="宋体" w:cs="宋体"/>
          <w:bCs/>
          <w:sz w:val="24"/>
        </w:rPr>
        <w:t>10.6响应文件的正本、副本和电子版响应文件的数量应当符合采购文件的要求。</w:t>
      </w:r>
    </w:p>
    <w:p w14:paraId="74D31CC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10.7响应文件必须编页码，页码必须连续。</w:t>
      </w:r>
    </w:p>
    <w:p w14:paraId="74277B1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10.8响应文件应装订牢固不可拆卸（如：胶订），如因装订不牢固导致的任何损失及风险由供应商承担。</w:t>
      </w:r>
    </w:p>
    <w:p w14:paraId="76BA076C">
      <w:pPr>
        <w:pStyle w:val="9"/>
        <w:tabs>
          <w:tab w:val="left" w:pos="8360"/>
        </w:tabs>
        <w:adjustRightInd w:val="0"/>
        <w:snapToGrid w:val="0"/>
        <w:spacing w:line="360" w:lineRule="auto"/>
        <w:ind w:firstLine="480" w:firstLineChars="200"/>
        <w:jc w:val="left"/>
        <w:rPr>
          <w:rFonts w:hAnsi="宋体" w:cs="宋体"/>
          <w:bCs/>
          <w:sz w:val="24"/>
          <w:szCs w:val="24"/>
        </w:rPr>
      </w:pPr>
      <w:r>
        <w:rPr>
          <w:rFonts w:hint="eastAsia" w:hAnsi="宋体" w:cs="宋体"/>
          <w:bCs/>
          <w:sz w:val="24"/>
          <w:szCs w:val="24"/>
        </w:rPr>
        <w:t>11. 响应文件语言、货物及计量单位</w:t>
      </w:r>
    </w:p>
    <w:p w14:paraId="6931081E">
      <w:pPr>
        <w:pStyle w:val="5"/>
        <w:spacing w:line="360" w:lineRule="auto"/>
        <w:ind w:firstLine="480" w:firstLineChars="200"/>
        <w:rPr>
          <w:rFonts w:ascii="宋体" w:hAnsi="宋体" w:cs="宋体"/>
          <w:bCs/>
          <w:sz w:val="24"/>
        </w:rPr>
      </w:pPr>
      <w:r>
        <w:rPr>
          <w:rFonts w:hint="eastAsia" w:ascii="宋体" w:hAnsi="宋体" w:cs="宋体"/>
          <w:bCs/>
          <w:sz w:val="24"/>
        </w:rPr>
        <w:t>11.1除采购文件中另有规定外，供应商提交的响应文件及其与采购人和采购代理机构所有来往文件均应使用中文，若有不同文本，以中文文本为准。非中文的响应</w:t>
      </w:r>
      <w:r>
        <w:rPr>
          <w:rFonts w:hint="eastAsia" w:ascii="宋体" w:hAnsi="宋体" w:cs="宋体"/>
          <w:sz w:val="24"/>
        </w:rPr>
        <w:t>文件内容应翻译成中文</w:t>
      </w:r>
      <w:r>
        <w:rPr>
          <w:rFonts w:hint="eastAsia" w:ascii="宋体" w:hAnsi="宋体" w:cs="宋体"/>
          <w:bCs/>
          <w:sz w:val="24"/>
        </w:rPr>
        <w:t>。</w:t>
      </w:r>
    </w:p>
    <w:p w14:paraId="58AD41D6">
      <w:pPr>
        <w:pStyle w:val="9"/>
        <w:tabs>
          <w:tab w:val="left" w:pos="8360"/>
        </w:tabs>
        <w:adjustRightInd w:val="0"/>
        <w:snapToGrid w:val="0"/>
        <w:spacing w:line="360" w:lineRule="auto"/>
        <w:ind w:firstLine="480" w:firstLineChars="200"/>
        <w:jc w:val="left"/>
        <w:rPr>
          <w:rFonts w:hAnsi="宋体" w:cs="宋体"/>
          <w:bCs/>
          <w:sz w:val="24"/>
          <w:szCs w:val="24"/>
        </w:rPr>
      </w:pPr>
      <w:r>
        <w:rPr>
          <w:rFonts w:hint="eastAsia" w:hAnsi="宋体" w:cs="宋体"/>
          <w:bCs/>
          <w:sz w:val="24"/>
          <w:szCs w:val="24"/>
        </w:rPr>
        <w:t>11.2货币单位：本次采购项目的响应均以人民币报价。</w:t>
      </w:r>
    </w:p>
    <w:p w14:paraId="46813AC4">
      <w:pPr>
        <w:pStyle w:val="9"/>
        <w:tabs>
          <w:tab w:val="left" w:pos="8360"/>
        </w:tabs>
        <w:adjustRightInd w:val="0"/>
        <w:snapToGrid w:val="0"/>
        <w:spacing w:line="360" w:lineRule="auto"/>
        <w:ind w:firstLine="480" w:firstLineChars="200"/>
        <w:jc w:val="left"/>
        <w:rPr>
          <w:rFonts w:hAnsi="宋体" w:cs="宋体"/>
          <w:bCs/>
          <w:sz w:val="24"/>
          <w:szCs w:val="24"/>
        </w:rPr>
      </w:pPr>
      <w:r>
        <w:rPr>
          <w:rFonts w:hint="eastAsia" w:hAnsi="宋体" w:cs="宋体"/>
          <w:bCs/>
          <w:sz w:val="24"/>
          <w:szCs w:val="24"/>
        </w:rPr>
        <w:t>11.3计量单位：除采购文件中另有规定外，供应商在响应文件中及其与采购人和采购代理机构所有往来文件中所使用的计量单位均应采用中华人民共和国法定计量单位。</w:t>
      </w:r>
      <w:bookmarkStart w:id="40" w:name="_Toc217446046"/>
    </w:p>
    <w:bookmarkEnd w:id="40"/>
    <w:p w14:paraId="702CD342">
      <w:pPr>
        <w:pStyle w:val="9"/>
        <w:tabs>
          <w:tab w:val="left" w:pos="8360"/>
        </w:tabs>
        <w:adjustRightInd w:val="0"/>
        <w:snapToGrid w:val="0"/>
        <w:spacing w:line="360" w:lineRule="auto"/>
        <w:ind w:firstLine="480" w:firstLineChars="200"/>
        <w:jc w:val="left"/>
        <w:rPr>
          <w:rFonts w:hAnsi="宋体" w:cs="宋体"/>
          <w:bCs/>
          <w:sz w:val="24"/>
          <w:szCs w:val="24"/>
        </w:rPr>
      </w:pPr>
      <w:r>
        <w:rPr>
          <w:rFonts w:hint="eastAsia" w:hAnsi="宋体" w:cs="宋体"/>
          <w:bCs/>
          <w:sz w:val="24"/>
          <w:szCs w:val="24"/>
        </w:rPr>
        <w:t>12、响应文件的组成：由商务部分、技术部分、价格部分以及其他部分组成。所有证明材料、说明文件、响应要求详见“供应商须知前附表”的具体要求，供应商不提供或不按要求提供的则自行承担由此产生的风险。</w:t>
      </w:r>
    </w:p>
    <w:p w14:paraId="02E52CEA">
      <w:pPr>
        <w:pStyle w:val="7"/>
        <w:adjustRightInd w:val="0"/>
        <w:ind w:firstLine="480" w:firstLineChars="200"/>
        <w:rPr>
          <w:rFonts w:ascii="宋体" w:hAnsi="宋体" w:eastAsia="宋体" w:cs="宋体"/>
          <w:sz w:val="24"/>
          <w:szCs w:val="24"/>
        </w:rPr>
      </w:pPr>
      <w:r>
        <w:rPr>
          <w:rFonts w:hint="eastAsia" w:ascii="宋体" w:hAnsi="宋体" w:eastAsia="宋体" w:cs="宋体"/>
          <w:sz w:val="24"/>
          <w:szCs w:val="24"/>
        </w:rPr>
        <w:t>12.1响应文件的商务部分</w:t>
      </w:r>
    </w:p>
    <w:p w14:paraId="2FC4224D">
      <w:pPr>
        <w:pStyle w:val="7"/>
        <w:adjustRightInd w:val="0"/>
        <w:ind w:firstLine="480" w:firstLineChars="200"/>
        <w:rPr>
          <w:rFonts w:ascii="宋体" w:hAnsi="宋体" w:eastAsia="宋体" w:cs="宋体"/>
          <w:sz w:val="24"/>
          <w:szCs w:val="24"/>
        </w:rPr>
      </w:pPr>
      <w:r>
        <w:rPr>
          <w:rFonts w:hint="eastAsia" w:ascii="宋体" w:hAnsi="宋体" w:eastAsia="宋体" w:cs="宋体"/>
          <w:sz w:val="24"/>
          <w:szCs w:val="24"/>
        </w:rPr>
        <w:t>12.1.1 商务部分是证明供应商是合格的，并且在成交后有能力履行合同的证明文件，这些文件可以是但不限于文字资料、证书复印件和数据报表等。</w:t>
      </w:r>
    </w:p>
    <w:p w14:paraId="11CF89B0">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12.1.2 不满足服务期限要求的将视为</w:t>
      </w:r>
      <w:r>
        <w:rPr>
          <w:rFonts w:hint="eastAsia" w:ascii="宋体" w:hAnsi="宋体" w:cs="宋体"/>
          <w:b/>
          <w:sz w:val="24"/>
        </w:rPr>
        <w:t>无效</w:t>
      </w:r>
      <w:r>
        <w:rPr>
          <w:rFonts w:hint="eastAsia" w:ascii="宋体" w:hAnsi="宋体" w:cs="宋体"/>
          <w:bCs/>
          <w:sz w:val="24"/>
        </w:rPr>
        <w:t>响应。</w:t>
      </w:r>
    </w:p>
    <w:p w14:paraId="5D708CEF">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12.2 响应文件的技术部分</w:t>
      </w:r>
    </w:p>
    <w:p w14:paraId="27A161CC">
      <w:pPr>
        <w:pStyle w:val="7"/>
        <w:adjustRightInd w:val="0"/>
        <w:ind w:firstLine="480" w:firstLineChars="200"/>
        <w:rPr>
          <w:rFonts w:ascii="宋体" w:hAnsi="宋体" w:eastAsia="宋体" w:cs="宋体"/>
          <w:sz w:val="24"/>
          <w:szCs w:val="24"/>
        </w:rPr>
      </w:pPr>
      <w:r>
        <w:rPr>
          <w:rFonts w:hint="eastAsia" w:ascii="宋体" w:hAnsi="宋体" w:eastAsia="宋体" w:cs="宋体"/>
          <w:sz w:val="24"/>
          <w:szCs w:val="24"/>
        </w:rPr>
        <w:t>技术部分是证明响应产品的技术（服务）标准以及安装、施工或验收标准是符合国家或/和行业的强制标准（包括但不限于生产、经营许可或质量标准等），并符合采购文件要求的证明文件，这些文件可以是但不限于文字资料、图纸和数据等。</w:t>
      </w:r>
    </w:p>
    <w:p w14:paraId="5E94094A">
      <w:pPr>
        <w:autoSpaceDE w:val="0"/>
        <w:autoSpaceDN w:val="0"/>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 xml:space="preserve">12.3 响应文件的价格部分 </w:t>
      </w:r>
    </w:p>
    <w:p w14:paraId="7A4933F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价格部分是供应商对响应货物和服务价格的构成所作的说明。该响应总价是供应商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响应报价之内；该响应总价不得高于预算金额或最高限价，且须是本项目服务期限内所有服务费用的总和，否则视为</w:t>
      </w:r>
      <w:r>
        <w:rPr>
          <w:rFonts w:hint="eastAsia" w:ascii="宋体" w:hAnsi="宋体" w:cs="宋体"/>
          <w:b/>
          <w:sz w:val="24"/>
        </w:rPr>
        <w:t>无效</w:t>
      </w:r>
      <w:r>
        <w:rPr>
          <w:rFonts w:hint="eastAsia" w:ascii="宋体" w:hAnsi="宋体" w:cs="宋体"/>
          <w:bCs/>
          <w:sz w:val="24"/>
        </w:rPr>
        <w:t>响应。</w:t>
      </w:r>
    </w:p>
    <w:p w14:paraId="58A51EFF">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12.4 响应文件的其他部分</w:t>
      </w:r>
    </w:p>
    <w:p w14:paraId="63A065D7">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其他部分由供应商根据编制响应文件需要提供的其他相关文件组成。</w:t>
      </w:r>
    </w:p>
    <w:p w14:paraId="79180F3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13、响应有效期</w:t>
      </w:r>
    </w:p>
    <w:p w14:paraId="0857B138">
      <w:pPr>
        <w:autoSpaceDE w:val="0"/>
        <w:autoSpaceDN w:val="0"/>
        <w:adjustRightInd w:val="0"/>
        <w:snapToGrid w:val="0"/>
        <w:spacing w:line="360" w:lineRule="auto"/>
        <w:ind w:firstLine="480" w:firstLineChars="200"/>
        <w:rPr>
          <w:rFonts w:ascii="宋体" w:hAnsi="宋体" w:cs="宋体"/>
          <w:bCs/>
          <w:sz w:val="24"/>
        </w:rPr>
      </w:pPr>
      <w:r>
        <w:rPr>
          <w:rFonts w:hint="eastAsia" w:ascii="宋体" w:hAnsi="宋体" w:cs="宋体"/>
          <w:bCs/>
          <w:sz w:val="24"/>
        </w:rPr>
        <w:t>13.1 响应文件从“供应商须知前附表”所规定的响应截止期之后开始生效，在“供应商须知前附表”所规定的响应有效期期限内保持有效。有效期不足将导致其响应</w:t>
      </w:r>
      <w:r>
        <w:rPr>
          <w:rFonts w:hint="eastAsia" w:ascii="宋体" w:hAnsi="宋体" w:cs="宋体"/>
          <w:b/>
          <w:sz w:val="24"/>
        </w:rPr>
        <w:t>无效</w:t>
      </w:r>
      <w:r>
        <w:rPr>
          <w:rFonts w:hint="eastAsia" w:ascii="宋体" w:hAnsi="宋体" w:cs="宋体"/>
          <w:bCs/>
          <w:sz w:val="24"/>
        </w:rPr>
        <w:t>。</w:t>
      </w:r>
    </w:p>
    <w:p w14:paraId="057E04B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13.2 特殊情况下采购人可于响应有效期满之前书面要求供应商同意延长有效期，供应商应在采购人规定的期限内以书面形式予以答复，供应商答复不明确或者逾期未答复的，均视为拒绝上述要求。供应商拒绝上述要求的，其投标保证金可按规定予以退还。对于接受该要求的供应商，既不要求也不允许其修改响应文件，但将要求其相应延长投标保证金有效期，有关退还和不予退还投标保证金的规定在响应有效期延长期内继续有效。同意响应有效期延长的，供应商自行承担由此产生的费用；同意响应有效期延长的供应商不足两家的，予以废标。不同意延长响应有效期的，响应有效期满自动失效。</w:t>
      </w:r>
    </w:p>
    <w:p w14:paraId="4ABFDEB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14.本项目不收取投标保证金。</w:t>
      </w:r>
    </w:p>
    <w:p w14:paraId="14BFEFD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15.响应文件的格式及签署</w:t>
      </w:r>
    </w:p>
    <w:p w14:paraId="2B0D006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15.1响应文件正本一份，副本若干份，电子版响应文件（PDF格式）U盘一个。正本、副本必须打印装订，副本可以用正本的完整复印件，并在封面标明“正本”、“副本”字样。电子版响应文件（PDF格式）为正本完整版的扫描件。正本与副本如有不一致，则以正本为准。</w:t>
      </w:r>
    </w:p>
    <w:p w14:paraId="0D54DDF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15.2响应文件应当由供应商的法定代表人或经其正式授权的代表签字，授权代表须出具书面的法定代表人授权委托书并附载响应文件中，否则视为</w:t>
      </w:r>
      <w:r>
        <w:rPr>
          <w:rFonts w:hint="eastAsia" w:ascii="宋体" w:hAnsi="宋体" w:cs="宋体"/>
          <w:b/>
          <w:sz w:val="24"/>
        </w:rPr>
        <w:t>无效</w:t>
      </w:r>
      <w:r>
        <w:rPr>
          <w:rFonts w:hint="eastAsia" w:ascii="宋体" w:hAnsi="宋体" w:cs="宋体"/>
          <w:bCs/>
          <w:sz w:val="24"/>
        </w:rPr>
        <w:t>响应文件；</w:t>
      </w:r>
    </w:p>
    <w:p w14:paraId="52190EF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15.3响应文件所使用的印章必须为单位公章，且与供应商单位名称完全一致，不能以其他业务章或附属机构印章代替，否则视为</w:t>
      </w:r>
      <w:r>
        <w:rPr>
          <w:rFonts w:hint="eastAsia" w:ascii="宋体" w:hAnsi="宋体" w:cs="宋体"/>
          <w:b/>
          <w:sz w:val="24"/>
        </w:rPr>
        <w:t>无效</w:t>
      </w:r>
      <w:r>
        <w:rPr>
          <w:rFonts w:hint="eastAsia" w:ascii="宋体" w:hAnsi="宋体" w:cs="宋体"/>
          <w:bCs/>
          <w:sz w:val="24"/>
        </w:rPr>
        <w:t>响应文件；</w:t>
      </w:r>
    </w:p>
    <w:p w14:paraId="5ECFD63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15.4响应文件中的任何行间插字，涂改和增删，须由法定代表人或经其正式授权的代表在旁边签字方可有效；</w:t>
      </w:r>
    </w:p>
    <w:p w14:paraId="5A603DA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15.5供应商应按照采购文件第六章中提供的“响应文件格式”编制响应文件，如自有格式并按其格式编制的响应文件，其内容必须包含“响应文件格式”中所有的实质性内容并受其约束。</w:t>
      </w:r>
    </w:p>
    <w:p w14:paraId="6DB7207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15.6供应商须将响应文件的商务部分、技术部分和价格部分整合为一份响应文件，并制作详细目录、页码索引。</w:t>
      </w:r>
    </w:p>
    <w:p w14:paraId="43AE041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15.7响应文件因字迹潦草或表达不清所引起的后果由供应商负责。</w:t>
      </w:r>
    </w:p>
    <w:p w14:paraId="32C89379">
      <w:pPr>
        <w:adjustRightInd w:val="0"/>
        <w:snapToGrid w:val="0"/>
        <w:spacing w:line="360" w:lineRule="auto"/>
        <w:ind w:firstLine="480" w:firstLineChars="200"/>
        <w:rPr>
          <w:rFonts w:ascii="宋体" w:hAnsi="宋体" w:cs="宋体"/>
          <w:bCs/>
          <w:sz w:val="24"/>
        </w:rPr>
      </w:pPr>
      <w:bookmarkStart w:id="41" w:name="_Toc246826111"/>
      <w:r>
        <w:rPr>
          <w:rFonts w:hint="eastAsia" w:ascii="宋体" w:hAnsi="宋体" w:cs="宋体"/>
          <w:bCs/>
          <w:sz w:val="24"/>
        </w:rPr>
        <w:t>四、响应文件的提交</w:t>
      </w:r>
      <w:bookmarkEnd w:id="41"/>
    </w:p>
    <w:p w14:paraId="599702E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16.响应文件的密封和递交</w:t>
      </w:r>
    </w:p>
    <w:p w14:paraId="5895A84E">
      <w:pPr>
        <w:pStyle w:val="5"/>
        <w:adjustRightInd w:val="0"/>
        <w:snapToGrid w:val="0"/>
        <w:spacing w:line="360" w:lineRule="auto"/>
        <w:ind w:firstLine="480" w:firstLineChars="200"/>
        <w:rPr>
          <w:rFonts w:ascii="宋体" w:hAnsi="宋体" w:cs="宋体"/>
          <w:bCs/>
          <w:sz w:val="24"/>
        </w:rPr>
      </w:pPr>
      <w:r>
        <w:rPr>
          <w:rFonts w:hint="eastAsia" w:ascii="宋体" w:hAnsi="宋体" w:cs="宋体"/>
          <w:bCs/>
          <w:sz w:val="24"/>
        </w:rPr>
        <w:t>16.1 供应商应将纸质版响应文件</w:t>
      </w:r>
      <w:r>
        <w:rPr>
          <w:rFonts w:hint="eastAsia" w:ascii="宋体" w:hAnsi="宋体" w:cs="宋体"/>
          <w:sz w:val="24"/>
        </w:rPr>
        <w:t>和</w:t>
      </w:r>
      <w:r>
        <w:rPr>
          <w:rFonts w:hint="eastAsia" w:ascii="宋体" w:hAnsi="宋体" w:cs="宋体"/>
          <w:bCs/>
          <w:sz w:val="24"/>
        </w:rPr>
        <w:t>电子版响应文件（PDF格式）密封提交，响应文件密封袋上标示“供应商须知前附表”所规定的内容。</w:t>
      </w:r>
    </w:p>
    <w:p w14:paraId="1424C9D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16.2供应商应将响应文件按照本须知正文第16.1条及第16.2条的规定进行密封和标记后，按第一章/响应邀请注明的递交响应文件地址送至采购人指定地点。</w:t>
      </w:r>
    </w:p>
    <w:p w14:paraId="63A5E00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16.3如果未按上述规定进行密封和标记，采购人将不承担由此造成的对响应文件的误投或提前拆封的责任。</w:t>
      </w:r>
    </w:p>
    <w:p w14:paraId="071E412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16.4响应文件应在第一章/响应邀请中所规定的响应截止时间前送达，迟到的响应文件为</w:t>
      </w:r>
      <w:r>
        <w:rPr>
          <w:rFonts w:hint="eastAsia" w:ascii="宋体" w:hAnsi="宋体" w:cs="宋体"/>
          <w:b/>
          <w:sz w:val="24"/>
        </w:rPr>
        <w:t>无效</w:t>
      </w:r>
      <w:r>
        <w:rPr>
          <w:rFonts w:hint="eastAsia" w:ascii="宋体" w:hAnsi="宋体" w:cs="宋体"/>
          <w:bCs/>
          <w:sz w:val="24"/>
        </w:rPr>
        <w:t>响应文件, 将被拒收；未按照采购文件要求密封的响应文件将被拒收。</w:t>
      </w:r>
    </w:p>
    <w:p w14:paraId="49D4126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16.5不接受邮寄或传真的响应文件。</w:t>
      </w:r>
      <w:bookmarkStart w:id="42" w:name="_Toc183582228"/>
      <w:bookmarkStart w:id="43" w:name="_Toc183682365"/>
      <w:bookmarkStart w:id="44" w:name="_Toc217446055"/>
    </w:p>
    <w:p w14:paraId="6BD8EB4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16.6 截至响应截止时间，参加响应的供应商（以开启会场签到为准）不足两家的，本项目采购失败，响应文件不予拆封，由供应商自行处理。</w:t>
      </w:r>
    </w:p>
    <w:p w14:paraId="76225ED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16.7参加响应供应商数量满足两家或以上的，同一时间予以开启，开启后，响应文件一律不予退还。</w:t>
      </w:r>
    </w:p>
    <w:p w14:paraId="0104667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17.响应文件的修改和撤</w:t>
      </w:r>
      <w:bookmarkEnd w:id="42"/>
      <w:bookmarkEnd w:id="43"/>
      <w:r>
        <w:rPr>
          <w:rFonts w:hint="eastAsia" w:ascii="宋体" w:hAnsi="宋体" w:cs="宋体"/>
          <w:bCs/>
          <w:sz w:val="24"/>
        </w:rPr>
        <w:t>回</w:t>
      </w:r>
      <w:bookmarkEnd w:id="44"/>
    </w:p>
    <w:p w14:paraId="592270B4">
      <w:pPr>
        <w:adjustRightInd w:val="0"/>
        <w:snapToGrid w:val="0"/>
        <w:spacing w:line="360" w:lineRule="auto"/>
        <w:ind w:firstLine="480" w:firstLineChars="200"/>
        <w:rPr>
          <w:rFonts w:ascii="宋体" w:hAnsi="宋体" w:cs="宋体"/>
          <w:bCs/>
          <w:sz w:val="24"/>
        </w:rPr>
      </w:pPr>
      <w:bookmarkStart w:id="45" w:name="_Toc246826112"/>
      <w:r>
        <w:rPr>
          <w:rFonts w:hint="eastAsia" w:ascii="宋体" w:hAnsi="宋体" w:cs="宋体"/>
          <w:bCs/>
          <w:sz w:val="24"/>
        </w:rPr>
        <w:t>17.l 供应商在提交响应文件后可对其进行修改或撤回，但必须使采购人在响应截止时间前收到该修改的书面内容或撤回的书面通知。</w:t>
      </w:r>
    </w:p>
    <w:p w14:paraId="68811CE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17.2 响应文件的修改文件应按第15条规定签署，并按第 16.1条规定盖章及标记，还须注明“修改响应文件”和“开启前不得启封”字样。修改文件须在响应截止时间前送达规定的响应地点。上述补充或修改若涉及响应报价，必须注明“最终唯一报价”字样，否则将视为有选择的报价。</w:t>
      </w:r>
    </w:p>
    <w:p w14:paraId="75E3EB1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17.3 供应商不得在响应截止时间以后修改或/和撤回响应文件。</w:t>
      </w:r>
    </w:p>
    <w:p w14:paraId="1662FD1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五、开启与</w:t>
      </w:r>
      <w:bookmarkEnd w:id="45"/>
      <w:r>
        <w:rPr>
          <w:rFonts w:hint="eastAsia" w:ascii="宋体" w:hAnsi="宋体" w:cs="宋体"/>
          <w:bCs/>
          <w:sz w:val="24"/>
        </w:rPr>
        <w:t>评审</w:t>
      </w:r>
    </w:p>
    <w:p w14:paraId="08D0F09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18．开启</w:t>
      </w:r>
    </w:p>
    <w:p w14:paraId="0AB04D7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18.1在第一章/响应邀请所规定的开启时间和地点开启。开启会议由采购人主持，采购人、供应商和有关方面代表参加。</w:t>
      </w:r>
    </w:p>
    <w:p w14:paraId="092D8E7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18.2开启时，供应商法定代表人或其授权代表须携带个人身份证（或其他有效证件）复印件和授权委托书（非法定代表人出席开启会议适用）亲自出席开启会议并确认开启情况。如果不参加开启会议的，则视为认可开启会议情况。</w:t>
      </w:r>
    </w:p>
    <w:p w14:paraId="028679D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18.3会议开始时，由供应商或者其推选的代表检查响应文件的密封情况，对密封等情形予以确认。供应商认为响应文件存在密封有瑕疵情形的，采购人将现场如实记录，由评审小组对响应文件实质性有效与否作出判断，由此产生的风险由供应商自行承担。</w:t>
      </w:r>
    </w:p>
    <w:p w14:paraId="7F07E77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18.4开启会议程序详见“供应商须知前附表”。</w:t>
      </w:r>
    </w:p>
    <w:p w14:paraId="6B85623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19.评审</w:t>
      </w:r>
    </w:p>
    <w:p w14:paraId="791827B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19.1评审小组</w:t>
      </w:r>
    </w:p>
    <w:p w14:paraId="04C2F442">
      <w:pPr>
        <w:pStyle w:val="5"/>
        <w:adjustRightInd w:val="0"/>
        <w:snapToGrid w:val="0"/>
        <w:spacing w:line="360" w:lineRule="auto"/>
        <w:ind w:firstLine="480" w:firstLineChars="200"/>
        <w:rPr>
          <w:rFonts w:ascii="宋体" w:hAnsi="宋体" w:cs="宋体"/>
          <w:bCs/>
          <w:sz w:val="24"/>
        </w:rPr>
      </w:pPr>
      <w:r>
        <w:rPr>
          <w:rFonts w:hint="eastAsia" w:ascii="宋体" w:hAnsi="宋体" w:cs="宋体"/>
          <w:bCs/>
          <w:sz w:val="24"/>
        </w:rPr>
        <w:t>19.1.1评审小组由采购人代表和评审专家组成，成员人数应当为3人以上单数，其中评审专家不得少于成员总数的三分之二。</w:t>
      </w:r>
    </w:p>
    <w:p w14:paraId="10026025">
      <w:pPr>
        <w:snapToGrid w:val="0"/>
        <w:spacing w:line="360" w:lineRule="auto"/>
        <w:ind w:firstLine="480" w:firstLineChars="200"/>
        <w:rPr>
          <w:rFonts w:ascii="宋体" w:hAnsi="宋体" w:cs="宋体"/>
          <w:bCs/>
          <w:sz w:val="24"/>
        </w:rPr>
      </w:pPr>
      <w:r>
        <w:rPr>
          <w:rFonts w:hint="eastAsia" w:ascii="宋体" w:hAnsi="宋体" w:cs="宋体"/>
          <w:bCs/>
          <w:sz w:val="24"/>
        </w:rPr>
        <w:t>19.1.2评审小组成员与供应商有下列利害关系之一的，应当回避：</w:t>
      </w:r>
    </w:p>
    <w:p w14:paraId="36F8669C">
      <w:pPr>
        <w:snapToGrid w:val="0"/>
        <w:spacing w:line="360" w:lineRule="auto"/>
        <w:ind w:firstLine="480" w:firstLineChars="200"/>
        <w:rPr>
          <w:rFonts w:ascii="宋体" w:hAnsi="宋体" w:cs="宋体"/>
          <w:bCs/>
          <w:sz w:val="24"/>
        </w:rPr>
      </w:pPr>
      <w:r>
        <w:rPr>
          <w:rFonts w:hint="eastAsia" w:ascii="宋体" w:hAnsi="宋体" w:cs="宋体"/>
          <w:bCs/>
          <w:sz w:val="24"/>
        </w:rPr>
        <w:t>（1）参加采购活动前3年内与供应商存在劳动关系；</w:t>
      </w:r>
    </w:p>
    <w:p w14:paraId="60220746">
      <w:pPr>
        <w:snapToGrid w:val="0"/>
        <w:spacing w:line="360" w:lineRule="auto"/>
        <w:ind w:firstLine="480" w:firstLineChars="200"/>
        <w:rPr>
          <w:rFonts w:ascii="宋体" w:hAnsi="宋体" w:cs="宋体"/>
          <w:bCs/>
          <w:sz w:val="24"/>
        </w:rPr>
      </w:pPr>
      <w:r>
        <w:rPr>
          <w:rFonts w:hint="eastAsia" w:ascii="宋体" w:hAnsi="宋体" w:cs="宋体"/>
          <w:bCs/>
          <w:sz w:val="24"/>
        </w:rPr>
        <w:t>（2）参加采购活动前3年内担任供应商的董事、监事；</w:t>
      </w:r>
    </w:p>
    <w:p w14:paraId="0E5D6828">
      <w:pPr>
        <w:snapToGrid w:val="0"/>
        <w:spacing w:line="360" w:lineRule="auto"/>
        <w:ind w:firstLine="480" w:firstLineChars="200"/>
        <w:rPr>
          <w:rFonts w:ascii="宋体" w:hAnsi="宋体" w:cs="宋体"/>
          <w:bCs/>
          <w:sz w:val="24"/>
        </w:rPr>
      </w:pPr>
      <w:r>
        <w:rPr>
          <w:rFonts w:hint="eastAsia" w:ascii="宋体" w:hAnsi="宋体" w:cs="宋体"/>
          <w:bCs/>
          <w:sz w:val="24"/>
        </w:rPr>
        <w:t>（3）参加采购活动前3年内是供应商的控股股东或者实际控制人；</w:t>
      </w:r>
    </w:p>
    <w:p w14:paraId="7F1C9728">
      <w:pPr>
        <w:snapToGrid w:val="0"/>
        <w:spacing w:line="360" w:lineRule="auto"/>
        <w:ind w:firstLine="480" w:firstLineChars="200"/>
        <w:rPr>
          <w:rFonts w:ascii="宋体" w:hAnsi="宋体" w:cs="宋体"/>
          <w:bCs/>
          <w:sz w:val="24"/>
        </w:rPr>
      </w:pPr>
      <w:r>
        <w:rPr>
          <w:rFonts w:hint="eastAsia" w:ascii="宋体" w:hAnsi="宋体" w:cs="宋体"/>
          <w:bCs/>
          <w:sz w:val="24"/>
        </w:rPr>
        <w:t>（4）与供应商的法定代表人或者负责人有夫妻、直系血亲、三代以内旁系血亲或者近姻亲关系；</w:t>
      </w:r>
    </w:p>
    <w:p w14:paraId="506A2D26">
      <w:pPr>
        <w:snapToGrid w:val="0"/>
        <w:spacing w:line="360" w:lineRule="auto"/>
        <w:ind w:firstLine="480" w:firstLineChars="200"/>
        <w:rPr>
          <w:rFonts w:ascii="宋体" w:hAnsi="宋体" w:cs="宋体"/>
          <w:bCs/>
          <w:sz w:val="24"/>
        </w:rPr>
      </w:pPr>
      <w:r>
        <w:rPr>
          <w:rFonts w:hint="eastAsia" w:ascii="宋体" w:hAnsi="宋体" w:cs="宋体"/>
          <w:bCs/>
          <w:sz w:val="24"/>
        </w:rPr>
        <w:t>（5）与供应商有其他可能影响政府采购活动公平、公正进行的关系。</w:t>
      </w:r>
    </w:p>
    <w:p w14:paraId="159E98B6">
      <w:pPr>
        <w:snapToGrid w:val="0"/>
        <w:spacing w:line="360" w:lineRule="auto"/>
        <w:ind w:firstLine="480" w:firstLineChars="200"/>
        <w:rPr>
          <w:rFonts w:ascii="宋体" w:hAnsi="宋体" w:cs="宋体"/>
          <w:bCs/>
          <w:sz w:val="24"/>
        </w:rPr>
      </w:pPr>
      <w:r>
        <w:rPr>
          <w:rFonts w:hint="eastAsia" w:ascii="宋体" w:hAnsi="宋体" w:cs="宋体"/>
          <w:bCs/>
          <w:sz w:val="24"/>
        </w:rPr>
        <w:t>供应商认为评审小组成员与其他供应商有利害关系的，可以向采购人或者采购代理机构书面提出回避申请，并说明理由。采购人或者采购代理机构应当及时询问被申请回避人员，有利害关系的被申请回避人员应当回避。评审专家发现本人与参加采购活动的供应商有利害关系的，应当主动提出回避。</w:t>
      </w:r>
    </w:p>
    <w:p w14:paraId="4B3E8821">
      <w:pPr>
        <w:pStyle w:val="5"/>
        <w:adjustRightInd w:val="0"/>
        <w:snapToGrid w:val="0"/>
        <w:spacing w:line="360" w:lineRule="auto"/>
        <w:ind w:firstLine="480" w:firstLineChars="200"/>
        <w:rPr>
          <w:rFonts w:ascii="宋体" w:hAnsi="宋体" w:cs="宋体"/>
          <w:bCs/>
          <w:sz w:val="24"/>
        </w:rPr>
      </w:pPr>
      <w:r>
        <w:rPr>
          <w:rFonts w:hint="eastAsia" w:ascii="宋体" w:hAnsi="宋体" w:cs="宋体"/>
          <w:bCs/>
          <w:sz w:val="24"/>
        </w:rPr>
        <w:t>19.1.3评审小组将严格遵守评审工作纪律，按照客观、公正、审慎的原则，根据采购文件规定的评审程序、评审方法和评审标准进行独立评审。</w:t>
      </w:r>
    </w:p>
    <w:p w14:paraId="097684B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 响应文件的评审</w:t>
      </w:r>
    </w:p>
    <w:p w14:paraId="58A7658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19.2.1 要求</w:t>
      </w:r>
    </w:p>
    <w:p w14:paraId="1647701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评审小组对所有供应商的评审，都采用相同的程序和标准并严格按照采购文件的要求和条件进行。评审小组决定响应实质性响应与否只根据响应文件本身的内容，以及述标和/或产（样）品演（展）示内容（如有），而不寻求其他的外部证据。</w:t>
      </w:r>
    </w:p>
    <w:p w14:paraId="69779EA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19.2.2 资格审查：依据采购文件的规定，评审小组将从采购文件对供应商的资格要求以及响应文件的有效性、完整性和对采购文件的响应程度进行审查，以确定是响应文件否符合采购文件对供应商的资格要求以及实质性要求。详见《资格审查表》</w:t>
      </w:r>
    </w:p>
    <w:p w14:paraId="662CA61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19.2.3 响应文件的澄清 </w:t>
      </w:r>
    </w:p>
    <w:p w14:paraId="09F744A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19.2.3．1对响应文件中含义不明确、同类问题表述不一致或者有明显文字和计算错误的内容，评审小组应当以书面形式要求供应商作出必要的澄清、说明或者补正。供应商的澄清、说明或者补正应当在评审小组规定的时间内以书面形式作出，并加盖公章，或者由法定代表人或者其授权代表签字。供应商的澄清、说明或者补正不得超出响应文件的范围或者改变响应文件的实质性内容。</w:t>
      </w:r>
    </w:p>
    <w:p w14:paraId="1C51ECF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19.2.3.2</w:t>
      </w:r>
      <w:r>
        <w:rPr>
          <w:rFonts w:hint="eastAsia" w:ascii="宋体" w:hAnsi="宋体" w:cs="宋体"/>
          <w:sz w:val="24"/>
        </w:rPr>
        <w:t>响应文件报价出现前后不一致的，除采购文件另有规定外，按照下列规定修正：</w:t>
      </w:r>
    </w:p>
    <w:p w14:paraId="51DD55E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（1）响应文件中报价一览表（报价表）内容与响应文件中相应内容不一致的，以报价一览表（报价表）为准；</w:t>
      </w:r>
    </w:p>
    <w:p w14:paraId="238D660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（2）大写金额和小写金额不一致的，以大写金额为准；</w:t>
      </w:r>
    </w:p>
    <w:p w14:paraId="39C6EE9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（3）单价金额小数点或者百分比有明显错位的，以报价一览表的总价为准，并修改单价；</w:t>
      </w:r>
    </w:p>
    <w:p w14:paraId="09E353C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（4）总价金额与按单价汇总金额不一致的，以单价金额计算结果为准。</w:t>
      </w:r>
    </w:p>
    <w:p w14:paraId="5533F38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同时出现两种以上不一致的，按照前款规定的顺序修正。修正后的报价经供应商确认后产生约束力，供应商不确认的，其响应</w:t>
      </w:r>
      <w:r>
        <w:rPr>
          <w:rFonts w:hint="eastAsia" w:ascii="宋体" w:hAnsi="宋体" w:cs="宋体"/>
          <w:b/>
          <w:sz w:val="24"/>
        </w:rPr>
        <w:t>无效</w:t>
      </w:r>
      <w:r>
        <w:rPr>
          <w:rFonts w:hint="eastAsia" w:ascii="宋体" w:hAnsi="宋体" w:cs="宋体"/>
          <w:bCs/>
          <w:sz w:val="24"/>
        </w:rPr>
        <w:t>。</w:t>
      </w:r>
    </w:p>
    <w:p w14:paraId="3BE598B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19.2.4比较与评价</w:t>
      </w:r>
    </w:p>
    <w:p w14:paraId="4FD2D975">
      <w:pPr>
        <w:pStyle w:val="5"/>
        <w:spacing w:line="360" w:lineRule="auto"/>
        <w:ind w:firstLine="480" w:firstLineChars="200"/>
        <w:rPr>
          <w:rFonts w:ascii="宋体" w:hAnsi="宋体" w:cs="宋体"/>
          <w:bCs/>
          <w:sz w:val="24"/>
        </w:rPr>
      </w:pPr>
      <w:r>
        <w:rPr>
          <w:rFonts w:hint="eastAsia" w:ascii="宋体" w:hAnsi="宋体" w:cs="宋体"/>
          <w:bCs/>
          <w:sz w:val="24"/>
        </w:rPr>
        <w:t>19.2.4.1评审小组将按第四章所规定的评审方法与标准，对</w:t>
      </w:r>
      <w:r>
        <w:rPr>
          <w:rFonts w:hint="eastAsia" w:ascii="宋体" w:hAnsi="宋体" w:cs="宋体"/>
          <w:sz w:val="24"/>
        </w:rPr>
        <w:t>资格审查</w:t>
      </w:r>
      <w:r>
        <w:rPr>
          <w:rFonts w:hint="eastAsia" w:ascii="宋体" w:hAnsi="宋体" w:cs="宋体"/>
          <w:bCs/>
          <w:sz w:val="24"/>
        </w:rPr>
        <w:t>合格的响应文件进行评审。</w:t>
      </w:r>
    </w:p>
    <w:p w14:paraId="41741C9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19.2.4.2评审中出现下列情形之一的，评审委员会应当启动异常低价投标（响应）审查程序：（一）投标（响应）报价低于全部通过资格审查供应商投标（响应）报价平均值50%的，即投标（响应）报价&lt;全部通过资格审查供应商投标（响应）报价平均值×50%；（二）投标（响应）报价低于通过资格审查且报价次低供应商投标（响应）报价50%的，即投标（响应）报价&lt;通过资格审查且报价次低供应商投标（响应）报价×50%；（三）投标（响应）报价低于采购项目预算金额45%的，即投标（响应）报价&lt;采购项目预算金额×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7F31F438">
      <w:pPr>
        <w:adjustRightInd w:val="0"/>
        <w:snapToGrid w:val="0"/>
        <w:spacing w:line="360" w:lineRule="auto"/>
        <w:ind w:firstLine="480" w:firstLineChars="200"/>
        <w:rPr>
          <w:rFonts w:ascii="宋体" w:hAnsi="宋体" w:cs="宋体"/>
          <w:sz w:val="24"/>
        </w:rPr>
      </w:pPr>
      <w:r>
        <w:rPr>
          <w:rFonts w:hint="eastAsia" w:ascii="宋体" w:hAnsi="宋体" w:cs="宋体"/>
          <w:bCs/>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6D06478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19.2.5有下列情形之一的，视为供应商串通投标，其响应</w:t>
      </w:r>
      <w:r>
        <w:rPr>
          <w:rFonts w:hint="eastAsia" w:ascii="宋体" w:hAnsi="宋体" w:cs="宋体"/>
          <w:b/>
          <w:sz w:val="24"/>
        </w:rPr>
        <w:t>无效</w:t>
      </w:r>
      <w:r>
        <w:rPr>
          <w:rFonts w:hint="eastAsia" w:ascii="宋体" w:hAnsi="宋体" w:cs="宋体"/>
          <w:bCs/>
          <w:sz w:val="24"/>
        </w:rPr>
        <w:t>：</w:t>
      </w:r>
    </w:p>
    <w:p w14:paraId="5B5207D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（一）不同供应商的响应文件由同一单位或者个人编制；</w:t>
      </w:r>
    </w:p>
    <w:p w14:paraId="4E3E72B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（二）不同供应商委托同一单位或者个人办理响应事宜；</w:t>
      </w:r>
    </w:p>
    <w:p w14:paraId="3E7110D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（三）不同供应商的响应文件载明的项目管理成员或者联系人员为同一人；</w:t>
      </w:r>
    </w:p>
    <w:p w14:paraId="5F2BF89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（四）不同供应商的响应文件异常一致或者响应报价呈规律性差异；</w:t>
      </w:r>
    </w:p>
    <w:p w14:paraId="386A3C7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（五）不同供应商的响应文件相互混装；</w:t>
      </w:r>
    </w:p>
    <w:p w14:paraId="4EDC2A0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（六）不同供应商的投标保证金从同一单位或者个人的账户转出。</w:t>
      </w:r>
    </w:p>
    <w:p w14:paraId="24E3677A">
      <w:pPr>
        <w:pStyle w:val="8"/>
        <w:spacing w:after="0" w:line="360" w:lineRule="auto"/>
        <w:ind w:left="0" w:leftChars="0" w:firstLine="480"/>
        <w:rPr>
          <w:rFonts w:ascii="宋体" w:hAnsi="宋体" w:eastAsia="宋体" w:cs="宋体"/>
          <w:sz w:val="24"/>
          <w:szCs w:val="24"/>
        </w:rPr>
      </w:pPr>
      <w:r>
        <w:rPr>
          <w:rFonts w:hint="eastAsia" w:ascii="宋体" w:hAnsi="宋体" w:eastAsia="宋体" w:cs="宋体"/>
          <w:sz w:val="24"/>
          <w:szCs w:val="24"/>
        </w:rPr>
        <w:t>19.2.6供应商存在下列情况之一的，响应</w:t>
      </w:r>
      <w:r>
        <w:rPr>
          <w:rFonts w:hint="eastAsia" w:ascii="宋体" w:hAnsi="宋体" w:eastAsia="宋体" w:cs="宋体"/>
          <w:b/>
          <w:bCs w:val="0"/>
          <w:sz w:val="24"/>
          <w:szCs w:val="24"/>
        </w:rPr>
        <w:t>无效</w:t>
      </w:r>
      <w:r>
        <w:rPr>
          <w:rFonts w:hint="eastAsia" w:ascii="宋体" w:hAnsi="宋体" w:eastAsia="宋体" w:cs="宋体"/>
          <w:sz w:val="24"/>
          <w:szCs w:val="24"/>
        </w:rPr>
        <w:t>：</w:t>
      </w:r>
    </w:p>
    <w:p w14:paraId="07A58191">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（一）未按照采购文件的规定提交投标保证金的；</w:t>
      </w:r>
    </w:p>
    <w:p w14:paraId="208E1600">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（二）响应文件未按采购文件要求签署、盖章的；</w:t>
      </w:r>
    </w:p>
    <w:p w14:paraId="5608BEE6">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（三）不具备采购文件中规定的资格要求的；</w:t>
      </w:r>
    </w:p>
    <w:p w14:paraId="0121A176">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（四）报价超过采购文件中规定的预算金额或者最高限价的；</w:t>
      </w:r>
    </w:p>
    <w:p w14:paraId="1E1A296C">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（五）响应文件含有采购人不能接受的附加条件的；</w:t>
      </w:r>
    </w:p>
    <w:p w14:paraId="1EAD5588">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（六）法律、法规和采购文件规定的其他无效情形。</w:t>
      </w:r>
    </w:p>
    <w:p w14:paraId="03545BE1">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20.采购失败</w:t>
      </w:r>
      <w:bookmarkStart w:id="46" w:name="_Toc217446072"/>
      <w:r>
        <w:rPr>
          <w:rFonts w:hint="eastAsia" w:ascii="宋体" w:hAnsi="宋体" w:cs="宋体"/>
          <w:bCs/>
          <w:sz w:val="24"/>
        </w:rPr>
        <w:t>的情形</w:t>
      </w:r>
      <w:bookmarkEnd w:id="46"/>
    </w:p>
    <w:p w14:paraId="21D5DFCE">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采购活动中，出现下列情形之一的，采购失败：</w:t>
      </w:r>
    </w:p>
    <w:p w14:paraId="4B002413">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（1）符合专业条件的供应商或者对采购文件作实质响应的供应商不足两家的；</w:t>
      </w:r>
    </w:p>
    <w:p w14:paraId="5D292CE0">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（2）出现影响采购公正的违法、违规行为的；</w:t>
      </w:r>
    </w:p>
    <w:p w14:paraId="7A4DD233">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（3）供应商的报价均超过了预算，采购人不能支付的；</w:t>
      </w:r>
    </w:p>
    <w:p w14:paraId="30FD0004">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（4）因重大变故，采购任务取消的。</w:t>
      </w:r>
    </w:p>
    <w:p w14:paraId="0A8CD57C">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采购失败后，采购人将在指定网站发布采购失败公告。</w:t>
      </w:r>
    </w:p>
    <w:p w14:paraId="36177C20">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21.纪律和监督</w:t>
      </w:r>
    </w:p>
    <w:p w14:paraId="67592332">
      <w:pPr>
        <w:tabs>
          <w:tab w:val="left" w:pos="540"/>
        </w:tabs>
        <w:adjustRightInd w:val="0"/>
        <w:snapToGrid w:val="0"/>
        <w:spacing w:line="360" w:lineRule="auto"/>
        <w:ind w:firstLine="480" w:firstLineChars="200"/>
        <w:rPr>
          <w:rFonts w:ascii="宋体" w:hAnsi="宋体" w:cs="宋体"/>
          <w:bCs/>
          <w:sz w:val="24"/>
        </w:rPr>
      </w:pPr>
      <w:bookmarkStart w:id="47" w:name="_Toc246996219"/>
      <w:bookmarkStart w:id="48" w:name="_Toc246996962"/>
      <w:bookmarkStart w:id="49" w:name="_Toc179632593"/>
      <w:bookmarkStart w:id="50" w:name="_Toc296590983"/>
      <w:bookmarkStart w:id="51" w:name="_Toc152042351"/>
      <w:bookmarkStart w:id="52" w:name="_Toc247085733"/>
      <w:bookmarkStart w:id="53" w:name="_Toc144974543"/>
      <w:bookmarkStart w:id="54" w:name="_Toc152045575"/>
      <w:bookmarkStart w:id="55" w:name="_Toc296602462"/>
      <w:r>
        <w:rPr>
          <w:rFonts w:hint="eastAsia" w:ascii="宋体" w:hAnsi="宋体" w:cs="宋体"/>
          <w:bCs/>
          <w:sz w:val="24"/>
        </w:rPr>
        <w:t>21.1 对采购人的纪律要求</w:t>
      </w:r>
      <w:bookmarkEnd w:id="47"/>
      <w:bookmarkEnd w:id="48"/>
      <w:bookmarkEnd w:id="49"/>
      <w:bookmarkEnd w:id="50"/>
      <w:bookmarkEnd w:id="51"/>
      <w:bookmarkEnd w:id="52"/>
      <w:bookmarkEnd w:id="53"/>
      <w:bookmarkEnd w:id="54"/>
      <w:bookmarkEnd w:id="55"/>
    </w:p>
    <w:p w14:paraId="4CD2EBE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采购人不得泄漏采购活动中应当保密的情况和资料，不得与供应商串通损害国家利益、社会公共利益或者他人合法权益。</w:t>
      </w:r>
    </w:p>
    <w:p w14:paraId="4F8F6951">
      <w:pPr>
        <w:adjustRightInd w:val="0"/>
        <w:snapToGrid w:val="0"/>
        <w:spacing w:line="360" w:lineRule="auto"/>
        <w:ind w:firstLine="480" w:firstLineChars="200"/>
        <w:rPr>
          <w:rFonts w:ascii="宋体" w:hAnsi="宋体" w:cs="宋体"/>
          <w:bCs/>
          <w:sz w:val="24"/>
        </w:rPr>
      </w:pPr>
      <w:bookmarkStart w:id="56" w:name="_Toc179632594"/>
      <w:bookmarkStart w:id="57" w:name="_Toc246996220"/>
      <w:bookmarkStart w:id="58" w:name="_Toc246996963"/>
      <w:bookmarkStart w:id="59" w:name="_Toc247085734"/>
      <w:bookmarkStart w:id="60" w:name="_Toc152042352"/>
      <w:bookmarkStart w:id="61" w:name="_Toc144974544"/>
      <w:bookmarkStart w:id="62" w:name="_Toc296602463"/>
      <w:bookmarkStart w:id="63" w:name="_Toc152045576"/>
      <w:r>
        <w:rPr>
          <w:rFonts w:hint="eastAsia" w:ascii="宋体" w:hAnsi="宋体" w:cs="宋体"/>
          <w:bCs/>
          <w:sz w:val="24"/>
        </w:rPr>
        <w:t>21.2对供应商的纪律要求</w:t>
      </w:r>
      <w:bookmarkEnd w:id="56"/>
      <w:bookmarkEnd w:id="57"/>
      <w:bookmarkEnd w:id="58"/>
      <w:bookmarkEnd w:id="59"/>
      <w:bookmarkEnd w:id="60"/>
      <w:bookmarkEnd w:id="61"/>
      <w:bookmarkEnd w:id="62"/>
      <w:bookmarkEnd w:id="63"/>
    </w:p>
    <w:p w14:paraId="26180B2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供应商不得相互串通投标或者与采购人串通投标，不得向采购人或者评审小组成员行贿谋取成交，不得以他人名义投标或者以其他方式弄虚作假骗取成交；供应商不得以任何方式干扰、影响评审工作。</w:t>
      </w:r>
    </w:p>
    <w:p w14:paraId="4D405883">
      <w:pPr>
        <w:adjustRightInd w:val="0"/>
        <w:snapToGrid w:val="0"/>
        <w:spacing w:line="360" w:lineRule="auto"/>
        <w:ind w:firstLine="480" w:firstLineChars="200"/>
        <w:rPr>
          <w:rFonts w:ascii="宋体" w:hAnsi="宋体" w:cs="宋体"/>
          <w:bCs/>
          <w:sz w:val="24"/>
        </w:rPr>
      </w:pPr>
      <w:bookmarkStart w:id="64" w:name="_Toc246996221"/>
      <w:bookmarkStart w:id="65" w:name="_Toc152042353"/>
      <w:bookmarkStart w:id="66" w:name="_Toc247085735"/>
      <w:bookmarkStart w:id="67" w:name="_Toc179632595"/>
      <w:bookmarkStart w:id="68" w:name="_Toc152045577"/>
      <w:bookmarkStart w:id="69" w:name="_Toc144974545"/>
      <w:bookmarkStart w:id="70" w:name="_Toc246996964"/>
      <w:bookmarkStart w:id="71" w:name="_Toc296602464"/>
      <w:r>
        <w:rPr>
          <w:rFonts w:hint="eastAsia" w:ascii="宋体" w:hAnsi="宋体" w:cs="宋体"/>
          <w:bCs/>
          <w:sz w:val="24"/>
        </w:rPr>
        <w:t>21.3对评审小组成员的纪律要求</w:t>
      </w:r>
      <w:bookmarkEnd w:id="64"/>
      <w:bookmarkEnd w:id="65"/>
      <w:bookmarkEnd w:id="66"/>
      <w:bookmarkEnd w:id="67"/>
      <w:bookmarkEnd w:id="68"/>
      <w:bookmarkEnd w:id="69"/>
      <w:bookmarkEnd w:id="70"/>
      <w:bookmarkEnd w:id="71"/>
    </w:p>
    <w:p w14:paraId="6A00D3C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评审小组成员不得收受他人的财物或者其他好处，不得向他人透漏对响应文件的评审和比较、成交候选人的推荐情况以及评审有关的其他情况。在评审活动中，评审小组成员应当客观、公正地履行职责，独立评审，遵守职业道德，不得擅离职守，影响评审程序正常进行，不得使用采购文件没有规定的评审因素和标准进行评审。</w:t>
      </w:r>
    </w:p>
    <w:p w14:paraId="60296812">
      <w:pPr>
        <w:adjustRightInd w:val="0"/>
        <w:snapToGrid w:val="0"/>
        <w:spacing w:line="360" w:lineRule="auto"/>
        <w:ind w:firstLine="480" w:firstLineChars="200"/>
        <w:rPr>
          <w:rFonts w:ascii="宋体" w:hAnsi="宋体" w:cs="宋体"/>
          <w:bCs/>
          <w:sz w:val="24"/>
        </w:rPr>
      </w:pPr>
      <w:bookmarkStart w:id="72" w:name="_Toc247085736"/>
      <w:bookmarkStart w:id="73" w:name="_Toc152045578"/>
      <w:bookmarkStart w:id="74" w:name="_Toc296602465"/>
      <w:bookmarkStart w:id="75" w:name="_Toc152042354"/>
      <w:bookmarkStart w:id="76" w:name="_Toc179632596"/>
      <w:bookmarkStart w:id="77" w:name="_Toc246996222"/>
      <w:bookmarkStart w:id="78" w:name="_Toc246996965"/>
      <w:r>
        <w:rPr>
          <w:rFonts w:hint="eastAsia" w:ascii="宋体" w:hAnsi="宋体" w:cs="宋体"/>
          <w:bCs/>
          <w:sz w:val="24"/>
        </w:rPr>
        <w:t>21.4对与评审活动有关的工作人员的纪律要求</w:t>
      </w:r>
      <w:bookmarkEnd w:id="72"/>
      <w:bookmarkEnd w:id="73"/>
      <w:bookmarkEnd w:id="74"/>
      <w:bookmarkEnd w:id="75"/>
      <w:bookmarkEnd w:id="76"/>
      <w:bookmarkEnd w:id="77"/>
      <w:bookmarkEnd w:id="78"/>
    </w:p>
    <w:p w14:paraId="49B50543">
      <w:pPr>
        <w:adjustRightInd w:val="0"/>
        <w:snapToGrid w:val="0"/>
        <w:spacing w:line="360" w:lineRule="auto"/>
        <w:ind w:firstLine="480" w:firstLineChars="200"/>
        <w:rPr>
          <w:rFonts w:ascii="宋体" w:hAnsi="宋体" w:cs="宋体"/>
          <w:bCs/>
          <w:sz w:val="24"/>
        </w:rPr>
      </w:pPr>
      <w:bookmarkStart w:id="79" w:name="_Toc152042355"/>
      <w:r>
        <w:rPr>
          <w:rFonts w:hint="eastAsia" w:ascii="宋体" w:hAnsi="宋体" w:cs="宋体"/>
          <w:bCs/>
          <w:sz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79"/>
    </w:p>
    <w:p w14:paraId="62CDB368">
      <w:pPr>
        <w:adjustRightInd w:val="0"/>
        <w:snapToGrid w:val="0"/>
        <w:spacing w:line="360" w:lineRule="auto"/>
        <w:ind w:firstLine="480" w:firstLineChars="200"/>
        <w:rPr>
          <w:rFonts w:ascii="宋体" w:hAnsi="宋体" w:cs="宋体"/>
          <w:bCs/>
          <w:sz w:val="24"/>
        </w:rPr>
      </w:pPr>
      <w:bookmarkStart w:id="80" w:name="_Toc246826113"/>
      <w:r>
        <w:rPr>
          <w:rFonts w:hint="eastAsia" w:ascii="宋体" w:hAnsi="宋体" w:cs="宋体"/>
          <w:bCs/>
          <w:sz w:val="24"/>
        </w:rPr>
        <w:t>六、定标、合同</w:t>
      </w:r>
      <w:bookmarkEnd w:id="80"/>
      <w:r>
        <w:rPr>
          <w:rFonts w:hint="eastAsia" w:ascii="宋体" w:hAnsi="宋体" w:cs="宋体"/>
          <w:bCs/>
          <w:sz w:val="24"/>
        </w:rPr>
        <w:t>与验收</w:t>
      </w:r>
    </w:p>
    <w:p w14:paraId="2344DE1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22.定标准则</w:t>
      </w:r>
    </w:p>
    <w:p w14:paraId="4D00CEC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22.1任何单项因素的最优不能作为成交的保证。</w:t>
      </w:r>
    </w:p>
    <w:p w14:paraId="73C071D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22.2评审小组推荐排名第一且经采购人确认的供应商即为成交供应商。</w:t>
      </w:r>
    </w:p>
    <w:p w14:paraId="4C75BB0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23.成交通知</w:t>
      </w:r>
    </w:p>
    <w:p w14:paraId="153B01F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23.1由采购人在指定媒体上公布成交结果，并向成交供应商发送《成交通知书》。</w:t>
      </w:r>
    </w:p>
    <w:p w14:paraId="3B41F6A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23.2成交通知书为签订政府采购合同的依据，是合同的有效组成部分。</w:t>
      </w:r>
    </w:p>
    <w:p w14:paraId="3E95A85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23.3成交通知书对采购人和成交人均具有法律效力。成交通知书发出后，采购人改变成交结果，或者成交人无正当理由放弃成交的，应当承担相应的法律责任。</w:t>
      </w:r>
    </w:p>
    <w:p w14:paraId="74B1391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24.合同签订</w:t>
      </w:r>
    </w:p>
    <w:p w14:paraId="4ECDA64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24.1成交人在收到《成交通知书》后，应在规定的时间内与采购人签订采购合同。由于成交人的原因逾期未与采购人签订采购合同的，将视为放弃成交，取消其成交资格并将按相关规定进行处理。</w:t>
      </w:r>
    </w:p>
    <w:p w14:paraId="16BB153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24.2采购人不得向成交人提出任何不合理的要求作为签订合同的条件，不得与成交人私下订立背离合同实质性内容的任何协议，所签订的合同不得对采购文件和成交人响应文件作实质性修改。</w:t>
      </w:r>
    </w:p>
    <w:p w14:paraId="2374A8BF">
      <w:pPr>
        <w:adjustRightInd w:val="0"/>
        <w:snapToGrid w:val="0"/>
        <w:spacing w:line="360" w:lineRule="auto"/>
        <w:ind w:firstLine="480" w:firstLineChars="200"/>
        <w:rPr>
          <w:rFonts w:ascii="宋体" w:hAnsi="宋体" w:cs="宋体"/>
          <w:bCs/>
          <w:sz w:val="24"/>
        </w:rPr>
      </w:pPr>
      <w:bookmarkStart w:id="81" w:name="_Toc217446069"/>
      <w:r>
        <w:rPr>
          <w:rFonts w:hint="eastAsia" w:ascii="宋体" w:hAnsi="宋体" w:cs="宋体"/>
          <w:bCs/>
          <w:sz w:val="24"/>
        </w:rPr>
        <w:t>25.合同</w:t>
      </w:r>
      <w:bookmarkEnd w:id="81"/>
      <w:r>
        <w:rPr>
          <w:rFonts w:hint="eastAsia" w:ascii="宋体" w:hAnsi="宋体" w:cs="宋体"/>
          <w:bCs/>
          <w:sz w:val="24"/>
        </w:rPr>
        <w:t>履行</w:t>
      </w:r>
    </w:p>
    <w:p w14:paraId="2D4F07F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25.1成交人与采购人签订合同后，合同双方应严格执行合同条款，履行合同规定的义务，保证合同的顺利完成。</w:t>
      </w:r>
    </w:p>
    <w:p w14:paraId="3CB5A43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25.2在合同履行过程中，如发生合同纠纷，合同双方应按照《民法典》的有关规定进行处理。</w:t>
      </w:r>
    </w:p>
    <w:p w14:paraId="062050B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七、评审方法</w:t>
      </w:r>
    </w:p>
    <w:p w14:paraId="10C9027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26.评审方法分为：最低评审价法和综合评分法。</w:t>
      </w:r>
    </w:p>
    <w:p w14:paraId="4FA086C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26.1最低评审价法，是指响应文件满足采购文件全部实质性要求且响应报价最低的供应商为成交候选人的评审方法。</w:t>
      </w:r>
    </w:p>
    <w:p w14:paraId="1E3F0B3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26.2综合评分法，是指响应文件满足采购文件全部实质性要求且按照评审因素的量化指标评审得分最高的供应商为成交候选人的评审方法。</w:t>
      </w:r>
    </w:p>
    <w:p w14:paraId="26E4D14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评审总得分＝F1×A1＋F2×A2＋……＋Fn×An</w:t>
      </w:r>
    </w:p>
    <w:p w14:paraId="4D20D88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F1、F2……Fn分别为价格、商务和技术部分评分因素的汇总得分；A1、A2、……An分别为价格、商务和技术部分评分因素所占的权重(A1＋A2＋......＋An＝1)。</w:t>
      </w:r>
    </w:p>
    <w:p w14:paraId="41CD3A7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其中价格分统一采用低价优先法计算，即满足采购文件要求且响应价格最低的响应报价为评审基准价，其价格分为满分。其他供应商的价格分统一按照下列公式计算：</w:t>
      </w:r>
    </w:p>
    <w:p w14:paraId="1F306FA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响应报价得分＝（评审基准价／响应报价）×价格权值×100　　</w:t>
      </w:r>
    </w:p>
    <w:p w14:paraId="3733AD0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八、质疑</w:t>
      </w:r>
    </w:p>
    <w:p w14:paraId="6C68E01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 xml:space="preserve">27.供应商认为采购文件、采购过程和中标或者成交结果使自己的合法权益受到损害的，应当在知道或者应知其权益受到损害之日起七个工作日（质疑有效期）内，向采购人提出询问或以书面形式向其质疑。  </w:t>
      </w:r>
    </w:p>
    <w:p w14:paraId="07AE18E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28.采购人关于质疑受理事项参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61C93CA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29.质疑有效期的计算</w:t>
      </w:r>
    </w:p>
    <w:p w14:paraId="5CE8D66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58B94C8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九、</w:t>
      </w:r>
      <w:r>
        <w:rPr>
          <w:rFonts w:hint="eastAsia" w:ascii="宋体" w:hAnsi="宋体" w:cs="宋体"/>
          <w:b/>
          <w:sz w:val="24"/>
        </w:rPr>
        <w:t>无效</w:t>
      </w:r>
      <w:r>
        <w:rPr>
          <w:rFonts w:hint="eastAsia" w:ascii="宋体" w:hAnsi="宋体" w:cs="宋体"/>
          <w:bCs/>
          <w:sz w:val="24"/>
        </w:rPr>
        <w:t>响应的其他情形：</w:t>
      </w:r>
    </w:p>
    <w:p w14:paraId="275F6704">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30.除符合采购文件中载明的无效响应规定外，如果发现下列情行之一者，同样作</w:t>
      </w:r>
      <w:r>
        <w:rPr>
          <w:rFonts w:hint="eastAsia" w:ascii="宋体" w:hAnsi="宋体" w:cs="宋体"/>
          <w:b/>
          <w:sz w:val="24"/>
        </w:rPr>
        <w:t>无效</w:t>
      </w:r>
      <w:r>
        <w:rPr>
          <w:rFonts w:hint="eastAsia" w:ascii="宋体" w:hAnsi="宋体" w:cs="宋体"/>
          <w:bCs/>
          <w:sz w:val="24"/>
        </w:rPr>
        <w:t>响应处理，其中30.1至30.3款情形的所有相关供应商均作</w:t>
      </w:r>
      <w:r>
        <w:rPr>
          <w:rFonts w:hint="eastAsia" w:ascii="宋体" w:hAnsi="宋体" w:cs="宋体"/>
          <w:b/>
          <w:sz w:val="24"/>
        </w:rPr>
        <w:t>无效</w:t>
      </w:r>
      <w:r>
        <w:rPr>
          <w:rFonts w:hint="eastAsia" w:ascii="宋体" w:hAnsi="宋体" w:cs="宋体"/>
          <w:bCs/>
          <w:sz w:val="24"/>
        </w:rPr>
        <w:t>响应处理。因此产生其他法律责任的由供应商自行承担：</w:t>
      </w:r>
    </w:p>
    <w:p w14:paraId="07F7264D">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30.1不同供应商的法定代表人、委托代理人等由同一个单位缴纳社会保险的；</w:t>
      </w:r>
    </w:p>
    <w:p w14:paraId="6F5726C5">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30.2由同一人携带两个及以上供应商的企业资料参与开标会议的；</w:t>
      </w:r>
    </w:p>
    <w:p w14:paraId="499ECC23">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30.3单位负责人为同一人或者存在直接控股、管理关系的不同供应商，同时参加同一合同项下的政府采购活动的；</w:t>
      </w:r>
    </w:p>
    <w:p w14:paraId="212EB2B9">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30.4为采购项目提供整体设计、规范编制或者项目管理、监理、检测等服务的供应商，再参加该采购项目的其他采购活动的；</w:t>
      </w:r>
    </w:p>
    <w:p w14:paraId="50EA2DB8">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30.5属于采购人任何不具有独立法人资格的附属机构（单位）；</w:t>
      </w:r>
    </w:p>
    <w:p w14:paraId="66B6B603">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30.6没有按要求提供补充文件，或调整补充内容超出规定范围。</w:t>
      </w:r>
    </w:p>
    <w:p w14:paraId="3E1CF7AF">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30.7响应文件含有采购人不能接受的附加条件的；</w:t>
      </w:r>
    </w:p>
    <w:p w14:paraId="69AECFE9">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30.8法律、法规和采购文件规定的其他无效情形。</w:t>
      </w:r>
    </w:p>
    <w:p w14:paraId="6DC151F4">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31.其他法律法规及规章制度认定参加政府采购</w:t>
      </w:r>
      <w:r>
        <w:rPr>
          <w:rFonts w:hint="eastAsia" w:ascii="宋体" w:hAnsi="宋体" w:cs="宋体"/>
          <w:b/>
          <w:sz w:val="24"/>
        </w:rPr>
        <w:t>无效</w:t>
      </w:r>
      <w:r>
        <w:rPr>
          <w:rFonts w:hint="eastAsia" w:ascii="宋体" w:hAnsi="宋体" w:cs="宋体"/>
          <w:bCs/>
          <w:sz w:val="24"/>
        </w:rPr>
        <w:t>的情形等。</w:t>
      </w:r>
    </w:p>
    <w:p w14:paraId="11F0804F">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31.1存在恶意串通投标行为的；</w:t>
      </w:r>
    </w:p>
    <w:p w14:paraId="30D7AFE3">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31.2参与政府采购活动有不良行为记录且正处于处罚期内并适用于海口行政区域的；</w:t>
      </w:r>
    </w:p>
    <w:p w14:paraId="571A7AC1">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31.3企业在经营活动中存在不诚信记录且正处于处罚期内并适用于海口行政区域政府采购领域的；</w:t>
      </w:r>
    </w:p>
    <w:p w14:paraId="4BF62720">
      <w:pPr>
        <w:tabs>
          <w:tab w:val="left" w:pos="540"/>
        </w:tabs>
        <w:adjustRightInd w:val="0"/>
        <w:snapToGrid w:val="0"/>
        <w:spacing w:line="360" w:lineRule="auto"/>
        <w:ind w:firstLine="480" w:firstLineChars="200"/>
        <w:rPr>
          <w:rFonts w:ascii="宋体" w:hAnsi="宋体" w:cs="宋体"/>
          <w:bCs/>
          <w:sz w:val="24"/>
        </w:rPr>
      </w:pPr>
      <w:r>
        <w:rPr>
          <w:rFonts w:hint="eastAsia" w:ascii="宋体" w:hAnsi="宋体" w:cs="宋体"/>
          <w:bCs/>
          <w:sz w:val="24"/>
        </w:rPr>
        <w:t>31.4其他法律法规及规章制度认定参加政府采购活动无效并适用海口行政区域的情形等。</w:t>
      </w:r>
    </w:p>
    <w:p w14:paraId="082C820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十、适用法律</w:t>
      </w:r>
    </w:p>
    <w:p w14:paraId="2E623FBA">
      <w:pPr>
        <w:adjustRightInd w:val="0"/>
        <w:snapToGrid w:val="0"/>
        <w:spacing w:line="360" w:lineRule="auto"/>
        <w:ind w:firstLine="480" w:firstLineChars="200"/>
        <w:rPr>
          <w:rFonts w:ascii="宋体" w:hAnsi="宋体" w:cs="宋体"/>
          <w:b/>
          <w:sz w:val="24"/>
        </w:rPr>
      </w:pPr>
      <w:r>
        <w:rPr>
          <w:rFonts w:hint="eastAsia" w:ascii="宋体" w:hAnsi="宋体" w:cs="宋体"/>
          <w:bCs/>
          <w:sz w:val="24"/>
        </w:rPr>
        <w:t>32.采购人及供应商的一切采购活动均参照《政府采购法》、《政府采购法实施条例》及其配套的法规、规章、政策。</w:t>
      </w:r>
    </w:p>
    <w:p w14:paraId="5A8ECEF2">
      <w:pPr>
        <w:spacing w:line="360" w:lineRule="auto"/>
        <w:rPr>
          <w:rFonts w:ascii="宋体" w:hAnsi="宋体" w:cs="宋体"/>
          <w:b/>
          <w:sz w:val="24"/>
        </w:rPr>
      </w:pPr>
      <w:bookmarkStart w:id="82" w:name="_Toc728"/>
      <w:r>
        <w:rPr>
          <w:rFonts w:hint="eastAsia" w:ascii="宋体" w:hAnsi="宋体" w:cs="宋体"/>
          <w:b/>
          <w:sz w:val="24"/>
        </w:rPr>
        <w:br w:type="page"/>
      </w:r>
    </w:p>
    <w:p w14:paraId="05E512C1">
      <w:pPr>
        <w:pStyle w:val="4"/>
        <w:adjustRightInd w:val="0"/>
        <w:snapToGrid w:val="0"/>
        <w:spacing w:line="360" w:lineRule="auto"/>
        <w:ind w:firstLine="0"/>
        <w:jc w:val="center"/>
        <w:outlineLvl w:val="0"/>
        <w:rPr>
          <w:rFonts w:ascii="宋体" w:hAnsi="宋体" w:cs="宋体"/>
          <w:b/>
          <w:sz w:val="24"/>
          <w:szCs w:val="24"/>
        </w:rPr>
      </w:pPr>
      <w:r>
        <w:rPr>
          <w:rFonts w:hint="eastAsia" w:ascii="宋体" w:hAnsi="宋体" w:cs="宋体"/>
          <w:b/>
          <w:sz w:val="24"/>
          <w:szCs w:val="24"/>
        </w:rPr>
        <w:t xml:space="preserve">第四章  </w:t>
      </w:r>
      <w:bookmarkEnd w:id="20"/>
      <w:bookmarkEnd w:id="82"/>
      <w:bookmarkStart w:id="83" w:name="_Toc246826117"/>
      <w:r>
        <w:rPr>
          <w:rFonts w:hint="eastAsia" w:ascii="宋体" w:hAnsi="宋体" w:cs="宋体"/>
          <w:b/>
          <w:sz w:val="24"/>
          <w:szCs w:val="24"/>
        </w:rPr>
        <w:t>评审方法与标准</w:t>
      </w:r>
    </w:p>
    <w:p w14:paraId="390A6978">
      <w:pPr>
        <w:spacing w:line="360" w:lineRule="auto"/>
        <w:ind w:firstLine="482" w:firstLineChars="200"/>
        <w:rPr>
          <w:rFonts w:ascii="宋体" w:hAnsi="宋体" w:cs="宋体"/>
          <w:b/>
          <w:sz w:val="24"/>
        </w:rPr>
      </w:pPr>
      <w:r>
        <w:rPr>
          <w:rFonts w:hint="eastAsia" w:ascii="宋体" w:hAnsi="宋体" w:cs="宋体"/>
          <w:b/>
          <w:sz w:val="24"/>
        </w:rPr>
        <w:t>一、基本要求：</w:t>
      </w:r>
    </w:p>
    <w:p w14:paraId="408806E3">
      <w:pPr>
        <w:spacing w:line="360" w:lineRule="auto"/>
        <w:ind w:firstLine="480" w:firstLineChars="200"/>
        <w:rPr>
          <w:rFonts w:ascii="宋体" w:hAnsi="宋体" w:cs="宋体"/>
          <w:bCs/>
          <w:sz w:val="24"/>
        </w:rPr>
      </w:pPr>
      <w:r>
        <w:rPr>
          <w:rFonts w:hint="eastAsia" w:ascii="宋体" w:hAnsi="宋体" w:cs="宋体"/>
          <w:bCs/>
          <w:sz w:val="24"/>
        </w:rPr>
        <w:t>（一）除采购文件中另有规定外，资格审查或评审内容凡涉及到提供针对本项目授权书、承诺书的，均须以原件为准，否则不予认可。</w:t>
      </w:r>
    </w:p>
    <w:p w14:paraId="78912072">
      <w:pPr>
        <w:pStyle w:val="4"/>
        <w:snapToGrid w:val="0"/>
        <w:spacing w:line="360" w:lineRule="auto"/>
        <w:ind w:firstLine="480" w:firstLineChars="200"/>
        <w:rPr>
          <w:rFonts w:ascii="宋体" w:hAnsi="宋体" w:cs="宋体"/>
          <w:bCs/>
          <w:sz w:val="24"/>
          <w:szCs w:val="24"/>
        </w:rPr>
      </w:pPr>
      <w:r>
        <w:rPr>
          <w:rFonts w:hint="eastAsia" w:ascii="宋体" w:hAnsi="宋体" w:cs="宋体"/>
          <w:bCs/>
          <w:sz w:val="24"/>
          <w:szCs w:val="24"/>
        </w:rPr>
        <w:t>（二）资格审查或评审内容凡涉及到提供合同、报告、证书或认证等证明材料的，须提供清晰可见的复印件并加盖供应商单位公章。如提供的证明材料不清晰、不在有效期内（如有）或者无法明确证明的将不予认可。如提供的证明材料与原件不一致的，无论是在评审过程中乃至成交后，其响应将以</w:t>
      </w:r>
      <w:r>
        <w:rPr>
          <w:rFonts w:hint="eastAsia" w:ascii="宋体" w:hAnsi="宋体" w:cs="宋体"/>
          <w:b/>
          <w:sz w:val="24"/>
          <w:szCs w:val="24"/>
        </w:rPr>
        <w:t>无效</w:t>
      </w:r>
      <w:r>
        <w:rPr>
          <w:rFonts w:hint="eastAsia" w:ascii="宋体" w:hAnsi="宋体" w:cs="宋体"/>
          <w:bCs/>
          <w:sz w:val="24"/>
          <w:szCs w:val="24"/>
        </w:rPr>
        <w:t>响应或取消成交资格论处。</w:t>
      </w:r>
    </w:p>
    <w:p w14:paraId="76C02D1E">
      <w:pPr>
        <w:pStyle w:val="4"/>
        <w:snapToGrid w:val="0"/>
        <w:spacing w:line="360" w:lineRule="auto"/>
        <w:ind w:firstLine="540"/>
        <w:rPr>
          <w:rFonts w:ascii="宋体" w:hAnsi="宋体" w:cs="宋体"/>
          <w:b/>
          <w:sz w:val="24"/>
          <w:szCs w:val="24"/>
        </w:rPr>
      </w:pPr>
      <w:r>
        <w:rPr>
          <w:rFonts w:hint="eastAsia" w:ascii="宋体" w:hAnsi="宋体" w:cs="宋体"/>
          <w:b/>
          <w:sz w:val="24"/>
          <w:szCs w:val="24"/>
        </w:rPr>
        <w:t>二、资格审查标准</w:t>
      </w:r>
    </w:p>
    <w:p w14:paraId="23B6C1A3">
      <w:pPr>
        <w:spacing w:line="360" w:lineRule="auto"/>
        <w:ind w:firstLine="480" w:firstLineChars="200"/>
        <w:rPr>
          <w:rFonts w:ascii="宋体" w:hAnsi="宋体" w:cs="宋体"/>
          <w:bCs/>
          <w:sz w:val="24"/>
        </w:rPr>
      </w:pPr>
      <w:r>
        <w:rPr>
          <w:rFonts w:hint="eastAsia" w:ascii="宋体" w:hAnsi="宋体" w:cs="宋体"/>
          <w:bCs/>
          <w:sz w:val="24"/>
        </w:rPr>
        <w:t>1、资格审查表中所列内容全部审查意见为“合格”，方视为“合格”，其中有一项不合格，将视为资格审查不合格。</w:t>
      </w:r>
    </w:p>
    <w:p w14:paraId="3BCA161E">
      <w:pPr>
        <w:spacing w:line="360" w:lineRule="auto"/>
        <w:ind w:firstLine="480" w:firstLineChars="200"/>
        <w:rPr>
          <w:rFonts w:ascii="宋体" w:hAnsi="宋体" w:cs="宋体"/>
          <w:bCs/>
          <w:sz w:val="24"/>
        </w:rPr>
      </w:pPr>
      <w:r>
        <w:rPr>
          <w:rFonts w:hint="eastAsia" w:ascii="宋体" w:hAnsi="宋体" w:cs="宋体"/>
          <w:bCs/>
          <w:sz w:val="24"/>
        </w:rPr>
        <w:t>2、在资格审查意见汇总的过程中，如存在不同审查意见，则按照少数服从多数的原则做出结论。</w:t>
      </w:r>
    </w:p>
    <w:p w14:paraId="0B1DC5FF">
      <w:pPr>
        <w:spacing w:line="360" w:lineRule="auto"/>
        <w:ind w:firstLine="480" w:firstLineChars="200"/>
        <w:rPr>
          <w:rStyle w:val="23"/>
          <w:rFonts w:ascii="宋体" w:hAnsi="宋体" w:cs="宋体"/>
          <w:b/>
          <w:bCs/>
          <w:kern w:val="0"/>
          <w:sz w:val="24"/>
        </w:rPr>
      </w:pPr>
      <w:r>
        <w:rPr>
          <w:rFonts w:hint="eastAsia" w:ascii="宋体" w:hAnsi="宋体" w:cs="宋体"/>
          <w:bCs/>
          <w:sz w:val="24"/>
        </w:rPr>
        <w:t>3、本表格“审查意见”栏默认“√”视为合格标示，“×”视为不合格标示。</w:t>
      </w:r>
    </w:p>
    <w:p w14:paraId="3863151D">
      <w:pPr>
        <w:pStyle w:val="24"/>
        <w:adjustRightInd w:val="0"/>
        <w:snapToGrid w:val="0"/>
        <w:spacing w:line="360" w:lineRule="auto"/>
        <w:jc w:val="center"/>
        <w:rPr>
          <w:rStyle w:val="23"/>
          <w:rFonts w:cs="宋体"/>
          <w:b/>
          <w:bCs/>
          <w:sz w:val="24"/>
          <w:szCs w:val="24"/>
        </w:rPr>
      </w:pPr>
      <w:r>
        <w:rPr>
          <w:rStyle w:val="23"/>
          <w:rFonts w:hint="eastAsia" w:cs="宋体"/>
          <w:b/>
          <w:bCs/>
          <w:sz w:val="24"/>
          <w:szCs w:val="24"/>
        </w:rPr>
        <w:t>资格审查表</w:t>
      </w:r>
    </w:p>
    <w:tbl>
      <w:tblPr>
        <w:tblStyle w:val="13"/>
        <w:tblW w:w="8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5212"/>
        <w:gridCol w:w="1430"/>
        <w:gridCol w:w="1167"/>
      </w:tblGrid>
      <w:tr w14:paraId="5775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6" w:hRule="atLeast"/>
          <w:tblHeader/>
        </w:trPr>
        <w:tc>
          <w:tcPr>
            <w:tcW w:w="561" w:type="dxa"/>
            <w:tcBorders>
              <w:top w:val="single" w:color="auto" w:sz="4" w:space="0"/>
              <w:left w:val="single" w:color="auto" w:sz="4" w:space="0"/>
              <w:bottom w:val="single" w:color="auto" w:sz="4" w:space="0"/>
              <w:right w:val="single" w:color="auto" w:sz="4" w:space="0"/>
            </w:tcBorders>
            <w:vAlign w:val="center"/>
          </w:tcPr>
          <w:p w14:paraId="199586CF">
            <w:pPr>
              <w:snapToGrid w:val="0"/>
              <w:spacing w:line="360" w:lineRule="auto"/>
              <w:jc w:val="center"/>
              <w:rPr>
                <w:rFonts w:ascii="宋体" w:hAnsi="宋体" w:cs="宋体"/>
                <w:b/>
                <w:sz w:val="24"/>
              </w:rPr>
            </w:pPr>
            <w:r>
              <w:rPr>
                <w:rFonts w:hint="eastAsia" w:ascii="宋体" w:hAnsi="宋体" w:cs="宋体"/>
                <w:b/>
                <w:sz w:val="24"/>
              </w:rPr>
              <w:t>序号</w:t>
            </w:r>
          </w:p>
        </w:tc>
        <w:tc>
          <w:tcPr>
            <w:tcW w:w="5212" w:type="dxa"/>
            <w:tcBorders>
              <w:top w:val="single" w:color="auto" w:sz="4" w:space="0"/>
              <w:left w:val="single" w:color="auto" w:sz="4" w:space="0"/>
              <w:bottom w:val="single" w:color="auto" w:sz="4" w:space="0"/>
              <w:right w:val="single" w:color="auto" w:sz="4" w:space="0"/>
            </w:tcBorders>
            <w:vAlign w:val="center"/>
          </w:tcPr>
          <w:p w14:paraId="45015FCB">
            <w:pPr>
              <w:snapToGrid w:val="0"/>
              <w:spacing w:line="360" w:lineRule="auto"/>
              <w:jc w:val="center"/>
              <w:rPr>
                <w:rFonts w:ascii="宋体" w:hAnsi="宋体" w:cs="宋体"/>
                <w:b/>
                <w:sz w:val="24"/>
              </w:rPr>
            </w:pPr>
            <w:r>
              <w:rPr>
                <w:rFonts w:hint="eastAsia" w:ascii="宋体" w:hAnsi="宋体" w:cs="宋体"/>
                <w:b/>
                <w:sz w:val="24"/>
              </w:rPr>
              <w:t>评审因素</w:t>
            </w:r>
          </w:p>
        </w:tc>
        <w:tc>
          <w:tcPr>
            <w:tcW w:w="1430" w:type="dxa"/>
            <w:tcBorders>
              <w:top w:val="single" w:color="auto" w:sz="4" w:space="0"/>
              <w:left w:val="single" w:color="auto" w:sz="4" w:space="0"/>
              <w:bottom w:val="single" w:color="auto" w:sz="4" w:space="0"/>
              <w:right w:val="single" w:color="auto" w:sz="4" w:space="0"/>
            </w:tcBorders>
            <w:vAlign w:val="center"/>
          </w:tcPr>
          <w:p w14:paraId="3727E872">
            <w:pPr>
              <w:snapToGrid w:val="0"/>
              <w:spacing w:line="360" w:lineRule="auto"/>
              <w:jc w:val="center"/>
              <w:rPr>
                <w:rFonts w:ascii="宋体" w:hAnsi="宋体" w:cs="宋体"/>
                <w:b/>
                <w:sz w:val="24"/>
              </w:rPr>
            </w:pPr>
            <w:r>
              <w:rPr>
                <w:rFonts w:hint="eastAsia" w:ascii="宋体" w:hAnsi="宋体" w:cs="宋体"/>
                <w:b/>
                <w:sz w:val="24"/>
              </w:rPr>
              <w:t>评审标准</w:t>
            </w:r>
          </w:p>
        </w:tc>
        <w:tc>
          <w:tcPr>
            <w:tcW w:w="1167" w:type="dxa"/>
            <w:tcBorders>
              <w:top w:val="single" w:color="auto" w:sz="4" w:space="0"/>
              <w:left w:val="single" w:color="auto" w:sz="4" w:space="0"/>
              <w:bottom w:val="single" w:color="auto" w:sz="4" w:space="0"/>
              <w:right w:val="single" w:color="auto" w:sz="4" w:space="0"/>
            </w:tcBorders>
            <w:vAlign w:val="center"/>
          </w:tcPr>
          <w:p w14:paraId="1ADB7997">
            <w:pPr>
              <w:snapToGrid w:val="0"/>
              <w:spacing w:line="360" w:lineRule="auto"/>
              <w:jc w:val="center"/>
              <w:rPr>
                <w:rFonts w:ascii="宋体" w:hAnsi="宋体" w:cs="宋体"/>
                <w:b/>
                <w:sz w:val="24"/>
              </w:rPr>
            </w:pPr>
            <w:r>
              <w:rPr>
                <w:rFonts w:hint="eastAsia" w:ascii="宋体" w:hAnsi="宋体" w:cs="宋体"/>
                <w:b/>
                <w:sz w:val="24"/>
              </w:rPr>
              <w:t>审查意见</w:t>
            </w:r>
          </w:p>
        </w:tc>
      </w:tr>
      <w:tr w14:paraId="7074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C8ED83A">
            <w:pPr>
              <w:snapToGrid w:val="0"/>
              <w:spacing w:line="360" w:lineRule="auto"/>
              <w:jc w:val="center"/>
              <w:rPr>
                <w:rFonts w:ascii="宋体" w:hAnsi="宋体" w:cs="宋体"/>
                <w:bCs/>
                <w:sz w:val="24"/>
              </w:rPr>
            </w:pPr>
            <w:r>
              <w:rPr>
                <w:rFonts w:hint="eastAsia" w:ascii="宋体" w:hAnsi="宋体" w:cs="宋体"/>
                <w:bCs/>
                <w:sz w:val="24"/>
              </w:rPr>
              <w:t>1</w:t>
            </w:r>
          </w:p>
        </w:tc>
        <w:tc>
          <w:tcPr>
            <w:tcW w:w="5212" w:type="dxa"/>
            <w:tcBorders>
              <w:top w:val="single" w:color="auto" w:sz="4" w:space="0"/>
              <w:left w:val="single" w:color="auto" w:sz="4" w:space="0"/>
              <w:bottom w:val="single" w:color="auto" w:sz="4" w:space="0"/>
              <w:right w:val="single" w:color="auto" w:sz="4" w:space="0"/>
            </w:tcBorders>
            <w:vAlign w:val="center"/>
          </w:tcPr>
          <w:p w14:paraId="082B7D07">
            <w:pPr>
              <w:spacing w:line="360" w:lineRule="auto"/>
              <w:rPr>
                <w:rFonts w:ascii="宋体" w:hAnsi="宋体" w:cs="宋体"/>
                <w:bCs/>
                <w:sz w:val="24"/>
              </w:rPr>
            </w:pPr>
            <w:r>
              <w:rPr>
                <w:rFonts w:hint="eastAsia" w:ascii="宋体" w:hAnsi="宋体" w:cs="宋体"/>
                <w:spacing w:val="-1"/>
                <w:kern w:val="0"/>
                <w:sz w:val="24"/>
                <w:shd w:val="clear" w:color="auto" w:fill="FFFFFF"/>
                <w:lang w:bidi="ar"/>
              </w:rPr>
              <w:t>在中华人民共和国注册，具有独立承担民事责任的能力：提供营业执照副本、或事业单位法人证书（事业单位）、或执业许可证（非企业专业服务机构）、或身份证（自然人）的复印件并加盖公章。如供应商是银行、保险、石油石化、电力、电信运营商等有行业特殊情况的，其分支机构可参与投标，即其分支机构可视为“具有独立承担民事责任能力的法人，提供有效的“营业执照”。如分支机构参与本项目采购活动，采购文件中涉及要求提供“法定代表人”相关证明材料及签名的，提供分支机构“负责人”的相关证明材料及签名。</w:t>
            </w:r>
            <w:r>
              <w:rPr>
                <w:rFonts w:hint="eastAsia" w:ascii="宋体" w:hAnsi="宋体" w:cs="宋体"/>
                <w:sz w:val="24"/>
              </w:rPr>
              <w:t>（提供函</w:t>
            </w:r>
            <w:r>
              <w:rPr>
                <w:rFonts w:hint="eastAsia" w:ascii="宋体" w:hAnsi="宋体" w:cs="宋体"/>
                <w:sz w:val="24"/>
                <w:lang w:val="en-US" w:eastAsia="zh-CN"/>
              </w:rPr>
              <w:t>件</w:t>
            </w:r>
            <w:r>
              <w:rPr>
                <w:rFonts w:hint="eastAsia" w:ascii="宋体" w:hAnsi="宋体" w:cs="宋体"/>
                <w:sz w:val="24"/>
              </w:rPr>
              <w:t>，格式自拟）</w:t>
            </w:r>
          </w:p>
        </w:tc>
        <w:tc>
          <w:tcPr>
            <w:tcW w:w="1430" w:type="dxa"/>
            <w:tcBorders>
              <w:top w:val="single" w:color="auto" w:sz="4" w:space="0"/>
              <w:left w:val="single" w:color="auto" w:sz="4" w:space="0"/>
              <w:bottom w:val="single" w:color="auto" w:sz="4" w:space="0"/>
              <w:right w:val="single" w:color="auto" w:sz="4" w:space="0"/>
            </w:tcBorders>
            <w:vAlign w:val="center"/>
          </w:tcPr>
          <w:p w14:paraId="0C883701">
            <w:pPr>
              <w:widowControl/>
              <w:snapToGrid w:val="0"/>
              <w:spacing w:line="360" w:lineRule="auto"/>
              <w:rPr>
                <w:rFonts w:ascii="宋体" w:hAnsi="宋体" w:cs="宋体"/>
                <w:bCs/>
                <w:sz w:val="24"/>
              </w:rPr>
            </w:pPr>
            <w:r>
              <w:rPr>
                <w:rFonts w:hint="eastAsia" w:ascii="宋体" w:hAnsi="宋体" w:cs="宋体"/>
                <w:bCs/>
                <w:sz w:val="24"/>
              </w:rPr>
              <w:t>合法有效</w:t>
            </w:r>
          </w:p>
        </w:tc>
        <w:tc>
          <w:tcPr>
            <w:tcW w:w="1167" w:type="dxa"/>
            <w:tcBorders>
              <w:top w:val="single" w:color="auto" w:sz="4" w:space="0"/>
              <w:left w:val="single" w:color="auto" w:sz="4" w:space="0"/>
              <w:bottom w:val="single" w:color="auto" w:sz="4" w:space="0"/>
              <w:right w:val="single" w:color="auto" w:sz="4" w:space="0"/>
            </w:tcBorders>
            <w:vAlign w:val="center"/>
          </w:tcPr>
          <w:p w14:paraId="6B7715C8">
            <w:pPr>
              <w:snapToGrid w:val="0"/>
              <w:spacing w:line="360" w:lineRule="auto"/>
              <w:ind w:firstLine="480" w:firstLineChars="200"/>
              <w:rPr>
                <w:rFonts w:ascii="宋体" w:hAnsi="宋体" w:cs="宋体"/>
                <w:bCs/>
                <w:sz w:val="24"/>
              </w:rPr>
            </w:pPr>
          </w:p>
        </w:tc>
      </w:tr>
      <w:tr w14:paraId="60A4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6" w:hRule="atLeast"/>
        </w:trPr>
        <w:tc>
          <w:tcPr>
            <w:tcW w:w="561" w:type="dxa"/>
            <w:tcBorders>
              <w:top w:val="single" w:color="auto" w:sz="4" w:space="0"/>
              <w:left w:val="single" w:color="auto" w:sz="4" w:space="0"/>
              <w:bottom w:val="single" w:color="auto" w:sz="4" w:space="0"/>
              <w:right w:val="single" w:color="auto" w:sz="4" w:space="0"/>
            </w:tcBorders>
            <w:vAlign w:val="center"/>
          </w:tcPr>
          <w:p w14:paraId="6EBB0FD1">
            <w:pPr>
              <w:snapToGrid w:val="0"/>
              <w:spacing w:line="360" w:lineRule="auto"/>
              <w:jc w:val="center"/>
              <w:rPr>
                <w:rFonts w:ascii="宋体" w:hAnsi="宋体" w:cs="宋体"/>
                <w:bCs/>
                <w:sz w:val="24"/>
              </w:rPr>
            </w:pPr>
            <w:r>
              <w:rPr>
                <w:rFonts w:hint="eastAsia" w:ascii="宋体" w:hAnsi="宋体" w:cs="宋体"/>
                <w:bCs/>
                <w:sz w:val="24"/>
              </w:rPr>
              <w:t>2</w:t>
            </w:r>
          </w:p>
        </w:tc>
        <w:tc>
          <w:tcPr>
            <w:tcW w:w="5212" w:type="dxa"/>
            <w:tcBorders>
              <w:top w:val="single" w:color="auto" w:sz="4" w:space="0"/>
              <w:left w:val="single" w:color="auto" w:sz="4" w:space="0"/>
              <w:bottom w:val="single" w:color="auto" w:sz="4" w:space="0"/>
              <w:right w:val="single" w:color="auto" w:sz="4" w:space="0"/>
            </w:tcBorders>
            <w:vAlign w:val="center"/>
          </w:tcPr>
          <w:p w14:paraId="7BFAB517">
            <w:pPr>
              <w:widowControl/>
              <w:tabs>
                <w:tab w:val="left" w:pos="425"/>
              </w:tabs>
              <w:snapToGrid w:val="0"/>
              <w:spacing w:line="360" w:lineRule="auto"/>
              <w:rPr>
                <w:rFonts w:ascii="宋体" w:hAnsi="宋体" w:cs="宋体"/>
                <w:bCs/>
                <w:sz w:val="24"/>
              </w:rPr>
            </w:pPr>
            <w:r>
              <w:rPr>
                <w:rFonts w:hint="eastAsia" w:ascii="宋体" w:hAnsi="宋体" w:cs="宋体"/>
                <w:spacing w:val="-1"/>
                <w:kern w:val="0"/>
                <w:sz w:val="24"/>
                <w:shd w:val="clear" w:color="auto" w:fill="FFFFFF"/>
                <w:lang w:bidi="ar"/>
              </w:rPr>
              <w:t>具有良好的商业信誉和健全的财务会计制度、具有履行合同所必需的设备和专业技术能力、有依法缴纳税收和社会保障资金的良好记录及参加政府采购活动前三年内，在经营活动中没有重大违法记录的资格承诺函。（提供资格承诺函，详见格式《资格承诺函》</w:t>
            </w:r>
            <w:r>
              <w:rPr>
                <w:rFonts w:hint="eastAsia" w:ascii="宋体" w:hAnsi="宋体" w:cs="宋体"/>
                <w:sz w:val="24"/>
              </w:rPr>
              <w:t>，格式自拟</w:t>
            </w:r>
            <w:r>
              <w:rPr>
                <w:rFonts w:hint="eastAsia" w:ascii="宋体" w:hAnsi="宋体" w:cs="宋体"/>
                <w:spacing w:val="-1"/>
                <w:kern w:val="0"/>
                <w:sz w:val="24"/>
                <w:shd w:val="clear" w:color="auto" w:fill="FFFFFF"/>
                <w:lang w:bidi="ar"/>
              </w:rPr>
              <w:t>）</w:t>
            </w:r>
          </w:p>
        </w:tc>
        <w:tc>
          <w:tcPr>
            <w:tcW w:w="1430" w:type="dxa"/>
            <w:tcBorders>
              <w:top w:val="single" w:color="auto" w:sz="4" w:space="0"/>
              <w:left w:val="single" w:color="auto" w:sz="4" w:space="0"/>
              <w:bottom w:val="single" w:color="auto" w:sz="4" w:space="0"/>
              <w:right w:val="single" w:color="auto" w:sz="4" w:space="0"/>
            </w:tcBorders>
            <w:vAlign w:val="center"/>
          </w:tcPr>
          <w:p w14:paraId="4A46F988">
            <w:pPr>
              <w:snapToGrid w:val="0"/>
              <w:spacing w:line="360" w:lineRule="auto"/>
              <w:rPr>
                <w:rFonts w:ascii="宋体" w:hAnsi="宋体" w:cs="宋体"/>
                <w:bCs/>
                <w:kern w:val="0"/>
                <w:sz w:val="24"/>
                <w:lang w:val="zh-CN"/>
              </w:rPr>
            </w:pPr>
            <w:r>
              <w:rPr>
                <w:rFonts w:hint="eastAsia" w:ascii="宋体" w:hAnsi="宋体" w:cs="宋体"/>
                <w:bCs/>
                <w:sz w:val="24"/>
              </w:rPr>
              <w:t>符合采购文件要求</w:t>
            </w:r>
          </w:p>
        </w:tc>
        <w:tc>
          <w:tcPr>
            <w:tcW w:w="1167" w:type="dxa"/>
            <w:tcBorders>
              <w:top w:val="single" w:color="auto" w:sz="4" w:space="0"/>
              <w:left w:val="single" w:color="auto" w:sz="4" w:space="0"/>
              <w:bottom w:val="single" w:color="auto" w:sz="4" w:space="0"/>
              <w:right w:val="single" w:color="auto" w:sz="4" w:space="0"/>
            </w:tcBorders>
            <w:vAlign w:val="center"/>
          </w:tcPr>
          <w:p w14:paraId="06D8D991">
            <w:pPr>
              <w:snapToGrid w:val="0"/>
              <w:spacing w:line="360" w:lineRule="auto"/>
              <w:ind w:firstLine="480" w:firstLineChars="200"/>
              <w:rPr>
                <w:rFonts w:ascii="宋体" w:hAnsi="宋体" w:cs="宋体"/>
                <w:bCs/>
                <w:sz w:val="24"/>
              </w:rPr>
            </w:pPr>
          </w:p>
        </w:tc>
      </w:tr>
      <w:tr w14:paraId="1FA5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44" w:hRule="atLeast"/>
        </w:trPr>
        <w:tc>
          <w:tcPr>
            <w:tcW w:w="561" w:type="dxa"/>
            <w:tcBorders>
              <w:top w:val="single" w:color="auto" w:sz="4" w:space="0"/>
              <w:left w:val="single" w:color="auto" w:sz="4" w:space="0"/>
              <w:bottom w:val="single" w:color="auto" w:sz="4" w:space="0"/>
              <w:right w:val="single" w:color="auto" w:sz="4" w:space="0"/>
            </w:tcBorders>
            <w:vAlign w:val="center"/>
          </w:tcPr>
          <w:p w14:paraId="04FDE2DE">
            <w:pPr>
              <w:snapToGrid w:val="0"/>
              <w:spacing w:line="360" w:lineRule="auto"/>
              <w:jc w:val="center"/>
              <w:rPr>
                <w:rFonts w:ascii="宋体" w:hAnsi="宋体" w:cs="宋体"/>
                <w:bCs/>
                <w:sz w:val="24"/>
              </w:rPr>
            </w:pPr>
            <w:r>
              <w:rPr>
                <w:rFonts w:hint="eastAsia" w:ascii="宋体" w:hAnsi="宋体" w:cs="宋体"/>
                <w:bCs/>
                <w:sz w:val="24"/>
              </w:rPr>
              <w:t>3</w:t>
            </w:r>
          </w:p>
        </w:tc>
        <w:tc>
          <w:tcPr>
            <w:tcW w:w="5212" w:type="dxa"/>
            <w:tcBorders>
              <w:top w:val="single" w:color="auto" w:sz="4" w:space="0"/>
              <w:left w:val="single" w:color="auto" w:sz="4" w:space="0"/>
              <w:bottom w:val="single" w:color="auto" w:sz="4" w:space="0"/>
              <w:right w:val="single" w:color="auto" w:sz="4" w:space="0"/>
            </w:tcBorders>
            <w:vAlign w:val="center"/>
          </w:tcPr>
          <w:p w14:paraId="5254FA7B">
            <w:pPr>
              <w:spacing w:line="360" w:lineRule="auto"/>
              <w:rPr>
                <w:rFonts w:ascii="宋体" w:hAnsi="宋体" w:cs="宋体"/>
                <w:bCs/>
                <w:sz w:val="24"/>
              </w:rPr>
            </w:pPr>
            <w:r>
              <w:rPr>
                <w:rFonts w:hint="eastAsia" w:ascii="宋体" w:hAnsi="宋体" w:cs="宋体"/>
                <w:sz w:val="24"/>
              </w:rPr>
              <w:t>供应商未被列入“信用中国”网站（www.creditchina.gov.cn)“失信被执行人(因“信用中国”网站“失信被执行人”查询时直接跳转“中国执行信息公开网”（http://zxgk.court.gov.cn/shixin/）,故以中国执行信息公开网“全国法院失信被执行人名单信息公布与查询”查询结果为准)”、“重大税收违法失信主体”的记录名单及未被列入“中国政府采购网”网站（http://www.ccgp.gov.cn/）“政府采购严重违法失信行为信息记录”名单（提供响应截止日前三天内查询结果截图并加盖公章。如供应商未提供，则以资格审查时上述网站查询结果为准，如上述网站查询结果均显示没有相关记录，则视为没有上述不良信用记录，同时对信用信息查询记录打印存档。）。如相关失信记录已失效，供应商须提供相关证明资料并加盖公章。（提供函</w:t>
            </w:r>
            <w:r>
              <w:rPr>
                <w:rFonts w:hint="eastAsia" w:ascii="宋体" w:hAnsi="宋体" w:cs="宋体"/>
                <w:sz w:val="24"/>
                <w:lang w:val="en-US" w:eastAsia="zh-CN"/>
              </w:rPr>
              <w:t>件</w:t>
            </w:r>
            <w:r>
              <w:rPr>
                <w:rFonts w:hint="eastAsia" w:ascii="宋体" w:hAnsi="宋体" w:cs="宋体"/>
                <w:sz w:val="24"/>
              </w:rPr>
              <w:t>，格式自拟）</w:t>
            </w:r>
          </w:p>
        </w:tc>
        <w:tc>
          <w:tcPr>
            <w:tcW w:w="1430" w:type="dxa"/>
            <w:tcBorders>
              <w:top w:val="single" w:color="auto" w:sz="4" w:space="0"/>
              <w:left w:val="single" w:color="auto" w:sz="4" w:space="0"/>
              <w:bottom w:val="single" w:color="auto" w:sz="4" w:space="0"/>
              <w:right w:val="single" w:color="auto" w:sz="4" w:space="0"/>
            </w:tcBorders>
            <w:vAlign w:val="center"/>
          </w:tcPr>
          <w:p w14:paraId="0AF2ADA7">
            <w:pPr>
              <w:pStyle w:val="5"/>
              <w:spacing w:line="360" w:lineRule="auto"/>
              <w:rPr>
                <w:rStyle w:val="23"/>
                <w:rFonts w:ascii="宋体" w:hAnsi="宋体" w:cs="宋体"/>
                <w:b/>
                <w:bCs/>
                <w:sz w:val="24"/>
              </w:rPr>
            </w:pPr>
            <w:r>
              <w:rPr>
                <w:rFonts w:hint="eastAsia" w:ascii="宋体" w:hAnsi="宋体" w:cs="宋体"/>
                <w:bCs/>
                <w:sz w:val="24"/>
              </w:rPr>
              <w:t>符合采购文件要求</w:t>
            </w:r>
          </w:p>
        </w:tc>
        <w:tc>
          <w:tcPr>
            <w:tcW w:w="1167" w:type="dxa"/>
            <w:tcBorders>
              <w:top w:val="single" w:color="auto" w:sz="4" w:space="0"/>
              <w:left w:val="single" w:color="auto" w:sz="4" w:space="0"/>
              <w:bottom w:val="single" w:color="auto" w:sz="4" w:space="0"/>
              <w:right w:val="single" w:color="auto" w:sz="4" w:space="0"/>
            </w:tcBorders>
            <w:vAlign w:val="center"/>
          </w:tcPr>
          <w:p w14:paraId="365DF212">
            <w:pPr>
              <w:snapToGrid w:val="0"/>
              <w:spacing w:line="360" w:lineRule="auto"/>
              <w:ind w:firstLine="480" w:firstLineChars="200"/>
              <w:rPr>
                <w:rFonts w:ascii="宋体" w:hAnsi="宋体" w:cs="宋体"/>
                <w:bCs/>
                <w:sz w:val="24"/>
              </w:rPr>
            </w:pPr>
          </w:p>
        </w:tc>
      </w:tr>
      <w:tr w14:paraId="665D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89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47093CAD">
            <w:pPr>
              <w:snapToGrid w:val="0"/>
              <w:spacing w:line="360" w:lineRule="auto"/>
              <w:jc w:val="center"/>
              <w:rPr>
                <w:rFonts w:ascii="宋体" w:hAnsi="宋体" w:cs="宋体"/>
                <w:bCs/>
                <w:sz w:val="24"/>
              </w:rPr>
            </w:pPr>
            <w:r>
              <w:rPr>
                <w:rFonts w:hint="eastAsia" w:ascii="宋体" w:hAnsi="宋体" w:cs="宋体"/>
                <w:bCs/>
                <w:sz w:val="24"/>
              </w:rPr>
              <w:t>4</w:t>
            </w:r>
          </w:p>
        </w:tc>
        <w:tc>
          <w:tcPr>
            <w:tcW w:w="5212" w:type="dxa"/>
            <w:tcBorders>
              <w:top w:val="single" w:color="auto" w:sz="4" w:space="0"/>
              <w:left w:val="single" w:color="auto" w:sz="4" w:space="0"/>
              <w:bottom w:val="single" w:color="auto" w:sz="4" w:space="0"/>
              <w:right w:val="single" w:color="auto" w:sz="4" w:space="0"/>
            </w:tcBorders>
            <w:vAlign w:val="center"/>
          </w:tcPr>
          <w:p w14:paraId="4B5CEF49">
            <w:pPr>
              <w:spacing w:line="360" w:lineRule="auto"/>
              <w:rPr>
                <w:rFonts w:ascii="宋体" w:hAnsi="宋体" w:cs="宋体"/>
                <w:b/>
                <w:bCs/>
                <w:kern w:val="0"/>
                <w:sz w:val="24"/>
              </w:rPr>
            </w:pPr>
            <w:r>
              <w:rPr>
                <w:rFonts w:hint="eastAsia" w:ascii="宋体" w:hAnsi="宋体" w:cs="宋体"/>
                <w:sz w:val="24"/>
              </w:rPr>
              <w:t>本项目不接受分包或转包。（提供承诺函，格式自拟）</w:t>
            </w:r>
          </w:p>
        </w:tc>
        <w:tc>
          <w:tcPr>
            <w:tcW w:w="1430" w:type="dxa"/>
            <w:tcBorders>
              <w:top w:val="single" w:color="auto" w:sz="4" w:space="0"/>
              <w:left w:val="single" w:color="auto" w:sz="4" w:space="0"/>
              <w:bottom w:val="single" w:color="auto" w:sz="4" w:space="0"/>
              <w:right w:val="single" w:color="auto" w:sz="4" w:space="0"/>
            </w:tcBorders>
            <w:vAlign w:val="center"/>
          </w:tcPr>
          <w:p w14:paraId="3D39CA68">
            <w:pPr>
              <w:pStyle w:val="5"/>
              <w:spacing w:line="360" w:lineRule="auto"/>
              <w:rPr>
                <w:rFonts w:ascii="宋体" w:hAnsi="宋体" w:cs="宋体"/>
                <w:bCs/>
                <w:sz w:val="24"/>
              </w:rPr>
            </w:pPr>
            <w:r>
              <w:rPr>
                <w:rFonts w:hint="eastAsia" w:ascii="宋体" w:hAnsi="宋体" w:cs="宋体"/>
                <w:bCs/>
                <w:sz w:val="24"/>
              </w:rPr>
              <w:t>符合采购文件要求</w:t>
            </w:r>
          </w:p>
        </w:tc>
        <w:tc>
          <w:tcPr>
            <w:tcW w:w="1167" w:type="dxa"/>
            <w:tcBorders>
              <w:top w:val="single" w:color="auto" w:sz="4" w:space="0"/>
              <w:left w:val="single" w:color="auto" w:sz="4" w:space="0"/>
              <w:bottom w:val="single" w:color="auto" w:sz="4" w:space="0"/>
              <w:right w:val="single" w:color="auto" w:sz="4" w:space="0"/>
            </w:tcBorders>
            <w:vAlign w:val="center"/>
          </w:tcPr>
          <w:p w14:paraId="782D3AA6">
            <w:pPr>
              <w:snapToGrid w:val="0"/>
              <w:spacing w:line="360" w:lineRule="auto"/>
              <w:ind w:firstLine="480" w:firstLineChars="200"/>
              <w:rPr>
                <w:rFonts w:ascii="宋体" w:hAnsi="宋体" w:cs="宋体"/>
                <w:bCs/>
                <w:sz w:val="24"/>
              </w:rPr>
            </w:pPr>
          </w:p>
        </w:tc>
      </w:tr>
      <w:tr w14:paraId="7B39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539"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1A28C362">
            <w:pPr>
              <w:snapToGrid w:val="0"/>
              <w:spacing w:line="360" w:lineRule="auto"/>
              <w:jc w:val="center"/>
              <w:rPr>
                <w:rFonts w:ascii="宋体" w:hAnsi="宋体" w:cs="宋体"/>
                <w:bCs/>
                <w:sz w:val="24"/>
              </w:rPr>
            </w:pPr>
            <w:r>
              <w:rPr>
                <w:rFonts w:hint="eastAsia" w:ascii="宋体" w:hAnsi="宋体" w:cs="宋体"/>
                <w:bCs/>
                <w:sz w:val="24"/>
              </w:rPr>
              <w:t>5</w:t>
            </w:r>
          </w:p>
        </w:tc>
        <w:tc>
          <w:tcPr>
            <w:tcW w:w="5212" w:type="dxa"/>
            <w:tcBorders>
              <w:top w:val="single" w:color="auto" w:sz="4" w:space="0"/>
              <w:left w:val="single" w:color="auto" w:sz="4" w:space="0"/>
              <w:bottom w:val="single" w:color="auto" w:sz="4" w:space="0"/>
              <w:right w:val="single" w:color="auto" w:sz="4" w:space="0"/>
            </w:tcBorders>
            <w:vAlign w:val="center"/>
          </w:tcPr>
          <w:p w14:paraId="20D7642B">
            <w:pPr>
              <w:pStyle w:val="5"/>
              <w:snapToGrid w:val="0"/>
              <w:spacing w:line="360" w:lineRule="auto"/>
              <w:rPr>
                <w:rFonts w:ascii="宋体" w:hAnsi="宋体" w:cs="宋体"/>
                <w:bCs/>
                <w:sz w:val="24"/>
              </w:rPr>
            </w:pPr>
            <w:r>
              <w:rPr>
                <w:rFonts w:hint="eastAsia" w:ascii="宋体" w:hAnsi="宋体" w:cs="宋体"/>
                <w:spacing w:val="-1"/>
                <w:sz w:val="24"/>
              </w:rPr>
              <w:t>本项目不接受联合体响应。</w:t>
            </w:r>
          </w:p>
        </w:tc>
        <w:tc>
          <w:tcPr>
            <w:tcW w:w="1430" w:type="dxa"/>
            <w:tcBorders>
              <w:top w:val="single" w:color="auto" w:sz="4" w:space="0"/>
              <w:left w:val="single" w:color="auto" w:sz="4" w:space="0"/>
              <w:bottom w:val="single" w:color="auto" w:sz="4" w:space="0"/>
              <w:right w:val="single" w:color="auto" w:sz="4" w:space="0"/>
            </w:tcBorders>
            <w:vAlign w:val="center"/>
          </w:tcPr>
          <w:p w14:paraId="3E5C9FA2">
            <w:pPr>
              <w:pStyle w:val="5"/>
              <w:snapToGrid w:val="0"/>
              <w:spacing w:line="360" w:lineRule="auto"/>
              <w:jc w:val="both"/>
              <w:rPr>
                <w:rFonts w:ascii="宋体" w:hAnsi="宋体" w:cs="宋体"/>
                <w:bCs/>
                <w:sz w:val="24"/>
              </w:rPr>
            </w:pPr>
            <w:r>
              <w:rPr>
                <w:rFonts w:hint="eastAsia" w:ascii="宋体" w:hAnsi="宋体" w:cs="宋体"/>
                <w:bCs/>
                <w:sz w:val="24"/>
              </w:rPr>
              <w:t>《响应函》响应即可</w:t>
            </w:r>
          </w:p>
        </w:tc>
        <w:tc>
          <w:tcPr>
            <w:tcW w:w="1167" w:type="dxa"/>
            <w:tcBorders>
              <w:top w:val="single" w:color="auto" w:sz="4" w:space="0"/>
              <w:left w:val="single" w:color="auto" w:sz="4" w:space="0"/>
              <w:bottom w:val="single" w:color="auto" w:sz="4" w:space="0"/>
              <w:right w:val="single" w:color="auto" w:sz="4" w:space="0"/>
            </w:tcBorders>
            <w:vAlign w:val="center"/>
          </w:tcPr>
          <w:p w14:paraId="3043D302">
            <w:pPr>
              <w:snapToGrid w:val="0"/>
              <w:spacing w:line="360" w:lineRule="auto"/>
              <w:ind w:firstLine="480" w:firstLineChars="200"/>
              <w:rPr>
                <w:rFonts w:ascii="宋体" w:hAnsi="宋体" w:cs="宋体"/>
                <w:bCs/>
                <w:sz w:val="24"/>
              </w:rPr>
            </w:pPr>
          </w:p>
        </w:tc>
      </w:tr>
      <w:tr w14:paraId="3DAA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8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3EDD3796">
            <w:pPr>
              <w:snapToGrid w:val="0"/>
              <w:spacing w:line="360" w:lineRule="auto"/>
              <w:jc w:val="center"/>
              <w:rPr>
                <w:rFonts w:ascii="宋体" w:hAnsi="宋体" w:cs="宋体"/>
                <w:bCs/>
                <w:sz w:val="24"/>
              </w:rPr>
            </w:pPr>
            <w:r>
              <w:rPr>
                <w:rFonts w:hint="eastAsia" w:ascii="宋体" w:hAnsi="宋体" w:cs="宋体"/>
                <w:bCs/>
                <w:sz w:val="24"/>
              </w:rPr>
              <w:t>6</w:t>
            </w:r>
          </w:p>
        </w:tc>
        <w:tc>
          <w:tcPr>
            <w:tcW w:w="5212" w:type="dxa"/>
            <w:tcBorders>
              <w:top w:val="single" w:color="auto" w:sz="4" w:space="0"/>
              <w:left w:val="single" w:color="auto" w:sz="4" w:space="0"/>
              <w:bottom w:val="single" w:color="auto" w:sz="4" w:space="0"/>
              <w:right w:val="single" w:color="auto" w:sz="4" w:space="0"/>
            </w:tcBorders>
            <w:vAlign w:val="center"/>
          </w:tcPr>
          <w:p w14:paraId="5B5AFDEC">
            <w:pPr>
              <w:pStyle w:val="5"/>
              <w:spacing w:line="360" w:lineRule="auto"/>
              <w:rPr>
                <w:rFonts w:ascii="宋体" w:hAnsi="宋体" w:cs="宋体"/>
                <w:bCs/>
                <w:sz w:val="24"/>
              </w:rPr>
            </w:pPr>
            <w:r>
              <w:rPr>
                <w:rFonts w:hint="eastAsia" w:ascii="宋体" w:hAnsi="宋体" w:cs="宋体"/>
                <w:sz w:val="24"/>
              </w:rPr>
              <w:t>响应总价</w:t>
            </w:r>
          </w:p>
        </w:tc>
        <w:tc>
          <w:tcPr>
            <w:tcW w:w="1430" w:type="dxa"/>
            <w:tcBorders>
              <w:top w:val="single" w:color="auto" w:sz="4" w:space="0"/>
              <w:left w:val="single" w:color="auto" w:sz="4" w:space="0"/>
              <w:bottom w:val="single" w:color="auto" w:sz="4" w:space="0"/>
              <w:right w:val="single" w:color="auto" w:sz="4" w:space="0"/>
            </w:tcBorders>
            <w:vAlign w:val="center"/>
          </w:tcPr>
          <w:p w14:paraId="162B7476">
            <w:pPr>
              <w:pStyle w:val="5"/>
              <w:spacing w:line="360" w:lineRule="auto"/>
              <w:rPr>
                <w:rFonts w:ascii="宋体" w:hAnsi="宋体" w:cs="宋体"/>
                <w:sz w:val="24"/>
              </w:rPr>
            </w:pPr>
            <w:r>
              <w:rPr>
                <w:rFonts w:hint="eastAsia" w:ascii="宋体" w:hAnsi="宋体" w:cs="宋体"/>
                <w:bCs/>
                <w:sz w:val="24"/>
              </w:rPr>
              <w:t>不得超过预算金额</w:t>
            </w:r>
          </w:p>
        </w:tc>
        <w:tc>
          <w:tcPr>
            <w:tcW w:w="1167" w:type="dxa"/>
            <w:tcBorders>
              <w:top w:val="single" w:color="auto" w:sz="4" w:space="0"/>
              <w:left w:val="single" w:color="auto" w:sz="4" w:space="0"/>
              <w:bottom w:val="single" w:color="auto" w:sz="4" w:space="0"/>
              <w:right w:val="single" w:color="auto" w:sz="4" w:space="0"/>
            </w:tcBorders>
            <w:vAlign w:val="center"/>
          </w:tcPr>
          <w:p w14:paraId="6A32FDF7">
            <w:pPr>
              <w:snapToGrid w:val="0"/>
              <w:spacing w:line="360" w:lineRule="auto"/>
              <w:ind w:firstLine="480" w:firstLineChars="200"/>
              <w:rPr>
                <w:rFonts w:ascii="宋体" w:hAnsi="宋体" w:cs="宋体"/>
                <w:bCs/>
                <w:sz w:val="24"/>
              </w:rPr>
            </w:pPr>
          </w:p>
        </w:tc>
      </w:tr>
      <w:tr w14:paraId="47E9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00" w:hRule="atLeast"/>
        </w:trPr>
        <w:tc>
          <w:tcPr>
            <w:tcW w:w="561" w:type="dxa"/>
            <w:tcBorders>
              <w:top w:val="single" w:color="auto" w:sz="4" w:space="0"/>
              <w:left w:val="single" w:color="auto" w:sz="4" w:space="0"/>
              <w:bottom w:val="single" w:color="auto" w:sz="4" w:space="0"/>
              <w:right w:val="single" w:color="auto" w:sz="4" w:space="0"/>
            </w:tcBorders>
            <w:vAlign w:val="center"/>
          </w:tcPr>
          <w:p w14:paraId="6BDFDF22">
            <w:pPr>
              <w:snapToGrid w:val="0"/>
              <w:spacing w:line="360" w:lineRule="auto"/>
              <w:jc w:val="center"/>
              <w:rPr>
                <w:rFonts w:ascii="宋体" w:hAnsi="宋体" w:cs="宋体"/>
                <w:bCs/>
                <w:sz w:val="24"/>
              </w:rPr>
            </w:pPr>
            <w:r>
              <w:rPr>
                <w:rFonts w:hint="eastAsia" w:ascii="宋体" w:hAnsi="宋体" w:cs="宋体"/>
                <w:bCs/>
                <w:sz w:val="24"/>
              </w:rPr>
              <w:t>7</w:t>
            </w:r>
          </w:p>
        </w:tc>
        <w:tc>
          <w:tcPr>
            <w:tcW w:w="5212" w:type="dxa"/>
            <w:tcBorders>
              <w:top w:val="single" w:color="auto" w:sz="4" w:space="0"/>
              <w:left w:val="single" w:color="auto" w:sz="4" w:space="0"/>
              <w:bottom w:val="single" w:color="auto" w:sz="4" w:space="0"/>
              <w:right w:val="single" w:color="auto" w:sz="4" w:space="0"/>
            </w:tcBorders>
            <w:vAlign w:val="center"/>
          </w:tcPr>
          <w:p w14:paraId="5DDC3882">
            <w:pPr>
              <w:pStyle w:val="5"/>
              <w:spacing w:line="360" w:lineRule="auto"/>
              <w:rPr>
                <w:rFonts w:ascii="宋体" w:hAnsi="宋体" w:cs="宋体"/>
                <w:bCs/>
                <w:sz w:val="24"/>
                <w:lang w:val="zh-CN"/>
              </w:rPr>
            </w:pPr>
            <w:r>
              <w:rPr>
                <w:rFonts w:hint="eastAsia" w:ascii="宋体" w:hAnsi="宋体" w:cs="宋体"/>
                <w:bCs/>
                <w:sz w:val="24"/>
              </w:rPr>
              <w:t>响应有效期</w:t>
            </w:r>
          </w:p>
        </w:tc>
        <w:tc>
          <w:tcPr>
            <w:tcW w:w="1430" w:type="dxa"/>
            <w:tcBorders>
              <w:top w:val="single" w:color="auto" w:sz="4" w:space="0"/>
              <w:left w:val="single" w:color="auto" w:sz="4" w:space="0"/>
              <w:bottom w:val="single" w:color="auto" w:sz="4" w:space="0"/>
              <w:right w:val="single" w:color="auto" w:sz="4" w:space="0"/>
            </w:tcBorders>
            <w:vAlign w:val="center"/>
          </w:tcPr>
          <w:p w14:paraId="440374E9">
            <w:pPr>
              <w:pStyle w:val="5"/>
              <w:spacing w:line="360" w:lineRule="auto"/>
              <w:rPr>
                <w:rFonts w:ascii="宋体" w:hAnsi="宋体" w:cs="宋体"/>
                <w:bCs/>
                <w:sz w:val="24"/>
              </w:rPr>
            </w:pPr>
            <w:r>
              <w:rPr>
                <w:rFonts w:hint="eastAsia" w:ascii="宋体" w:hAnsi="宋体" w:cs="宋体"/>
                <w:bCs/>
                <w:sz w:val="24"/>
              </w:rPr>
              <w:t>书面响应采购文件要求或《响应函》响应皆有效</w:t>
            </w:r>
          </w:p>
        </w:tc>
        <w:tc>
          <w:tcPr>
            <w:tcW w:w="1167" w:type="dxa"/>
            <w:tcBorders>
              <w:top w:val="single" w:color="auto" w:sz="4" w:space="0"/>
              <w:left w:val="single" w:color="auto" w:sz="4" w:space="0"/>
              <w:bottom w:val="single" w:color="auto" w:sz="4" w:space="0"/>
              <w:right w:val="single" w:color="auto" w:sz="4" w:space="0"/>
            </w:tcBorders>
            <w:vAlign w:val="center"/>
          </w:tcPr>
          <w:p w14:paraId="09B95568">
            <w:pPr>
              <w:snapToGrid w:val="0"/>
              <w:spacing w:line="360" w:lineRule="auto"/>
              <w:ind w:firstLine="480" w:firstLineChars="200"/>
              <w:rPr>
                <w:rFonts w:ascii="宋体" w:hAnsi="宋体" w:cs="宋体"/>
                <w:bCs/>
                <w:sz w:val="24"/>
              </w:rPr>
            </w:pPr>
          </w:p>
        </w:tc>
      </w:tr>
      <w:tr w14:paraId="4B7A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25"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60AEE619">
            <w:pPr>
              <w:snapToGrid w:val="0"/>
              <w:spacing w:line="360" w:lineRule="auto"/>
              <w:jc w:val="center"/>
              <w:rPr>
                <w:rFonts w:ascii="宋体" w:hAnsi="宋体" w:cs="宋体"/>
                <w:bCs/>
                <w:sz w:val="24"/>
              </w:rPr>
            </w:pPr>
            <w:r>
              <w:rPr>
                <w:rFonts w:hint="eastAsia" w:ascii="宋体" w:hAnsi="宋体" w:cs="宋体"/>
                <w:bCs/>
                <w:sz w:val="24"/>
              </w:rPr>
              <w:t>8</w:t>
            </w:r>
          </w:p>
        </w:tc>
        <w:tc>
          <w:tcPr>
            <w:tcW w:w="5212" w:type="dxa"/>
            <w:tcBorders>
              <w:top w:val="single" w:color="auto" w:sz="4" w:space="0"/>
              <w:left w:val="single" w:color="auto" w:sz="4" w:space="0"/>
              <w:bottom w:val="single" w:color="auto" w:sz="4" w:space="0"/>
              <w:right w:val="single" w:color="auto" w:sz="4" w:space="0"/>
            </w:tcBorders>
            <w:vAlign w:val="center"/>
          </w:tcPr>
          <w:p w14:paraId="1FB39EA7">
            <w:pPr>
              <w:pStyle w:val="5"/>
              <w:spacing w:line="360" w:lineRule="auto"/>
              <w:rPr>
                <w:rFonts w:ascii="宋体" w:hAnsi="宋体" w:cs="宋体"/>
                <w:bCs/>
                <w:sz w:val="24"/>
              </w:rPr>
            </w:pPr>
            <w:r>
              <w:rPr>
                <w:rFonts w:hint="eastAsia" w:ascii="宋体" w:hAnsi="宋体" w:cs="宋体"/>
                <w:bCs/>
                <w:sz w:val="24"/>
              </w:rPr>
              <w:t>响应文件签署、盖章</w:t>
            </w:r>
          </w:p>
        </w:tc>
        <w:tc>
          <w:tcPr>
            <w:tcW w:w="1430" w:type="dxa"/>
            <w:tcBorders>
              <w:top w:val="single" w:color="auto" w:sz="4" w:space="0"/>
              <w:left w:val="single" w:color="auto" w:sz="4" w:space="0"/>
              <w:bottom w:val="single" w:color="auto" w:sz="4" w:space="0"/>
              <w:right w:val="single" w:color="auto" w:sz="4" w:space="0"/>
            </w:tcBorders>
            <w:vAlign w:val="center"/>
          </w:tcPr>
          <w:p w14:paraId="6CEAF771">
            <w:pPr>
              <w:pStyle w:val="5"/>
              <w:spacing w:line="360" w:lineRule="auto"/>
              <w:rPr>
                <w:rFonts w:ascii="宋体" w:hAnsi="宋体" w:cs="宋体"/>
                <w:bCs/>
                <w:sz w:val="24"/>
              </w:rPr>
            </w:pPr>
            <w:r>
              <w:rPr>
                <w:rFonts w:hint="eastAsia" w:ascii="宋体" w:hAnsi="宋体" w:cs="宋体"/>
                <w:bCs/>
                <w:sz w:val="24"/>
              </w:rPr>
              <w:t>符合采购文件要求</w:t>
            </w:r>
          </w:p>
        </w:tc>
        <w:tc>
          <w:tcPr>
            <w:tcW w:w="1167" w:type="dxa"/>
            <w:tcBorders>
              <w:top w:val="single" w:color="auto" w:sz="4" w:space="0"/>
              <w:left w:val="single" w:color="auto" w:sz="4" w:space="0"/>
              <w:bottom w:val="single" w:color="auto" w:sz="4" w:space="0"/>
              <w:right w:val="single" w:color="auto" w:sz="4" w:space="0"/>
            </w:tcBorders>
            <w:vAlign w:val="center"/>
          </w:tcPr>
          <w:p w14:paraId="61A15B06">
            <w:pPr>
              <w:snapToGrid w:val="0"/>
              <w:spacing w:line="360" w:lineRule="auto"/>
              <w:ind w:firstLine="480" w:firstLineChars="200"/>
              <w:rPr>
                <w:rFonts w:ascii="宋体" w:hAnsi="宋体" w:cs="宋体"/>
                <w:bCs/>
                <w:sz w:val="24"/>
              </w:rPr>
            </w:pPr>
          </w:p>
        </w:tc>
      </w:tr>
      <w:tr w14:paraId="2822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83"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1FD3BE76">
            <w:pPr>
              <w:snapToGrid w:val="0"/>
              <w:spacing w:line="360" w:lineRule="auto"/>
              <w:jc w:val="center"/>
              <w:rPr>
                <w:rFonts w:ascii="宋体" w:hAnsi="宋体" w:cs="宋体"/>
                <w:bCs/>
                <w:sz w:val="24"/>
              </w:rPr>
            </w:pPr>
            <w:r>
              <w:rPr>
                <w:rFonts w:hint="eastAsia" w:ascii="宋体" w:hAnsi="宋体" w:cs="宋体"/>
                <w:bCs/>
                <w:sz w:val="24"/>
              </w:rPr>
              <w:t>9</w:t>
            </w:r>
          </w:p>
        </w:tc>
        <w:tc>
          <w:tcPr>
            <w:tcW w:w="5212" w:type="dxa"/>
            <w:tcBorders>
              <w:top w:val="single" w:color="auto" w:sz="4" w:space="0"/>
              <w:left w:val="single" w:color="auto" w:sz="4" w:space="0"/>
              <w:bottom w:val="single" w:color="auto" w:sz="4" w:space="0"/>
              <w:right w:val="single" w:color="auto" w:sz="4" w:space="0"/>
            </w:tcBorders>
            <w:vAlign w:val="center"/>
          </w:tcPr>
          <w:p w14:paraId="5E2516AC">
            <w:pPr>
              <w:pStyle w:val="5"/>
              <w:spacing w:line="360" w:lineRule="auto"/>
              <w:rPr>
                <w:rFonts w:ascii="宋体" w:hAnsi="宋体" w:cs="宋体"/>
                <w:bCs/>
                <w:sz w:val="24"/>
              </w:rPr>
            </w:pPr>
            <w:r>
              <w:rPr>
                <w:rFonts w:hint="eastAsia" w:ascii="宋体" w:hAnsi="宋体" w:cs="宋体"/>
                <w:bCs/>
                <w:sz w:val="24"/>
              </w:rPr>
              <w:t>法定代表人授权委托书</w:t>
            </w:r>
          </w:p>
        </w:tc>
        <w:tc>
          <w:tcPr>
            <w:tcW w:w="1430" w:type="dxa"/>
            <w:tcBorders>
              <w:top w:val="single" w:color="auto" w:sz="4" w:space="0"/>
              <w:left w:val="single" w:color="auto" w:sz="4" w:space="0"/>
              <w:bottom w:val="single" w:color="auto" w:sz="4" w:space="0"/>
              <w:right w:val="single" w:color="auto" w:sz="4" w:space="0"/>
            </w:tcBorders>
            <w:vAlign w:val="center"/>
          </w:tcPr>
          <w:p w14:paraId="491737B2">
            <w:pPr>
              <w:pStyle w:val="5"/>
              <w:spacing w:line="360" w:lineRule="auto"/>
              <w:rPr>
                <w:rFonts w:ascii="宋体" w:hAnsi="宋体" w:cs="宋体"/>
                <w:bCs/>
                <w:sz w:val="24"/>
              </w:rPr>
            </w:pPr>
            <w:r>
              <w:rPr>
                <w:rFonts w:hint="eastAsia" w:ascii="宋体" w:hAnsi="宋体" w:cs="宋体"/>
                <w:bCs/>
                <w:sz w:val="24"/>
              </w:rPr>
              <w:t>符合采购文件要求且合法有效</w:t>
            </w:r>
          </w:p>
        </w:tc>
        <w:tc>
          <w:tcPr>
            <w:tcW w:w="1167" w:type="dxa"/>
            <w:tcBorders>
              <w:top w:val="single" w:color="auto" w:sz="4" w:space="0"/>
              <w:left w:val="single" w:color="auto" w:sz="4" w:space="0"/>
              <w:bottom w:val="single" w:color="auto" w:sz="4" w:space="0"/>
              <w:right w:val="single" w:color="auto" w:sz="4" w:space="0"/>
            </w:tcBorders>
            <w:vAlign w:val="center"/>
          </w:tcPr>
          <w:p w14:paraId="63797D6D">
            <w:pPr>
              <w:snapToGrid w:val="0"/>
              <w:spacing w:line="360" w:lineRule="auto"/>
              <w:ind w:firstLine="480" w:firstLineChars="200"/>
              <w:rPr>
                <w:rFonts w:ascii="宋体" w:hAnsi="宋体" w:cs="宋体"/>
                <w:bCs/>
                <w:sz w:val="24"/>
              </w:rPr>
            </w:pPr>
          </w:p>
        </w:tc>
      </w:tr>
      <w:tr w14:paraId="4D67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83"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2B6C98C0">
            <w:pPr>
              <w:snapToGrid w:val="0"/>
              <w:spacing w:line="360" w:lineRule="auto"/>
              <w:jc w:val="center"/>
              <w:rPr>
                <w:rFonts w:ascii="宋体" w:hAnsi="宋体" w:cs="宋体"/>
                <w:bCs/>
                <w:sz w:val="24"/>
              </w:rPr>
            </w:pPr>
            <w:r>
              <w:rPr>
                <w:rFonts w:hint="eastAsia" w:ascii="宋体" w:hAnsi="宋体" w:cs="宋体"/>
                <w:bCs/>
                <w:sz w:val="24"/>
              </w:rPr>
              <w:t>10</w:t>
            </w:r>
          </w:p>
        </w:tc>
        <w:tc>
          <w:tcPr>
            <w:tcW w:w="5212" w:type="dxa"/>
            <w:tcBorders>
              <w:top w:val="single" w:color="auto" w:sz="4" w:space="0"/>
              <w:left w:val="single" w:color="auto" w:sz="4" w:space="0"/>
              <w:bottom w:val="single" w:color="auto" w:sz="4" w:space="0"/>
              <w:right w:val="single" w:color="auto" w:sz="4" w:space="0"/>
            </w:tcBorders>
            <w:vAlign w:val="center"/>
          </w:tcPr>
          <w:p w14:paraId="6EAAF555">
            <w:pPr>
              <w:pStyle w:val="5"/>
              <w:spacing w:line="360" w:lineRule="auto"/>
              <w:rPr>
                <w:rFonts w:ascii="宋体" w:hAnsi="宋体" w:cs="宋体"/>
                <w:bCs/>
                <w:sz w:val="24"/>
              </w:rPr>
            </w:pPr>
            <w:r>
              <w:rPr>
                <w:rFonts w:hint="eastAsia" w:ascii="宋体" w:hAnsi="宋体" w:cs="宋体"/>
                <w:bCs/>
                <w:sz w:val="24"/>
                <w:lang w:val="zh-CN"/>
              </w:rPr>
              <w:t>法定代表人身份证明书</w:t>
            </w:r>
          </w:p>
        </w:tc>
        <w:tc>
          <w:tcPr>
            <w:tcW w:w="1430" w:type="dxa"/>
            <w:tcBorders>
              <w:top w:val="single" w:color="auto" w:sz="4" w:space="0"/>
              <w:left w:val="single" w:color="auto" w:sz="4" w:space="0"/>
              <w:bottom w:val="single" w:color="auto" w:sz="4" w:space="0"/>
              <w:right w:val="single" w:color="auto" w:sz="4" w:space="0"/>
            </w:tcBorders>
            <w:vAlign w:val="center"/>
          </w:tcPr>
          <w:p w14:paraId="5D3568F6">
            <w:pPr>
              <w:pStyle w:val="5"/>
              <w:spacing w:line="360" w:lineRule="auto"/>
              <w:rPr>
                <w:rFonts w:ascii="宋体" w:hAnsi="宋体" w:cs="宋体"/>
                <w:bCs/>
                <w:sz w:val="24"/>
              </w:rPr>
            </w:pPr>
            <w:r>
              <w:rPr>
                <w:rFonts w:hint="eastAsia" w:ascii="宋体" w:hAnsi="宋体" w:cs="宋体"/>
                <w:bCs/>
                <w:sz w:val="24"/>
              </w:rPr>
              <w:t>符合采购文件要求且合法有效</w:t>
            </w:r>
          </w:p>
        </w:tc>
        <w:tc>
          <w:tcPr>
            <w:tcW w:w="1167" w:type="dxa"/>
            <w:tcBorders>
              <w:top w:val="single" w:color="auto" w:sz="4" w:space="0"/>
              <w:left w:val="single" w:color="auto" w:sz="4" w:space="0"/>
              <w:bottom w:val="single" w:color="auto" w:sz="4" w:space="0"/>
              <w:right w:val="single" w:color="auto" w:sz="4" w:space="0"/>
            </w:tcBorders>
            <w:vAlign w:val="center"/>
          </w:tcPr>
          <w:p w14:paraId="020FA14C">
            <w:pPr>
              <w:snapToGrid w:val="0"/>
              <w:spacing w:line="360" w:lineRule="auto"/>
              <w:ind w:firstLine="480" w:firstLineChars="200"/>
              <w:rPr>
                <w:rFonts w:ascii="宋体" w:hAnsi="宋体" w:cs="宋体"/>
                <w:bCs/>
                <w:sz w:val="24"/>
              </w:rPr>
            </w:pPr>
          </w:p>
        </w:tc>
      </w:tr>
      <w:tr w14:paraId="4A5B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83"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3AB7CC86">
            <w:pPr>
              <w:snapToGrid w:val="0"/>
              <w:spacing w:line="360" w:lineRule="auto"/>
              <w:jc w:val="center"/>
              <w:rPr>
                <w:rFonts w:ascii="宋体" w:hAnsi="宋体" w:cs="宋体"/>
                <w:bCs/>
                <w:sz w:val="24"/>
              </w:rPr>
            </w:pPr>
            <w:r>
              <w:rPr>
                <w:rFonts w:hint="eastAsia" w:ascii="宋体" w:hAnsi="宋体" w:cs="宋体"/>
                <w:bCs/>
                <w:sz w:val="24"/>
              </w:rPr>
              <w:t>11</w:t>
            </w: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14:paraId="7E2B0365">
            <w:pPr>
              <w:pStyle w:val="5"/>
              <w:snapToGrid w:val="0"/>
              <w:spacing w:line="360" w:lineRule="auto"/>
              <w:rPr>
                <w:rFonts w:ascii="宋体" w:hAnsi="宋体" w:cs="宋体"/>
                <w:bCs/>
                <w:sz w:val="24"/>
              </w:rPr>
            </w:pPr>
            <w:r>
              <w:rPr>
                <w:rFonts w:hint="eastAsia" w:ascii="宋体" w:hAnsi="宋体" w:cs="宋体"/>
                <w:bCs/>
                <w:sz w:val="24"/>
              </w:rPr>
              <w:t>不存在采购文件规定</w:t>
            </w:r>
            <w:r>
              <w:rPr>
                <w:rFonts w:hint="eastAsia" w:ascii="宋体" w:hAnsi="宋体" w:cs="宋体"/>
                <w:b/>
                <w:sz w:val="24"/>
              </w:rPr>
              <w:t>无效</w:t>
            </w:r>
            <w:r>
              <w:rPr>
                <w:rFonts w:hint="eastAsia" w:ascii="宋体" w:hAnsi="宋体" w:cs="宋体"/>
                <w:bCs/>
                <w:sz w:val="24"/>
              </w:rPr>
              <w:t>响应的其他情形。</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33A0A3A9">
            <w:pPr>
              <w:pStyle w:val="5"/>
              <w:snapToGrid w:val="0"/>
              <w:spacing w:line="360" w:lineRule="auto"/>
              <w:jc w:val="both"/>
              <w:rPr>
                <w:rFonts w:ascii="宋体" w:hAnsi="宋体" w:cs="宋体"/>
                <w:bCs/>
                <w:sz w:val="24"/>
              </w:rPr>
            </w:pPr>
            <w:r>
              <w:rPr>
                <w:rFonts w:hint="eastAsia" w:ascii="宋体" w:hAnsi="宋体" w:cs="宋体"/>
                <w:bCs/>
                <w:sz w:val="24"/>
              </w:rPr>
              <w:t>不存在</w:t>
            </w:r>
          </w:p>
        </w:tc>
        <w:tc>
          <w:tcPr>
            <w:tcW w:w="1167" w:type="dxa"/>
            <w:tcBorders>
              <w:top w:val="single" w:color="auto" w:sz="4" w:space="0"/>
              <w:left w:val="single" w:color="auto" w:sz="4" w:space="0"/>
              <w:bottom w:val="single" w:color="auto" w:sz="4" w:space="0"/>
              <w:right w:val="single" w:color="auto" w:sz="4" w:space="0"/>
            </w:tcBorders>
            <w:vAlign w:val="center"/>
          </w:tcPr>
          <w:p w14:paraId="02C3194D">
            <w:pPr>
              <w:snapToGrid w:val="0"/>
              <w:spacing w:line="360" w:lineRule="auto"/>
              <w:ind w:firstLine="480" w:firstLineChars="200"/>
              <w:rPr>
                <w:rFonts w:ascii="宋体" w:hAnsi="宋体" w:cs="宋体"/>
                <w:bCs/>
                <w:sz w:val="24"/>
              </w:rPr>
            </w:pPr>
          </w:p>
        </w:tc>
      </w:tr>
      <w:tr w14:paraId="29FD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shd w:val="clear" w:color="auto" w:fill="auto"/>
            <w:vAlign w:val="center"/>
          </w:tcPr>
          <w:p w14:paraId="1F3B5EE5">
            <w:pPr>
              <w:snapToGrid w:val="0"/>
              <w:spacing w:line="360" w:lineRule="auto"/>
              <w:jc w:val="center"/>
              <w:rPr>
                <w:rFonts w:ascii="宋体" w:hAnsi="宋体" w:cs="宋体"/>
                <w:bCs/>
                <w:sz w:val="24"/>
              </w:rPr>
            </w:pPr>
            <w:r>
              <w:rPr>
                <w:rFonts w:hint="eastAsia" w:ascii="宋体" w:hAnsi="宋体" w:cs="宋体"/>
                <w:bCs/>
                <w:sz w:val="24"/>
              </w:rPr>
              <w:t>12</w:t>
            </w: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14:paraId="35FAAF67">
            <w:pPr>
              <w:pStyle w:val="5"/>
              <w:snapToGrid w:val="0"/>
              <w:spacing w:line="360" w:lineRule="auto"/>
              <w:rPr>
                <w:rFonts w:ascii="宋体" w:hAnsi="宋体" w:cs="宋体"/>
                <w:bCs/>
                <w:sz w:val="24"/>
              </w:rPr>
            </w:pPr>
            <w:r>
              <w:rPr>
                <w:rFonts w:hint="eastAsia" w:ascii="宋体" w:hAnsi="宋体" w:cs="宋体"/>
                <w:bCs/>
                <w:sz w:val="24"/>
              </w:rPr>
              <w:t>不存在法律法规规定的</w:t>
            </w:r>
            <w:r>
              <w:rPr>
                <w:rFonts w:hint="eastAsia" w:ascii="宋体" w:hAnsi="宋体" w:cs="宋体"/>
                <w:b/>
                <w:sz w:val="24"/>
              </w:rPr>
              <w:t>无效</w:t>
            </w:r>
            <w:r>
              <w:rPr>
                <w:rFonts w:hint="eastAsia" w:ascii="宋体" w:hAnsi="宋体" w:cs="宋体"/>
                <w:bCs/>
                <w:sz w:val="24"/>
              </w:rPr>
              <w:t>响应情形。</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7750E579">
            <w:pPr>
              <w:pStyle w:val="5"/>
              <w:snapToGrid w:val="0"/>
              <w:spacing w:line="360" w:lineRule="auto"/>
              <w:jc w:val="both"/>
              <w:rPr>
                <w:rFonts w:ascii="宋体" w:hAnsi="宋体" w:cs="宋体"/>
                <w:bCs/>
                <w:sz w:val="24"/>
              </w:rPr>
            </w:pPr>
            <w:r>
              <w:rPr>
                <w:rFonts w:hint="eastAsia" w:ascii="宋体" w:hAnsi="宋体" w:cs="宋体"/>
                <w:bCs/>
                <w:sz w:val="24"/>
              </w:rPr>
              <w:t>不存在</w:t>
            </w:r>
          </w:p>
        </w:tc>
        <w:tc>
          <w:tcPr>
            <w:tcW w:w="1167" w:type="dxa"/>
            <w:tcBorders>
              <w:top w:val="single" w:color="auto" w:sz="4" w:space="0"/>
              <w:left w:val="single" w:color="auto" w:sz="4" w:space="0"/>
              <w:bottom w:val="single" w:color="auto" w:sz="4" w:space="0"/>
              <w:right w:val="single" w:color="auto" w:sz="4" w:space="0"/>
            </w:tcBorders>
            <w:vAlign w:val="center"/>
          </w:tcPr>
          <w:p w14:paraId="1E3C6E8A">
            <w:pPr>
              <w:snapToGrid w:val="0"/>
              <w:spacing w:line="360" w:lineRule="auto"/>
              <w:ind w:firstLine="480" w:firstLineChars="200"/>
              <w:rPr>
                <w:rFonts w:ascii="宋体" w:hAnsi="宋体" w:cs="宋体"/>
                <w:bCs/>
                <w:sz w:val="24"/>
              </w:rPr>
            </w:pPr>
          </w:p>
        </w:tc>
      </w:tr>
      <w:tr w14:paraId="4EF0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91" w:hRule="atLeast"/>
        </w:trPr>
        <w:tc>
          <w:tcPr>
            <w:tcW w:w="561" w:type="dxa"/>
            <w:tcBorders>
              <w:top w:val="single" w:color="auto" w:sz="4" w:space="0"/>
              <w:left w:val="single" w:color="auto" w:sz="4" w:space="0"/>
              <w:bottom w:val="single" w:color="auto" w:sz="4" w:space="0"/>
              <w:right w:val="single" w:color="auto" w:sz="4" w:space="0"/>
            </w:tcBorders>
            <w:vAlign w:val="center"/>
          </w:tcPr>
          <w:p w14:paraId="13E50D71">
            <w:pPr>
              <w:snapToGrid w:val="0"/>
              <w:spacing w:line="360" w:lineRule="auto"/>
              <w:jc w:val="center"/>
              <w:rPr>
                <w:rFonts w:ascii="宋体" w:hAnsi="宋体" w:cs="宋体"/>
                <w:bCs/>
                <w:sz w:val="24"/>
              </w:rPr>
            </w:pPr>
            <w:r>
              <w:rPr>
                <w:rFonts w:hint="eastAsia" w:ascii="宋体" w:hAnsi="宋体" w:cs="宋体"/>
                <w:bCs/>
                <w:sz w:val="24"/>
              </w:rPr>
              <w:t>13</w:t>
            </w:r>
          </w:p>
        </w:tc>
        <w:tc>
          <w:tcPr>
            <w:tcW w:w="5212" w:type="dxa"/>
            <w:tcBorders>
              <w:top w:val="single" w:color="auto" w:sz="4" w:space="0"/>
              <w:left w:val="single" w:color="auto" w:sz="4" w:space="0"/>
              <w:bottom w:val="single" w:color="auto" w:sz="4" w:space="0"/>
              <w:right w:val="single" w:color="auto" w:sz="4" w:space="0"/>
            </w:tcBorders>
            <w:shd w:val="clear" w:color="auto" w:fill="auto"/>
            <w:vAlign w:val="center"/>
          </w:tcPr>
          <w:p w14:paraId="7BC62746">
            <w:pPr>
              <w:pStyle w:val="5"/>
              <w:spacing w:line="360" w:lineRule="auto"/>
              <w:rPr>
                <w:rFonts w:ascii="宋体" w:hAnsi="宋体" w:cs="宋体"/>
                <w:bCs/>
                <w:sz w:val="24"/>
              </w:rPr>
            </w:pPr>
            <w:r>
              <w:rPr>
                <w:rFonts w:hint="eastAsia" w:ascii="宋体" w:hAnsi="宋体" w:cs="宋体"/>
                <w:sz w:val="24"/>
              </w:rPr>
              <w:t>评审中出现下列情形之一的，评审委员会应当启动异常低价投标（响应）审查程序：（一）投标（响应）报价低于全部通过资格审查供应商投标（响应）报价平均值50%的，即投标（响应）报价&lt;全部通过资格审查供应商投标（响应）报价平均值×50%；（二）投标（响应）报价低于通过资格审查且报价次低供应商投标（响应）报价50%的，即投标（响应）报价&lt;通过资格审查且报价次低供应商投标（响应）报价×50%；（三）投标（响应）报价低于采购项目预算金额45%的，即投标（响应）报价&lt;采购项目预算金额×45%；（四）其他评审委员会认为供应商报价过低，有可能影响产品质量或者不能诚信履约的情形。</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45E24AF3">
            <w:pPr>
              <w:kinsoku w:val="0"/>
              <w:wordWrap w:val="0"/>
              <w:overflowPunct w:val="0"/>
              <w:autoSpaceDE w:val="0"/>
              <w:autoSpaceDN w:val="0"/>
              <w:spacing w:line="360" w:lineRule="auto"/>
              <w:rPr>
                <w:rFonts w:ascii="宋体" w:hAnsi="宋体" w:cs="宋体"/>
                <w:sz w:val="24"/>
              </w:rPr>
            </w:pPr>
            <w:r>
              <w:rPr>
                <w:rFonts w:hint="eastAsia" w:ascii="宋体" w:hAnsi="宋体" w:cs="宋体"/>
                <w:sz w:val="24"/>
              </w:rPr>
              <w:t>不存在或虽然存在但能按评审委员会的要求证明其报价合理性。</w:t>
            </w:r>
          </w:p>
          <w:p w14:paraId="2CFE677A">
            <w:pPr>
              <w:pStyle w:val="5"/>
              <w:spacing w:line="360" w:lineRule="auto"/>
              <w:rPr>
                <w:rFonts w:ascii="宋体" w:hAnsi="宋体" w:cs="宋体"/>
                <w:bCs/>
                <w:sz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207B0305">
            <w:pPr>
              <w:snapToGrid w:val="0"/>
              <w:spacing w:line="360" w:lineRule="auto"/>
              <w:ind w:firstLine="480" w:firstLineChars="200"/>
              <w:rPr>
                <w:rFonts w:ascii="宋体" w:hAnsi="宋体" w:cs="宋体"/>
                <w:bCs/>
                <w:sz w:val="24"/>
              </w:rPr>
            </w:pPr>
          </w:p>
        </w:tc>
      </w:tr>
    </w:tbl>
    <w:p w14:paraId="163EB716">
      <w:pPr>
        <w:adjustRightInd w:val="0"/>
        <w:snapToGrid w:val="0"/>
        <w:spacing w:line="360" w:lineRule="auto"/>
        <w:ind w:firstLine="482" w:firstLineChars="200"/>
        <w:rPr>
          <w:rFonts w:ascii="宋体" w:hAnsi="宋体" w:cs="宋体"/>
          <w:b/>
          <w:sz w:val="24"/>
        </w:rPr>
      </w:pPr>
    </w:p>
    <w:p w14:paraId="39B6971E">
      <w:pPr>
        <w:adjustRightInd w:val="0"/>
        <w:snapToGrid w:val="0"/>
        <w:spacing w:line="360" w:lineRule="auto"/>
        <w:ind w:firstLine="482" w:firstLineChars="200"/>
        <w:rPr>
          <w:rFonts w:ascii="宋体" w:hAnsi="宋体" w:cs="宋体"/>
          <w:b/>
          <w:sz w:val="24"/>
        </w:rPr>
      </w:pPr>
      <w:r>
        <w:rPr>
          <w:rFonts w:hint="eastAsia" w:ascii="宋体" w:hAnsi="宋体" w:cs="宋体"/>
          <w:b/>
          <w:sz w:val="24"/>
        </w:rPr>
        <w:t>三、评审标准</w:t>
      </w:r>
    </w:p>
    <w:p w14:paraId="1E995F49">
      <w:pPr>
        <w:adjustRightInd w:val="0"/>
        <w:snapToGrid w:val="0"/>
        <w:spacing w:line="360" w:lineRule="auto"/>
        <w:ind w:firstLine="482" w:firstLineChars="200"/>
        <w:rPr>
          <w:rFonts w:ascii="宋体" w:hAnsi="宋体" w:cs="宋体"/>
          <w:b/>
          <w:sz w:val="24"/>
        </w:rPr>
      </w:pPr>
      <w:r>
        <w:rPr>
          <w:rFonts w:hint="eastAsia" w:ascii="宋体" w:hAnsi="宋体" w:cs="宋体"/>
          <w:b/>
          <w:sz w:val="24"/>
        </w:rPr>
        <w:t>（一）评审方法及评审结果排列顺序规定如下：</w:t>
      </w:r>
    </w:p>
    <w:p w14:paraId="078F2DB9">
      <w:pPr>
        <w:pStyle w:val="5"/>
        <w:spacing w:line="360" w:lineRule="auto"/>
        <w:ind w:firstLine="480" w:firstLineChars="200"/>
        <w:jc w:val="both"/>
        <w:rPr>
          <w:rFonts w:ascii="宋体" w:hAnsi="宋体" w:cs="宋体"/>
          <w:bCs/>
          <w:sz w:val="24"/>
        </w:rPr>
      </w:pPr>
      <w:r>
        <w:rPr>
          <w:rFonts w:hint="eastAsia" w:ascii="宋体" w:hAnsi="宋体" w:cs="宋体"/>
          <w:bCs/>
          <w:sz w:val="24"/>
        </w:rPr>
        <w:t>采用综合评分法的，评审结果按评审后得分由高到低顺序排列。得分相同的，按响应报价由低到高顺序排列。得分且响应报价相同的评审委员会根据响应情况推荐评审结果排列顺序或予以授标建议。</w:t>
      </w:r>
    </w:p>
    <w:p w14:paraId="447CB29A">
      <w:pPr>
        <w:numPr>
          <w:ilvl w:val="0"/>
          <w:numId w:val="7"/>
        </w:numPr>
        <w:adjustRightInd w:val="0"/>
        <w:snapToGrid w:val="0"/>
        <w:spacing w:line="360" w:lineRule="auto"/>
        <w:ind w:firstLine="482" w:firstLineChars="200"/>
        <w:rPr>
          <w:rFonts w:ascii="宋体" w:hAnsi="宋体" w:cs="宋体"/>
          <w:b/>
          <w:sz w:val="24"/>
        </w:rPr>
      </w:pPr>
      <w:r>
        <w:rPr>
          <w:rFonts w:hint="eastAsia" w:ascii="宋体" w:hAnsi="宋体" w:cs="宋体"/>
          <w:b/>
          <w:sz w:val="24"/>
        </w:rPr>
        <w:t>评审因素及分值分配</w:t>
      </w:r>
    </w:p>
    <w:tbl>
      <w:tblPr>
        <w:tblStyle w:val="13"/>
        <w:tblW w:w="74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04"/>
        <w:gridCol w:w="2370"/>
        <w:gridCol w:w="2620"/>
      </w:tblGrid>
      <w:tr w14:paraId="24554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504" w:type="dxa"/>
            <w:tcBorders>
              <w:top w:val="single" w:color="auto" w:sz="6" w:space="0"/>
              <w:left w:val="single" w:color="auto" w:sz="6" w:space="0"/>
              <w:bottom w:val="single" w:color="auto" w:sz="6" w:space="0"/>
              <w:right w:val="single" w:color="auto" w:sz="6" w:space="0"/>
            </w:tcBorders>
            <w:vAlign w:val="center"/>
          </w:tcPr>
          <w:p w14:paraId="19426A7C">
            <w:pPr>
              <w:spacing w:line="360" w:lineRule="auto"/>
              <w:jc w:val="center"/>
              <w:rPr>
                <w:rFonts w:ascii="宋体" w:hAnsi="宋体" w:cs="宋体"/>
                <w:sz w:val="24"/>
              </w:rPr>
            </w:pPr>
            <w:r>
              <w:rPr>
                <w:rFonts w:hint="eastAsia" w:ascii="宋体" w:hAnsi="宋体" w:cs="宋体"/>
                <w:sz w:val="24"/>
              </w:rPr>
              <w:t>评审因素</w:t>
            </w:r>
          </w:p>
        </w:tc>
        <w:tc>
          <w:tcPr>
            <w:tcW w:w="2370" w:type="dxa"/>
            <w:tcBorders>
              <w:top w:val="single" w:color="auto" w:sz="6" w:space="0"/>
              <w:left w:val="single" w:color="auto" w:sz="6" w:space="0"/>
              <w:bottom w:val="single" w:color="auto" w:sz="6" w:space="0"/>
              <w:right w:val="single" w:color="auto" w:sz="6" w:space="0"/>
            </w:tcBorders>
            <w:vAlign w:val="center"/>
          </w:tcPr>
          <w:p w14:paraId="50279A11">
            <w:pPr>
              <w:spacing w:line="360" w:lineRule="auto"/>
              <w:jc w:val="center"/>
              <w:rPr>
                <w:rFonts w:ascii="宋体" w:hAnsi="宋体" w:cs="宋体"/>
                <w:sz w:val="24"/>
              </w:rPr>
            </w:pPr>
            <w:r>
              <w:rPr>
                <w:rFonts w:hint="eastAsia" w:ascii="宋体" w:hAnsi="宋体" w:cs="宋体"/>
                <w:sz w:val="24"/>
              </w:rPr>
              <w:t>技术商务</w:t>
            </w:r>
          </w:p>
        </w:tc>
        <w:tc>
          <w:tcPr>
            <w:tcW w:w="2620" w:type="dxa"/>
            <w:tcBorders>
              <w:top w:val="single" w:color="auto" w:sz="6" w:space="0"/>
              <w:left w:val="single" w:color="auto" w:sz="6" w:space="0"/>
              <w:bottom w:val="single" w:color="auto" w:sz="6" w:space="0"/>
              <w:right w:val="single" w:color="auto" w:sz="6" w:space="0"/>
            </w:tcBorders>
            <w:vAlign w:val="center"/>
          </w:tcPr>
          <w:p w14:paraId="48C0854F">
            <w:pPr>
              <w:spacing w:line="360" w:lineRule="auto"/>
              <w:jc w:val="center"/>
              <w:rPr>
                <w:rFonts w:ascii="宋体" w:hAnsi="宋体" w:cs="宋体"/>
                <w:sz w:val="24"/>
              </w:rPr>
            </w:pPr>
            <w:r>
              <w:rPr>
                <w:rFonts w:hint="eastAsia" w:ascii="宋体" w:hAnsi="宋体" w:cs="宋体"/>
                <w:sz w:val="24"/>
              </w:rPr>
              <w:t>价格</w:t>
            </w:r>
          </w:p>
        </w:tc>
      </w:tr>
      <w:tr w14:paraId="59A42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504" w:type="dxa"/>
            <w:tcBorders>
              <w:top w:val="single" w:color="auto" w:sz="6" w:space="0"/>
              <w:left w:val="single" w:color="auto" w:sz="6" w:space="0"/>
              <w:bottom w:val="single" w:color="auto" w:sz="6" w:space="0"/>
              <w:right w:val="single" w:color="auto" w:sz="6" w:space="0"/>
            </w:tcBorders>
            <w:vAlign w:val="center"/>
          </w:tcPr>
          <w:p w14:paraId="65DE1A8C">
            <w:pPr>
              <w:spacing w:line="360" w:lineRule="auto"/>
              <w:jc w:val="center"/>
              <w:rPr>
                <w:rFonts w:ascii="宋体" w:hAnsi="宋体" w:cs="宋体"/>
                <w:sz w:val="24"/>
              </w:rPr>
            </w:pPr>
            <w:r>
              <w:rPr>
                <w:rFonts w:hint="eastAsia" w:ascii="宋体" w:hAnsi="宋体" w:cs="宋体"/>
                <w:sz w:val="24"/>
              </w:rPr>
              <w:t>分值</w:t>
            </w:r>
          </w:p>
        </w:tc>
        <w:tc>
          <w:tcPr>
            <w:tcW w:w="2370" w:type="dxa"/>
            <w:tcBorders>
              <w:top w:val="single" w:color="auto" w:sz="6" w:space="0"/>
              <w:left w:val="single" w:color="auto" w:sz="6" w:space="0"/>
              <w:bottom w:val="single" w:color="auto" w:sz="6" w:space="0"/>
              <w:right w:val="single" w:color="auto" w:sz="6" w:space="0"/>
            </w:tcBorders>
            <w:vAlign w:val="center"/>
          </w:tcPr>
          <w:p w14:paraId="73CF85DB">
            <w:pPr>
              <w:spacing w:line="360" w:lineRule="auto"/>
              <w:jc w:val="center"/>
              <w:rPr>
                <w:rFonts w:ascii="宋体" w:hAnsi="宋体" w:cs="宋体"/>
                <w:sz w:val="24"/>
              </w:rPr>
            </w:pPr>
            <w:r>
              <w:rPr>
                <w:rFonts w:hint="eastAsia" w:ascii="宋体" w:hAnsi="宋体" w:cs="宋体"/>
                <w:sz w:val="24"/>
              </w:rPr>
              <w:t>90分</w:t>
            </w:r>
          </w:p>
        </w:tc>
        <w:tc>
          <w:tcPr>
            <w:tcW w:w="2620" w:type="dxa"/>
            <w:tcBorders>
              <w:top w:val="single" w:color="auto" w:sz="6" w:space="0"/>
              <w:left w:val="single" w:color="auto" w:sz="6" w:space="0"/>
              <w:bottom w:val="single" w:color="auto" w:sz="6" w:space="0"/>
              <w:right w:val="single" w:color="auto" w:sz="6" w:space="0"/>
            </w:tcBorders>
            <w:vAlign w:val="center"/>
          </w:tcPr>
          <w:p w14:paraId="3BC6DD10">
            <w:pPr>
              <w:spacing w:line="360" w:lineRule="auto"/>
              <w:jc w:val="center"/>
              <w:rPr>
                <w:rFonts w:ascii="宋体" w:hAnsi="宋体" w:cs="宋体"/>
                <w:sz w:val="24"/>
              </w:rPr>
            </w:pPr>
            <w:r>
              <w:rPr>
                <w:rFonts w:hint="eastAsia" w:ascii="宋体" w:hAnsi="宋体" w:cs="宋体"/>
                <w:sz w:val="24"/>
              </w:rPr>
              <w:t>10分</w:t>
            </w:r>
          </w:p>
        </w:tc>
      </w:tr>
    </w:tbl>
    <w:p w14:paraId="706BDE51">
      <w:pPr>
        <w:adjustRightInd w:val="0"/>
        <w:snapToGrid w:val="0"/>
        <w:spacing w:line="360" w:lineRule="auto"/>
        <w:ind w:firstLine="482" w:firstLineChars="200"/>
        <w:rPr>
          <w:rFonts w:ascii="宋体" w:hAnsi="宋体" w:cs="宋体"/>
          <w:b/>
          <w:sz w:val="24"/>
        </w:rPr>
      </w:pPr>
      <w:r>
        <w:rPr>
          <w:rFonts w:hint="eastAsia" w:ascii="宋体" w:hAnsi="宋体" w:cs="宋体"/>
          <w:b/>
          <w:sz w:val="24"/>
        </w:rPr>
        <w:t>（三）响应报价的评审要求</w:t>
      </w:r>
    </w:p>
    <w:p w14:paraId="573659C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1、价格核准：评审委员会对资格审查合格的供应商的响应报价明细进行复核，看其是否有计算错误，如有则按供应商须知有关规定修正或澄清。</w:t>
      </w:r>
    </w:p>
    <w:p w14:paraId="6EB1851C">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2、价格评审：</w:t>
      </w:r>
    </w:p>
    <w:p w14:paraId="614FE9A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综合评分法，价格分统一采用低价优先法计算，即满足采购文件要求（通过资格审查）且评审价(指修正及价格扣除后的价格，下同)最低的为评审基准价，其价格分为满分。其他供应商的价格分统一按照下列公式计算：</w:t>
      </w:r>
    </w:p>
    <w:p w14:paraId="305A4CFC">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价格评分=（评审基准价／评审价）×价格分值</w:t>
      </w:r>
    </w:p>
    <w:p w14:paraId="63EA45DC">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3、在评审过程中，不得去掉报价中的最高报价和最低报价。</w:t>
      </w:r>
    </w:p>
    <w:p w14:paraId="7489862C">
      <w:pPr>
        <w:adjustRightInd w:val="0"/>
        <w:snapToGrid w:val="0"/>
        <w:spacing w:line="360" w:lineRule="auto"/>
        <w:rPr>
          <w:rFonts w:hint="eastAsia" w:ascii="宋体" w:hAnsi="宋体" w:cs="宋体"/>
          <w:b/>
          <w:sz w:val="24"/>
        </w:rPr>
      </w:pPr>
    </w:p>
    <w:p w14:paraId="64D7FF98">
      <w:pPr>
        <w:adjustRightInd w:val="0"/>
        <w:snapToGrid w:val="0"/>
        <w:spacing w:line="360" w:lineRule="auto"/>
        <w:rPr>
          <w:rFonts w:hint="eastAsia" w:ascii="宋体" w:hAnsi="宋体" w:cs="宋体"/>
          <w:b/>
          <w:sz w:val="24"/>
        </w:rPr>
      </w:pPr>
    </w:p>
    <w:p w14:paraId="3F0A213C">
      <w:pPr>
        <w:adjustRightInd w:val="0"/>
        <w:snapToGrid w:val="0"/>
        <w:spacing w:line="360" w:lineRule="auto"/>
        <w:rPr>
          <w:rFonts w:hint="eastAsia" w:ascii="宋体" w:hAnsi="宋体" w:cs="宋体"/>
          <w:b/>
          <w:sz w:val="24"/>
        </w:rPr>
      </w:pPr>
    </w:p>
    <w:p w14:paraId="620AD512">
      <w:pPr>
        <w:adjustRightInd w:val="0"/>
        <w:snapToGrid w:val="0"/>
        <w:spacing w:line="360" w:lineRule="auto"/>
        <w:rPr>
          <w:rFonts w:hint="eastAsia" w:ascii="宋体" w:hAnsi="宋体" w:cs="宋体"/>
          <w:b/>
          <w:sz w:val="24"/>
        </w:rPr>
      </w:pPr>
    </w:p>
    <w:p w14:paraId="2090D0C9">
      <w:pPr>
        <w:adjustRightInd w:val="0"/>
        <w:snapToGrid w:val="0"/>
        <w:spacing w:line="360" w:lineRule="auto"/>
        <w:rPr>
          <w:rFonts w:hint="eastAsia" w:ascii="宋体" w:hAnsi="宋体" w:cs="宋体"/>
          <w:b/>
          <w:sz w:val="24"/>
        </w:rPr>
      </w:pPr>
    </w:p>
    <w:p w14:paraId="650386CF">
      <w:pPr>
        <w:adjustRightInd w:val="0"/>
        <w:snapToGrid w:val="0"/>
        <w:spacing w:line="360" w:lineRule="auto"/>
        <w:rPr>
          <w:rFonts w:hint="eastAsia" w:ascii="宋体" w:hAnsi="宋体" w:cs="宋体"/>
          <w:b/>
          <w:sz w:val="24"/>
        </w:rPr>
      </w:pPr>
    </w:p>
    <w:p w14:paraId="5F4BE74E">
      <w:pPr>
        <w:adjustRightInd w:val="0"/>
        <w:snapToGrid w:val="0"/>
        <w:spacing w:line="360" w:lineRule="auto"/>
        <w:rPr>
          <w:rFonts w:hint="eastAsia" w:ascii="宋体" w:hAnsi="宋体" w:cs="宋体"/>
          <w:b/>
          <w:sz w:val="24"/>
        </w:rPr>
      </w:pPr>
    </w:p>
    <w:p w14:paraId="6E22FA70">
      <w:pPr>
        <w:adjustRightInd w:val="0"/>
        <w:snapToGrid w:val="0"/>
        <w:spacing w:line="360" w:lineRule="auto"/>
        <w:rPr>
          <w:rFonts w:hint="eastAsia" w:ascii="宋体" w:hAnsi="宋体" w:cs="宋体"/>
          <w:b/>
          <w:sz w:val="24"/>
        </w:rPr>
      </w:pPr>
    </w:p>
    <w:p w14:paraId="531F5826">
      <w:pPr>
        <w:adjustRightInd w:val="0"/>
        <w:snapToGrid w:val="0"/>
        <w:spacing w:line="360" w:lineRule="auto"/>
        <w:rPr>
          <w:rFonts w:hint="eastAsia" w:ascii="宋体" w:hAnsi="宋体" w:cs="宋体"/>
          <w:b/>
          <w:sz w:val="24"/>
        </w:rPr>
      </w:pPr>
    </w:p>
    <w:p w14:paraId="16B48860">
      <w:pPr>
        <w:adjustRightInd w:val="0"/>
        <w:snapToGrid w:val="0"/>
        <w:spacing w:line="360" w:lineRule="auto"/>
        <w:rPr>
          <w:rFonts w:hint="eastAsia" w:ascii="宋体" w:hAnsi="宋体" w:cs="宋体"/>
          <w:b/>
          <w:sz w:val="24"/>
        </w:rPr>
      </w:pPr>
    </w:p>
    <w:p w14:paraId="17C88A38">
      <w:pPr>
        <w:adjustRightInd w:val="0"/>
        <w:snapToGrid w:val="0"/>
        <w:spacing w:line="360" w:lineRule="auto"/>
        <w:rPr>
          <w:rFonts w:ascii="宋体" w:hAnsi="宋体" w:cs="宋体"/>
          <w:b/>
          <w:sz w:val="24"/>
        </w:rPr>
      </w:pPr>
      <w:r>
        <w:rPr>
          <w:rFonts w:hint="eastAsia" w:ascii="宋体" w:hAnsi="宋体" w:cs="宋体"/>
          <w:b/>
          <w:sz w:val="24"/>
        </w:rPr>
        <w:t>（四）评审细则</w:t>
      </w:r>
    </w:p>
    <w:tbl>
      <w:tblPr>
        <w:tblStyle w:val="13"/>
        <w:tblpPr w:leftFromText="180" w:rightFromText="180" w:vertAnchor="text" w:horzAnchor="page" w:tblpXSpec="center" w:tblpY="393"/>
        <w:tblOverlap w:val="never"/>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72"/>
        <w:gridCol w:w="5374"/>
        <w:gridCol w:w="788"/>
      </w:tblGrid>
      <w:tr w14:paraId="38E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41" w:type="pct"/>
            <w:shd w:val="clear" w:color="auto" w:fill="FFFFFF"/>
            <w:vAlign w:val="center"/>
          </w:tcPr>
          <w:p w14:paraId="6F0A376D">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序号</w:t>
            </w:r>
          </w:p>
        </w:tc>
        <w:tc>
          <w:tcPr>
            <w:tcW w:w="830" w:type="pct"/>
            <w:shd w:val="clear" w:color="auto" w:fill="FFFFFF"/>
            <w:vAlign w:val="center"/>
          </w:tcPr>
          <w:p w14:paraId="1721C048">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评比项目</w:t>
            </w:r>
          </w:p>
        </w:tc>
        <w:tc>
          <w:tcPr>
            <w:tcW w:w="3252" w:type="pct"/>
            <w:shd w:val="clear" w:color="auto" w:fill="FFFFFF"/>
            <w:vAlign w:val="center"/>
          </w:tcPr>
          <w:p w14:paraId="73EEDD86">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评比内容</w:t>
            </w:r>
          </w:p>
        </w:tc>
        <w:tc>
          <w:tcPr>
            <w:tcW w:w="475" w:type="pct"/>
            <w:shd w:val="clear" w:color="auto" w:fill="FFFFFF"/>
            <w:vAlign w:val="center"/>
          </w:tcPr>
          <w:p w14:paraId="60667494">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满分</w:t>
            </w:r>
          </w:p>
        </w:tc>
      </w:tr>
      <w:tr w14:paraId="7522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000" w:type="pct"/>
            <w:gridSpan w:val="4"/>
            <w:shd w:val="clear" w:color="auto" w:fill="FFFFFF"/>
            <w:vAlign w:val="center"/>
          </w:tcPr>
          <w:p w14:paraId="06CE9638">
            <w:pPr>
              <w:widowControl/>
              <w:spacing w:line="360" w:lineRule="auto"/>
              <w:jc w:val="center"/>
              <w:textAlignment w:val="center"/>
              <w:rPr>
                <w:rFonts w:ascii="宋体" w:hAnsi="宋体" w:cs="宋体"/>
                <w:color w:val="000000"/>
                <w:kern w:val="0"/>
                <w:sz w:val="24"/>
                <w:lang w:bidi="en-US"/>
              </w:rPr>
            </w:pPr>
            <w:r>
              <w:rPr>
                <w:rFonts w:hint="eastAsia" w:ascii="宋体" w:hAnsi="宋体" w:cs="宋体"/>
                <w:color w:val="000000"/>
                <w:kern w:val="0"/>
                <w:sz w:val="24"/>
                <w:lang w:bidi="ar"/>
              </w:rPr>
              <w:t>技术、商务部分</w:t>
            </w:r>
            <w:r>
              <w:rPr>
                <w:rFonts w:hint="eastAsia" w:ascii="宋体" w:hAnsi="宋体" w:cs="宋体"/>
                <w:b/>
                <w:bCs/>
                <w:color w:val="000000"/>
                <w:kern w:val="0"/>
                <w:sz w:val="24"/>
                <w:lang w:bidi="ar"/>
              </w:rPr>
              <w:t>（90</w:t>
            </w:r>
            <w:r>
              <w:rPr>
                <w:rFonts w:hint="eastAsia" w:ascii="宋体" w:hAnsi="宋体" w:cs="宋体"/>
                <w:color w:val="000000"/>
                <w:kern w:val="0"/>
                <w:sz w:val="24"/>
                <w:lang w:bidi="ar"/>
              </w:rPr>
              <w:t>分）</w:t>
            </w:r>
          </w:p>
        </w:tc>
      </w:tr>
      <w:tr w14:paraId="3C40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441" w:type="pct"/>
            <w:shd w:val="clear" w:color="auto" w:fill="FFFFFF"/>
            <w:vAlign w:val="center"/>
          </w:tcPr>
          <w:p w14:paraId="10D54305">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1</w:t>
            </w:r>
          </w:p>
        </w:tc>
        <w:tc>
          <w:tcPr>
            <w:tcW w:w="830" w:type="pct"/>
            <w:shd w:val="clear" w:color="auto" w:fill="FFFFFF"/>
            <w:vAlign w:val="center"/>
          </w:tcPr>
          <w:p w14:paraId="66435AF1">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技术响应部分</w:t>
            </w:r>
          </w:p>
        </w:tc>
        <w:tc>
          <w:tcPr>
            <w:tcW w:w="3252" w:type="pct"/>
            <w:shd w:val="clear" w:color="auto" w:fill="FFFFFF"/>
            <w:vAlign w:val="center"/>
          </w:tcPr>
          <w:p w14:paraId="30FFDF84">
            <w:pPr>
              <w:widowControl/>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技术部分基础分24分，供应商须对</w:t>
            </w:r>
            <w:r>
              <w:rPr>
                <w:rFonts w:hint="eastAsia" w:ascii="宋体" w:hAnsi="宋体" w:cs="宋体"/>
                <w:kern w:val="0"/>
                <w:sz w:val="24"/>
                <w:lang w:bidi="ar"/>
              </w:rPr>
              <w:t>招标文件</w:t>
            </w:r>
            <w:r>
              <w:rPr>
                <w:rFonts w:hint="eastAsia" w:ascii="宋体" w:hAnsi="宋体" w:cs="宋体"/>
                <w:color w:val="000000"/>
                <w:kern w:val="0"/>
                <w:sz w:val="24"/>
                <w:lang w:bidi="ar"/>
              </w:rPr>
              <w:t>“第二章 采购需求 三、采购清单技术参数”各项技术 参数及功能要求的响应情况进行逐一响应，其中：带▲的指标不满足每个扣1.5分，非▲的指标不满足每个扣1分，扣完为止，本项满分24分。带▲的指标共12个。</w:t>
            </w:r>
          </w:p>
          <w:p w14:paraId="016584D3">
            <w:pPr>
              <w:widowControl/>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注：1、</w:t>
            </w:r>
            <w:r>
              <w:rPr>
                <w:rFonts w:hint="eastAsia" w:ascii="宋体" w:hAnsi="宋体" w:cs="宋体"/>
                <w:kern w:val="0"/>
                <w:sz w:val="24"/>
                <w:lang w:bidi="ar"/>
              </w:rPr>
              <w:t>招标文件</w:t>
            </w:r>
            <w:r>
              <w:rPr>
                <w:rFonts w:hint="eastAsia" w:ascii="宋体" w:hAnsi="宋体" w:cs="宋体"/>
                <w:color w:val="000000"/>
                <w:kern w:val="0"/>
                <w:sz w:val="24"/>
                <w:lang w:bidi="ar"/>
              </w:rPr>
              <w:t>中要求的技术参数及功能要求为基本要求，供应商投标技术参数和功能要求优于或等于</w:t>
            </w:r>
            <w:r>
              <w:rPr>
                <w:rFonts w:hint="eastAsia" w:ascii="宋体" w:hAnsi="宋体" w:cs="宋体"/>
                <w:kern w:val="0"/>
                <w:sz w:val="24"/>
                <w:lang w:bidi="ar"/>
              </w:rPr>
              <w:t>招标文件</w:t>
            </w:r>
            <w:r>
              <w:rPr>
                <w:rFonts w:hint="eastAsia" w:ascii="宋体" w:hAnsi="宋体" w:cs="宋体"/>
                <w:color w:val="000000"/>
                <w:kern w:val="0"/>
                <w:sz w:val="24"/>
                <w:lang w:bidi="ar"/>
              </w:rPr>
              <w:t>的均不扣分，优于的须提供相关证明文件和说明。</w:t>
            </w:r>
          </w:p>
          <w:p w14:paraId="330096A5">
            <w:pPr>
              <w:widowControl/>
              <w:spacing w:line="360" w:lineRule="auto"/>
              <w:jc w:val="left"/>
              <w:textAlignment w:val="center"/>
              <w:rPr>
                <w:rFonts w:ascii="宋体" w:hAnsi="宋体" w:cs="宋体"/>
                <w:color w:val="000000"/>
                <w:kern w:val="0"/>
                <w:sz w:val="24"/>
                <w:lang w:bidi="en-US"/>
              </w:rPr>
            </w:pPr>
            <w:r>
              <w:rPr>
                <w:rFonts w:hint="eastAsia" w:ascii="宋体" w:hAnsi="宋体" w:cs="宋体"/>
                <w:color w:val="000000"/>
                <w:kern w:val="0"/>
                <w:sz w:val="24"/>
                <w:lang w:bidi="ar"/>
              </w:rPr>
              <w:t>2、供应商须对所投标产品技术参数及功能要求的真实性负责，提供虚假印章、参数、证明或伪造、变更或虚假响应者，按废标处理、没收投标保证金并将上报政府釆购主管部门进行严肃处理。</w:t>
            </w:r>
          </w:p>
        </w:tc>
        <w:tc>
          <w:tcPr>
            <w:tcW w:w="475" w:type="pct"/>
            <w:shd w:val="clear" w:color="auto" w:fill="FFFFFF"/>
            <w:vAlign w:val="center"/>
          </w:tcPr>
          <w:p w14:paraId="00CEA5B5">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24分</w:t>
            </w:r>
          </w:p>
        </w:tc>
      </w:tr>
      <w:tr w14:paraId="6556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441" w:type="pct"/>
            <w:vMerge w:val="restart"/>
            <w:shd w:val="clear" w:color="auto" w:fill="FFFFFF"/>
            <w:vAlign w:val="center"/>
          </w:tcPr>
          <w:p w14:paraId="18F66160">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2</w:t>
            </w:r>
          </w:p>
        </w:tc>
        <w:tc>
          <w:tcPr>
            <w:tcW w:w="830" w:type="pct"/>
            <w:vMerge w:val="restart"/>
            <w:shd w:val="clear" w:color="auto" w:fill="FFFFFF"/>
            <w:vAlign w:val="center"/>
          </w:tcPr>
          <w:p w14:paraId="172D1F94">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团队配置</w:t>
            </w:r>
          </w:p>
        </w:tc>
        <w:tc>
          <w:tcPr>
            <w:tcW w:w="3252" w:type="pct"/>
            <w:shd w:val="clear" w:color="auto" w:fill="FFFFFF"/>
            <w:vAlign w:val="center"/>
          </w:tcPr>
          <w:p w14:paraId="3E239805">
            <w:pPr>
              <w:widowControl/>
              <w:spacing w:line="360" w:lineRule="auto"/>
              <w:jc w:val="left"/>
              <w:textAlignment w:val="center"/>
              <w:rPr>
                <w:rFonts w:ascii="宋体" w:hAnsi="宋体" w:cs="宋体"/>
                <w:color w:val="FF0000"/>
                <w:kern w:val="0"/>
                <w:sz w:val="24"/>
                <w:lang w:bidi="en-US"/>
              </w:rPr>
            </w:pPr>
            <w:r>
              <w:rPr>
                <w:rFonts w:hint="eastAsia" w:ascii="宋体" w:hAnsi="宋体" w:cs="宋体"/>
                <w:color w:val="000000"/>
                <w:kern w:val="0"/>
                <w:sz w:val="24"/>
                <w:lang w:bidi="ar"/>
              </w:rPr>
              <w:t>本项目项目经理1人，该人具有1、信息系统项目管理师证书；2、信息安全工程师(CISP)证书；3、ITIL4 Foundation证书；4、中级以上通信专业技术人员职业资格证书；以上证书每提供一个得2分，满分8分。（提供证书复印件并加盖公章，提供证书人员必须为本项目投标公司正式员工，提供投标公司为该持证人员在本单位缴纳2025年至今任意3个月的社保记录并加盖公章，不提供不得分）</w:t>
            </w:r>
          </w:p>
        </w:tc>
        <w:tc>
          <w:tcPr>
            <w:tcW w:w="475" w:type="pct"/>
            <w:shd w:val="clear" w:color="auto" w:fill="FFFFFF"/>
            <w:vAlign w:val="center"/>
          </w:tcPr>
          <w:p w14:paraId="3DCE9F66">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8分</w:t>
            </w:r>
          </w:p>
        </w:tc>
      </w:tr>
      <w:tr w14:paraId="3598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441" w:type="pct"/>
            <w:vMerge w:val="continue"/>
            <w:shd w:val="clear" w:color="auto" w:fill="FFFFFF"/>
            <w:vAlign w:val="center"/>
          </w:tcPr>
          <w:p w14:paraId="46022E19">
            <w:pPr>
              <w:spacing w:line="360" w:lineRule="auto"/>
              <w:jc w:val="center"/>
              <w:rPr>
                <w:rFonts w:ascii="宋体" w:hAnsi="宋体" w:cs="宋体"/>
                <w:b/>
                <w:bCs/>
                <w:color w:val="000000"/>
                <w:kern w:val="0"/>
                <w:sz w:val="24"/>
                <w:lang w:eastAsia="en-US" w:bidi="en-US"/>
              </w:rPr>
            </w:pPr>
          </w:p>
        </w:tc>
        <w:tc>
          <w:tcPr>
            <w:tcW w:w="830" w:type="pct"/>
            <w:vMerge w:val="continue"/>
            <w:shd w:val="clear" w:color="auto" w:fill="FFFFFF"/>
            <w:vAlign w:val="center"/>
          </w:tcPr>
          <w:p w14:paraId="49E3816B">
            <w:pPr>
              <w:spacing w:line="360" w:lineRule="auto"/>
              <w:jc w:val="center"/>
              <w:rPr>
                <w:rFonts w:ascii="宋体" w:hAnsi="宋体" w:cs="宋体"/>
                <w:color w:val="000000"/>
                <w:kern w:val="0"/>
                <w:sz w:val="24"/>
                <w:lang w:eastAsia="en-US" w:bidi="en-US"/>
              </w:rPr>
            </w:pPr>
          </w:p>
        </w:tc>
        <w:tc>
          <w:tcPr>
            <w:tcW w:w="3252" w:type="pct"/>
            <w:shd w:val="clear" w:color="auto" w:fill="FFFFFF"/>
            <w:vAlign w:val="center"/>
          </w:tcPr>
          <w:p w14:paraId="493C9171">
            <w:pPr>
              <w:widowControl/>
              <w:spacing w:line="360" w:lineRule="auto"/>
              <w:jc w:val="left"/>
              <w:textAlignment w:val="center"/>
              <w:rPr>
                <w:rFonts w:ascii="宋体" w:hAnsi="宋体" w:cs="宋体"/>
                <w:color w:val="FF0000"/>
                <w:kern w:val="0"/>
                <w:sz w:val="24"/>
                <w:lang w:bidi="en-US"/>
              </w:rPr>
            </w:pPr>
            <w:r>
              <w:rPr>
                <w:rFonts w:hint="eastAsia" w:ascii="宋体" w:hAnsi="宋体" w:cs="宋体"/>
                <w:color w:val="000000"/>
                <w:kern w:val="0"/>
                <w:sz w:val="24"/>
                <w:lang w:bidi="ar"/>
              </w:rPr>
              <w:t>项目技术团队成员须具备：系统集成项目管理工程师或信息安全工程师(CISP)证书，每名成员得2分，最高4分，不提供不得分(提供证书复印件并加盖公章；提供证书人员必须为本项目投标公司正式员工，提供投标公司为该持证人</w:t>
            </w:r>
            <w:r>
              <w:rPr>
                <w:rFonts w:hint="eastAsia" w:ascii="宋体" w:hAnsi="宋体" w:cs="宋体"/>
                <w:kern w:val="0"/>
                <w:sz w:val="24"/>
                <w:lang w:bidi="ar"/>
              </w:rPr>
              <w:t>员在本单位缴纳2025年至今</w:t>
            </w:r>
            <w:r>
              <w:rPr>
                <w:rFonts w:hint="eastAsia" w:ascii="宋体" w:hAnsi="宋体" w:cs="宋体"/>
                <w:color w:val="000000"/>
                <w:kern w:val="0"/>
                <w:sz w:val="24"/>
                <w:lang w:bidi="ar"/>
              </w:rPr>
              <w:t>任意3个月的社保记录并加盖公章，不提供不得分)</w:t>
            </w:r>
          </w:p>
        </w:tc>
        <w:tc>
          <w:tcPr>
            <w:tcW w:w="475" w:type="pct"/>
            <w:shd w:val="clear" w:color="auto" w:fill="FFFFFF"/>
            <w:vAlign w:val="center"/>
          </w:tcPr>
          <w:p w14:paraId="14E1D0C9">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4分</w:t>
            </w:r>
          </w:p>
        </w:tc>
      </w:tr>
      <w:tr w14:paraId="5E40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41" w:type="pct"/>
            <w:vMerge w:val="continue"/>
            <w:shd w:val="clear" w:color="auto" w:fill="FFFFFF"/>
            <w:vAlign w:val="center"/>
          </w:tcPr>
          <w:p w14:paraId="16EC57B3">
            <w:pPr>
              <w:spacing w:line="360" w:lineRule="auto"/>
              <w:jc w:val="center"/>
              <w:rPr>
                <w:rFonts w:ascii="宋体" w:hAnsi="宋体" w:cs="宋体"/>
                <w:b/>
                <w:bCs/>
                <w:color w:val="000000"/>
                <w:kern w:val="0"/>
                <w:sz w:val="24"/>
                <w:lang w:eastAsia="en-US" w:bidi="en-US"/>
              </w:rPr>
            </w:pPr>
          </w:p>
        </w:tc>
        <w:tc>
          <w:tcPr>
            <w:tcW w:w="830" w:type="pct"/>
            <w:vMerge w:val="continue"/>
            <w:shd w:val="clear" w:color="auto" w:fill="FFFFFF"/>
            <w:vAlign w:val="center"/>
          </w:tcPr>
          <w:p w14:paraId="5904F385">
            <w:pPr>
              <w:spacing w:line="360" w:lineRule="auto"/>
              <w:jc w:val="center"/>
              <w:rPr>
                <w:rFonts w:ascii="宋体" w:hAnsi="宋体" w:cs="宋体"/>
                <w:color w:val="000000"/>
                <w:kern w:val="0"/>
                <w:sz w:val="24"/>
                <w:lang w:eastAsia="en-US" w:bidi="en-US"/>
              </w:rPr>
            </w:pPr>
          </w:p>
        </w:tc>
        <w:tc>
          <w:tcPr>
            <w:tcW w:w="3252" w:type="pct"/>
            <w:shd w:val="clear" w:color="auto" w:fill="FFFFFF"/>
            <w:vAlign w:val="center"/>
          </w:tcPr>
          <w:p w14:paraId="2DE68458">
            <w:pPr>
              <w:widowControl/>
              <w:spacing w:line="360" w:lineRule="auto"/>
              <w:jc w:val="left"/>
              <w:textAlignment w:val="center"/>
              <w:rPr>
                <w:rFonts w:ascii="宋体" w:hAnsi="宋体" w:cs="宋体"/>
                <w:color w:val="000000"/>
                <w:kern w:val="0"/>
                <w:sz w:val="24"/>
                <w:lang w:bidi="en-US"/>
              </w:rPr>
            </w:pPr>
            <w:r>
              <w:rPr>
                <w:rFonts w:hint="eastAsia" w:ascii="宋体" w:hAnsi="宋体" w:cs="宋体"/>
                <w:color w:val="000000"/>
                <w:kern w:val="0"/>
                <w:sz w:val="24"/>
                <w:lang w:bidi="ar"/>
              </w:rPr>
              <w:t>投标人提供本地化服务，且投入本项目的售后服务人员中具有专业化的线路技术维护能力，本项满分4分：具有光缆线务员或线务员证书4人（含）以上得4分，每少一个证扣1分。（须</w:t>
            </w:r>
            <w:r>
              <w:rPr>
                <w:rFonts w:hint="eastAsia" w:ascii="宋体" w:hAnsi="宋体" w:cs="宋体"/>
                <w:kern w:val="0"/>
                <w:sz w:val="24"/>
                <w:lang w:bidi="ar"/>
              </w:rPr>
              <w:t>提供承诺函及以上人员国</w:t>
            </w:r>
            <w:r>
              <w:rPr>
                <w:rFonts w:hint="eastAsia" w:ascii="宋体" w:hAnsi="宋体" w:cs="宋体"/>
                <w:color w:val="000000"/>
                <w:kern w:val="0"/>
                <w:sz w:val="24"/>
                <w:lang w:bidi="ar"/>
              </w:rPr>
              <w:t>家工业和信息化部或人力资源和社会保障部等职业技能相关认证或鉴定机构颁发的线务员类证书复印件和缴纳2025年任意3个月的社保记录并加盖公章）</w:t>
            </w:r>
          </w:p>
        </w:tc>
        <w:tc>
          <w:tcPr>
            <w:tcW w:w="475" w:type="pct"/>
            <w:shd w:val="clear" w:color="auto" w:fill="FFFFFF"/>
            <w:vAlign w:val="center"/>
          </w:tcPr>
          <w:p w14:paraId="37616026">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4分</w:t>
            </w:r>
          </w:p>
        </w:tc>
      </w:tr>
      <w:tr w14:paraId="6295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441" w:type="pct"/>
            <w:shd w:val="clear" w:color="auto" w:fill="FFFFFF"/>
            <w:vAlign w:val="center"/>
          </w:tcPr>
          <w:p w14:paraId="7777CB64">
            <w:pPr>
              <w:spacing w:line="360" w:lineRule="auto"/>
              <w:jc w:val="center"/>
              <w:rPr>
                <w:rFonts w:ascii="宋体" w:hAnsi="宋体" w:cs="宋体"/>
                <w:b/>
                <w:bCs/>
                <w:color w:val="000000"/>
                <w:kern w:val="0"/>
                <w:sz w:val="24"/>
                <w:lang w:bidi="en-US"/>
              </w:rPr>
            </w:pPr>
            <w:r>
              <w:rPr>
                <w:rFonts w:hint="eastAsia" w:ascii="宋体" w:hAnsi="宋体" w:cs="宋体"/>
                <w:b/>
                <w:bCs/>
                <w:color w:val="000000"/>
                <w:kern w:val="0"/>
                <w:sz w:val="24"/>
                <w:lang w:bidi="en-US"/>
              </w:rPr>
              <w:t>3</w:t>
            </w:r>
          </w:p>
        </w:tc>
        <w:tc>
          <w:tcPr>
            <w:tcW w:w="830" w:type="pct"/>
            <w:shd w:val="clear" w:color="auto" w:fill="FFFFFF"/>
            <w:vAlign w:val="center"/>
          </w:tcPr>
          <w:p w14:paraId="60B0FFD0">
            <w:pPr>
              <w:spacing w:line="360" w:lineRule="auto"/>
              <w:jc w:val="center"/>
              <w:rPr>
                <w:rFonts w:ascii="宋体" w:hAnsi="宋体" w:cs="宋体"/>
                <w:color w:val="000000"/>
                <w:kern w:val="0"/>
                <w:sz w:val="24"/>
                <w:lang w:eastAsia="en-US" w:bidi="en-US"/>
              </w:rPr>
            </w:pPr>
            <w:r>
              <w:rPr>
                <w:rFonts w:hint="eastAsia" w:ascii="宋体" w:hAnsi="宋体" w:cs="宋体"/>
                <w:color w:val="000000"/>
                <w:kern w:val="0"/>
                <w:sz w:val="24"/>
                <w:lang w:bidi="ar"/>
              </w:rPr>
              <w:t>资质服务能力</w:t>
            </w:r>
          </w:p>
        </w:tc>
        <w:tc>
          <w:tcPr>
            <w:tcW w:w="3252" w:type="pct"/>
            <w:shd w:val="clear" w:color="auto" w:fill="FFFFFF"/>
            <w:vAlign w:val="center"/>
          </w:tcPr>
          <w:p w14:paraId="232724E0">
            <w:pPr>
              <w:widowControl/>
              <w:spacing w:line="360" w:lineRule="auto"/>
              <w:jc w:val="left"/>
              <w:textAlignment w:val="center"/>
              <w:rPr>
                <w:rFonts w:ascii="宋体" w:hAnsi="宋体" w:cs="宋体"/>
                <w:color w:val="FF0000"/>
                <w:kern w:val="0"/>
                <w:sz w:val="24"/>
                <w:lang w:bidi="ar"/>
              </w:rPr>
            </w:pPr>
            <w:r>
              <w:rPr>
                <w:rFonts w:hint="eastAsia" w:ascii="宋体" w:hAnsi="宋体" w:cs="宋体"/>
                <w:color w:val="000000"/>
                <w:kern w:val="0"/>
                <w:sz w:val="24"/>
                <w:lang w:bidi="ar"/>
              </w:rPr>
              <w:t>1、投标人具备</w:t>
            </w:r>
            <w:r>
              <w:rPr>
                <w:rFonts w:hint="eastAsia" w:ascii="宋体" w:hAnsi="宋体" w:cs="宋体"/>
                <w:kern w:val="0"/>
                <w:sz w:val="24"/>
                <w:lang w:bidi="ar"/>
              </w:rPr>
              <w:t>中国信息安全测评中心颁发的信息安全相关证书得2分，不提供不得分。（提供证书复印件并加盖投标人公章，未提供不得分。）</w:t>
            </w:r>
          </w:p>
          <w:p w14:paraId="3707C255">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2、投标人具有网络安全保障能力，获得市级或市级以上网络安全应急技术支撑单位证书的得2分，不提供不得分。（提供有效期内证书复印件并加盖供应商公章）</w:t>
            </w:r>
          </w:p>
          <w:p w14:paraId="78F7A4BA">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3、</w:t>
            </w:r>
            <w:r>
              <w:rPr>
                <w:rFonts w:hint="eastAsia" w:ascii="宋体" w:hAnsi="宋体" w:cs="宋体"/>
                <w:color w:val="000000"/>
                <w:kern w:val="0"/>
                <w:sz w:val="24"/>
                <w:lang w:bidi="ar"/>
              </w:rPr>
              <w:t>投标人具备</w:t>
            </w:r>
            <w:r>
              <w:rPr>
                <w:rFonts w:hint="eastAsia" w:ascii="宋体" w:hAnsi="宋体" w:cs="宋体"/>
                <w:kern w:val="0"/>
                <w:sz w:val="24"/>
                <w:lang w:bidi="ar"/>
              </w:rPr>
              <w:t>信息技术服务管理体系认证证书的得2分，不提供不得分。（提供有效期内证书复印件并加盖供应商公章）</w:t>
            </w:r>
          </w:p>
          <w:p w14:paraId="5B79C1D5">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4、</w:t>
            </w:r>
            <w:r>
              <w:rPr>
                <w:rFonts w:hint="eastAsia" w:ascii="宋体" w:hAnsi="宋体" w:cs="宋体"/>
                <w:color w:val="000000"/>
                <w:kern w:val="0"/>
                <w:sz w:val="24"/>
                <w:lang w:bidi="ar"/>
              </w:rPr>
              <w:t>投标人具备</w:t>
            </w:r>
            <w:r>
              <w:rPr>
                <w:rFonts w:hint="eastAsia" w:ascii="宋体" w:hAnsi="宋体" w:cs="宋体"/>
                <w:kern w:val="0"/>
                <w:sz w:val="24"/>
                <w:lang w:bidi="ar"/>
              </w:rPr>
              <w:t>售后服务认证证书的得2分，不提供不得分。（提供有效期内证书复印件并加盖供应商公章）</w:t>
            </w:r>
          </w:p>
          <w:p w14:paraId="73C88F52">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5、</w:t>
            </w:r>
            <w:r>
              <w:rPr>
                <w:rFonts w:hint="eastAsia" w:ascii="宋体" w:hAnsi="宋体" w:cs="宋体"/>
                <w:color w:val="000000"/>
                <w:kern w:val="0"/>
                <w:sz w:val="24"/>
                <w:lang w:bidi="ar"/>
              </w:rPr>
              <w:t>投标人具备</w:t>
            </w:r>
            <w:r>
              <w:rPr>
                <w:rFonts w:hint="eastAsia" w:ascii="宋体" w:hAnsi="宋体" w:cs="宋体"/>
                <w:kern w:val="0"/>
                <w:sz w:val="24"/>
                <w:lang w:bidi="ar"/>
              </w:rPr>
              <w:t>应急预案管理能力评价认证证书的得2分，不提供不得分。（提供有效期内证书复印件并加盖供应商公章）</w:t>
            </w:r>
          </w:p>
          <w:p w14:paraId="4BE4EC59">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6、</w:t>
            </w:r>
            <w:r>
              <w:rPr>
                <w:rFonts w:hint="eastAsia" w:ascii="宋体" w:hAnsi="宋体" w:cs="宋体"/>
                <w:color w:val="000000"/>
                <w:kern w:val="0"/>
                <w:sz w:val="24"/>
                <w:lang w:bidi="ar"/>
              </w:rPr>
              <w:t>投标人具备</w:t>
            </w:r>
            <w:r>
              <w:rPr>
                <w:rFonts w:hint="eastAsia" w:ascii="宋体" w:hAnsi="宋体" w:cs="宋体"/>
                <w:kern w:val="0"/>
                <w:sz w:val="24"/>
                <w:lang w:bidi="ar"/>
              </w:rPr>
              <w:t>质量管理体系认证证书的得2分，不提供不得分。（提供有效期内证书复印件并加盖供应商公章）</w:t>
            </w:r>
          </w:p>
          <w:p w14:paraId="05243F46">
            <w:pPr>
              <w:widowControl/>
              <w:spacing w:line="360" w:lineRule="auto"/>
              <w:jc w:val="left"/>
              <w:textAlignment w:val="center"/>
              <w:rPr>
                <w:rFonts w:ascii="宋体" w:hAnsi="宋体" w:cs="宋体"/>
                <w:kern w:val="0"/>
                <w:sz w:val="24"/>
                <w:lang w:bidi="ar"/>
              </w:rPr>
            </w:pPr>
            <w:r>
              <w:rPr>
                <w:rFonts w:hint="eastAsia" w:ascii="宋体" w:hAnsi="宋体" w:cs="宋体"/>
                <w:kern w:val="0"/>
                <w:sz w:val="24"/>
                <w:lang w:bidi="ar"/>
              </w:rPr>
              <w:t>7、</w:t>
            </w:r>
            <w:r>
              <w:rPr>
                <w:rFonts w:hint="eastAsia" w:ascii="宋体" w:hAnsi="宋体" w:cs="宋体"/>
                <w:color w:val="000000"/>
                <w:kern w:val="0"/>
                <w:sz w:val="24"/>
                <w:lang w:bidi="ar"/>
              </w:rPr>
              <w:t>投标人具备</w:t>
            </w:r>
            <w:r>
              <w:rPr>
                <w:rFonts w:hint="eastAsia" w:ascii="宋体" w:hAnsi="宋体" w:cs="宋体"/>
                <w:kern w:val="0"/>
                <w:sz w:val="24"/>
                <w:lang w:bidi="ar"/>
              </w:rPr>
              <w:t>信息安全管理体系认证证书的得2分，不提供不得分。（提供有效期内证书复印件并加盖供应商公章）</w:t>
            </w:r>
          </w:p>
        </w:tc>
        <w:tc>
          <w:tcPr>
            <w:tcW w:w="475" w:type="pct"/>
            <w:shd w:val="clear" w:color="auto" w:fill="FFFFFF"/>
            <w:vAlign w:val="center"/>
          </w:tcPr>
          <w:p w14:paraId="650C1A4D">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14分</w:t>
            </w:r>
          </w:p>
        </w:tc>
      </w:tr>
      <w:tr w14:paraId="65F3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41" w:type="pct"/>
            <w:shd w:val="clear" w:color="auto" w:fill="FFFFFF"/>
            <w:vAlign w:val="center"/>
          </w:tcPr>
          <w:p w14:paraId="6EB936A3">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4</w:t>
            </w:r>
          </w:p>
        </w:tc>
        <w:tc>
          <w:tcPr>
            <w:tcW w:w="830" w:type="pct"/>
            <w:shd w:val="clear" w:color="auto" w:fill="FFFFFF"/>
            <w:vAlign w:val="center"/>
          </w:tcPr>
          <w:p w14:paraId="75A91338">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业绩经验</w:t>
            </w:r>
          </w:p>
        </w:tc>
        <w:tc>
          <w:tcPr>
            <w:tcW w:w="3252" w:type="pct"/>
            <w:shd w:val="clear" w:color="auto" w:fill="FFFFFF"/>
            <w:vAlign w:val="center"/>
          </w:tcPr>
          <w:p w14:paraId="397B3BE4">
            <w:pPr>
              <w:widowControl/>
              <w:spacing w:line="360" w:lineRule="auto"/>
              <w:jc w:val="left"/>
              <w:textAlignment w:val="center"/>
              <w:rPr>
                <w:rFonts w:ascii="宋体" w:hAnsi="宋体" w:cs="宋体"/>
                <w:color w:val="000000"/>
                <w:kern w:val="0"/>
                <w:sz w:val="24"/>
                <w:lang w:bidi="en-US"/>
              </w:rPr>
            </w:pPr>
            <w:r>
              <w:rPr>
                <w:rFonts w:hint="eastAsia" w:ascii="宋体" w:hAnsi="宋体" w:cs="宋体"/>
                <w:color w:val="000000"/>
                <w:kern w:val="0"/>
                <w:sz w:val="24"/>
                <w:lang w:bidi="ar"/>
              </w:rPr>
              <w:t>2023年1月1日以来，供应商具有同类项目业绩，每提供一个得2分</w:t>
            </w:r>
            <w:r>
              <w:rPr>
                <w:rFonts w:hint="eastAsia" w:ascii="宋体" w:hAnsi="宋体" w:cs="宋体"/>
                <w:kern w:val="0"/>
                <w:sz w:val="24"/>
                <w:lang w:bidi="ar"/>
              </w:rPr>
              <w:t>，满分8分，不提供不得分。（提供合同关键页复印件并加盖公章）</w:t>
            </w:r>
          </w:p>
        </w:tc>
        <w:tc>
          <w:tcPr>
            <w:tcW w:w="475" w:type="pct"/>
            <w:shd w:val="clear" w:color="auto" w:fill="FFFFFF"/>
            <w:vAlign w:val="center"/>
          </w:tcPr>
          <w:p w14:paraId="388948B3">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8分</w:t>
            </w:r>
          </w:p>
        </w:tc>
      </w:tr>
      <w:tr w14:paraId="3A9E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441" w:type="pct"/>
            <w:shd w:val="clear" w:color="auto" w:fill="FFFFFF"/>
            <w:vAlign w:val="center"/>
          </w:tcPr>
          <w:p w14:paraId="5C826615">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5</w:t>
            </w:r>
          </w:p>
        </w:tc>
        <w:tc>
          <w:tcPr>
            <w:tcW w:w="830" w:type="pct"/>
            <w:shd w:val="clear" w:color="auto" w:fill="FFFFFF"/>
            <w:vAlign w:val="center"/>
          </w:tcPr>
          <w:p w14:paraId="4205385C">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项目实施方案</w:t>
            </w:r>
          </w:p>
        </w:tc>
        <w:tc>
          <w:tcPr>
            <w:tcW w:w="3252" w:type="pct"/>
            <w:shd w:val="clear" w:color="auto" w:fill="FFFFFF"/>
            <w:vAlign w:val="center"/>
          </w:tcPr>
          <w:p w14:paraId="2D3D490E">
            <w:pPr>
              <w:widowControl/>
              <w:spacing w:line="360" w:lineRule="auto"/>
              <w:jc w:val="left"/>
              <w:textAlignment w:val="center"/>
              <w:rPr>
                <w:rFonts w:ascii="宋体" w:hAnsi="宋体" w:cs="宋体"/>
                <w:color w:val="000000"/>
                <w:kern w:val="0"/>
                <w:sz w:val="24"/>
                <w:lang w:bidi="en-US"/>
              </w:rPr>
            </w:pPr>
            <w:r>
              <w:rPr>
                <w:rFonts w:hint="eastAsia" w:ascii="宋体" w:hAnsi="宋体" w:cs="宋体"/>
                <w:sz w:val="24"/>
              </w:rPr>
              <w:t>投标人针对本项目提供的项目实施方案，内容包括但不限于：① 实施组织计划；②项目进度计划；③质量管理体系与措施；④项目质量管理；⑤项目验收计划等。 评标专家根据投标人提供的方案进行评分：方案中包含以上要求满足的全部内容，且上述内容完整、条理清晰，针对实际情况，考虑问题周全的得10分，每缺少一项扣2分，一项有内容缺陷扣1分，扣完为止。本项满分10分。（内容缺陷是指：内容非专门针对本项目或不适用项目特性的情形、内容不够完整或缺少关键节点、套用其他项目方案、内容前后矛盾、不利于项目实施、不可能实现的情形等任意一种情形。）</w:t>
            </w:r>
          </w:p>
        </w:tc>
        <w:tc>
          <w:tcPr>
            <w:tcW w:w="475" w:type="pct"/>
            <w:shd w:val="clear" w:color="auto" w:fill="FFFFFF"/>
            <w:vAlign w:val="center"/>
          </w:tcPr>
          <w:p w14:paraId="10090864">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10分</w:t>
            </w:r>
          </w:p>
        </w:tc>
      </w:tr>
      <w:tr w14:paraId="27C6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441" w:type="pct"/>
            <w:shd w:val="clear" w:color="auto" w:fill="FFFFFF"/>
            <w:vAlign w:val="center"/>
          </w:tcPr>
          <w:p w14:paraId="0FE8AD39">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6</w:t>
            </w:r>
          </w:p>
        </w:tc>
        <w:tc>
          <w:tcPr>
            <w:tcW w:w="830" w:type="pct"/>
            <w:shd w:val="clear" w:color="auto" w:fill="FFFFFF"/>
            <w:vAlign w:val="center"/>
          </w:tcPr>
          <w:p w14:paraId="662170CB">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培训方案</w:t>
            </w:r>
          </w:p>
        </w:tc>
        <w:tc>
          <w:tcPr>
            <w:tcW w:w="3252" w:type="pct"/>
            <w:shd w:val="clear" w:color="auto" w:fill="FFFFFF"/>
            <w:vAlign w:val="center"/>
          </w:tcPr>
          <w:p w14:paraId="32593A6A">
            <w:pPr>
              <w:widowControl/>
              <w:spacing w:line="360" w:lineRule="auto"/>
              <w:jc w:val="left"/>
              <w:textAlignment w:val="center"/>
              <w:rPr>
                <w:rFonts w:ascii="宋体" w:hAnsi="宋体" w:cs="宋体"/>
                <w:color w:val="000000"/>
                <w:kern w:val="0"/>
                <w:sz w:val="24"/>
                <w:lang w:bidi="en-US"/>
              </w:rPr>
            </w:pPr>
            <w:r>
              <w:rPr>
                <w:rFonts w:hint="eastAsia" w:ascii="宋体" w:hAnsi="宋体" w:cs="宋体"/>
                <w:sz w:val="24"/>
              </w:rPr>
              <w:t>投标人针对本项目提供的培训方案，内容包括但不限于：①培训目标；②培训团队；③培训方式；④培训计划等。 评标专家根据投标人提供的方案进行评分：方案中包含以上要求满足的全部内容，且上述内容完整、条理清晰，针对实际情况，考虑问题周全的得10分，每缺少一项扣2分，一项有内容缺陷扣1分，扣完为止。本项满分10分。（内容缺陷是指：内容非专门针对本项目或不适用项目特性的情形、内容不够完整或缺少关键节点、套用其他项目方案、内容前后矛盾、不利于项目实施、不可能实现的情形等任意一种情形。）</w:t>
            </w:r>
          </w:p>
        </w:tc>
        <w:tc>
          <w:tcPr>
            <w:tcW w:w="475" w:type="pct"/>
            <w:shd w:val="clear" w:color="auto" w:fill="FFFFFF"/>
            <w:vAlign w:val="center"/>
          </w:tcPr>
          <w:p w14:paraId="77B12BCF">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8分</w:t>
            </w:r>
          </w:p>
        </w:tc>
      </w:tr>
      <w:tr w14:paraId="0C83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41" w:type="pct"/>
            <w:shd w:val="clear" w:color="auto" w:fill="FFFFFF"/>
            <w:vAlign w:val="center"/>
          </w:tcPr>
          <w:p w14:paraId="16632972">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7</w:t>
            </w:r>
          </w:p>
        </w:tc>
        <w:tc>
          <w:tcPr>
            <w:tcW w:w="830" w:type="pct"/>
            <w:shd w:val="clear" w:color="auto" w:fill="FFFFFF"/>
            <w:vAlign w:val="center"/>
          </w:tcPr>
          <w:p w14:paraId="413859FD">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服务方案</w:t>
            </w:r>
          </w:p>
        </w:tc>
        <w:tc>
          <w:tcPr>
            <w:tcW w:w="3252" w:type="pct"/>
            <w:shd w:val="clear" w:color="auto" w:fill="FFFFFF"/>
            <w:vAlign w:val="center"/>
          </w:tcPr>
          <w:p w14:paraId="512E6B3A">
            <w:pPr>
              <w:widowControl/>
              <w:spacing w:line="360" w:lineRule="auto"/>
              <w:jc w:val="left"/>
              <w:textAlignment w:val="center"/>
              <w:rPr>
                <w:rFonts w:ascii="宋体" w:hAnsi="宋体" w:cs="宋体"/>
                <w:color w:val="000000"/>
                <w:kern w:val="0"/>
                <w:sz w:val="24"/>
                <w:lang w:bidi="en-US"/>
              </w:rPr>
            </w:pPr>
            <w:r>
              <w:rPr>
                <w:rFonts w:hint="eastAsia" w:ascii="宋体" w:hAnsi="宋体" w:cs="宋体"/>
                <w:sz w:val="24"/>
              </w:rPr>
              <w:t>投标人针对本项目提供的售后服务方案，内容包括但不限于：①售后服务内容；②售后服务体系；③售后服务人员配备；④售后服务应急方案；⑤后续服务方案等。 评标专家根据投标人提供的方案进行评分：方案中包含以上要求满足的全部内容，且上述内容完整、条理清晰，针对实际情况，考虑问题周全的得10分，每缺少一项扣2分，一项有内容缺陷扣1分，扣完为止。本项满分10分。（内容缺陷是指：内容非专门针对本项目或不适用项目特性的情形、内容不够完整或缺少关键节点、套用其他项目方案、内容前后矛盾、不利于项目实施、不可能实现的情形等任意一种情形。）</w:t>
            </w:r>
          </w:p>
        </w:tc>
        <w:tc>
          <w:tcPr>
            <w:tcW w:w="475" w:type="pct"/>
            <w:shd w:val="clear" w:color="auto" w:fill="FFFFFF"/>
            <w:vAlign w:val="center"/>
          </w:tcPr>
          <w:p w14:paraId="6D8A6B5B">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10分</w:t>
            </w:r>
          </w:p>
        </w:tc>
      </w:tr>
      <w:tr w14:paraId="058B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00" w:type="pct"/>
            <w:gridSpan w:val="4"/>
            <w:shd w:val="clear" w:color="auto" w:fill="FFFFFF"/>
            <w:vAlign w:val="center"/>
          </w:tcPr>
          <w:p w14:paraId="091EBC7F">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价格部分</w:t>
            </w:r>
            <w:r>
              <w:rPr>
                <w:rFonts w:hint="eastAsia" w:ascii="宋体" w:hAnsi="宋体" w:cs="宋体"/>
                <w:b/>
                <w:bCs/>
                <w:color w:val="000000"/>
                <w:kern w:val="0"/>
                <w:sz w:val="24"/>
                <w:lang w:bidi="ar"/>
              </w:rPr>
              <w:t>（10</w:t>
            </w:r>
            <w:r>
              <w:rPr>
                <w:rFonts w:hint="eastAsia" w:ascii="宋体" w:hAnsi="宋体" w:cs="宋体"/>
                <w:color w:val="000000"/>
                <w:kern w:val="0"/>
                <w:sz w:val="24"/>
                <w:lang w:bidi="ar"/>
              </w:rPr>
              <w:t>分）</w:t>
            </w:r>
          </w:p>
        </w:tc>
      </w:tr>
      <w:tr w14:paraId="1839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41" w:type="pct"/>
            <w:shd w:val="clear" w:color="auto" w:fill="FFFFFF"/>
            <w:vAlign w:val="center"/>
          </w:tcPr>
          <w:p w14:paraId="510A427C">
            <w:pPr>
              <w:widowControl/>
              <w:spacing w:line="360" w:lineRule="auto"/>
              <w:jc w:val="center"/>
              <w:textAlignment w:val="center"/>
              <w:rPr>
                <w:rFonts w:ascii="宋体" w:hAnsi="宋体" w:cs="宋体"/>
                <w:b/>
                <w:bCs/>
                <w:color w:val="000000"/>
                <w:kern w:val="0"/>
                <w:sz w:val="24"/>
                <w:lang w:eastAsia="en-US" w:bidi="en-US"/>
              </w:rPr>
            </w:pPr>
            <w:r>
              <w:rPr>
                <w:rFonts w:hint="eastAsia" w:ascii="宋体" w:hAnsi="宋体" w:cs="宋体"/>
                <w:b/>
                <w:bCs/>
                <w:color w:val="000000"/>
                <w:kern w:val="0"/>
                <w:sz w:val="24"/>
                <w:lang w:bidi="ar"/>
              </w:rPr>
              <w:t>8</w:t>
            </w:r>
          </w:p>
        </w:tc>
        <w:tc>
          <w:tcPr>
            <w:tcW w:w="830" w:type="pct"/>
            <w:shd w:val="clear" w:color="auto" w:fill="FFFFFF"/>
            <w:vAlign w:val="center"/>
          </w:tcPr>
          <w:p w14:paraId="759CD1AE">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报价得分</w:t>
            </w:r>
          </w:p>
        </w:tc>
        <w:tc>
          <w:tcPr>
            <w:tcW w:w="3252" w:type="pct"/>
            <w:shd w:val="clear" w:color="auto" w:fill="FFFFFF"/>
            <w:vAlign w:val="center"/>
          </w:tcPr>
          <w:p w14:paraId="0FF24DFD">
            <w:pPr>
              <w:widowControl/>
              <w:spacing w:line="360" w:lineRule="auto"/>
              <w:jc w:val="left"/>
              <w:textAlignment w:val="center"/>
              <w:rPr>
                <w:rFonts w:ascii="宋体" w:hAnsi="宋体" w:cs="宋体"/>
                <w:color w:val="000000"/>
                <w:kern w:val="0"/>
                <w:sz w:val="24"/>
                <w:lang w:bidi="en-US"/>
              </w:rPr>
            </w:pPr>
            <w:r>
              <w:rPr>
                <w:rFonts w:hint="eastAsia" w:ascii="宋体" w:hAnsi="宋体" w:cs="宋体"/>
                <w:color w:val="000000"/>
                <w:kern w:val="0"/>
                <w:sz w:val="24"/>
                <w:lang w:bidi="ar"/>
              </w:rPr>
              <w:t>评审基准价：通过资格性审查和符合性审查的最低投标报价为评审 基准价。投标报价得分：投标报价得分统一按照下列公式计算：价格分=（评审基准价/投标报价）×价格权值（10%）×lOO</w:t>
            </w:r>
          </w:p>
        </w:tc>
        <w:tc>
          <w:tcPr>
            <w:tcW w:w="475" w:type="pct"/>
            <w:shd w:val="clear" w:color="auto" w:fill="FFFFFF"/>
            <w:vAlign w:val="center"/>
          </w:tcPr>
          <w:p w14:paraId="4108EE1B">
            <w:pPr>
              <w:widowControl/>
              <w:spacing w:line="360" w:lineRule="auto"/>
              <w:jc w:val="center"/>
              <w:textAlignment w:val="center"/>
              <w:rPr>
                <w:rFonts w:ascii="宋体" w:hAnsi="宋体" w:cs="宋体"/>
                <w:color w:val="000000"/>
                <w:kern w:val="0"/>
                <w:sz w:val="24"/>
                <w:lang w:eastAsia="en-US" w:bidi="en-US"/>
              </w:rPr>
            </w:pPr>
            <w:r>
              <w:rPr>
                <w:rFonts w:hint="eastAsia" w:ascii="宋体" w:hAnsi="宋体" w:cs="宋体"/>
                <w:color w:val="000000"/>
                <w:kern w:val="0"/>
                <w:sz w:val="24"/>
                <w:lang w:bidi="ar"/>
              </w:rPr>
              <w:t>10分</w:t>
            </w:r>
          </w:p>
        </w:tc>
      </w:tr>
    </w:tbl>
    <w:p w14:paraId="34B9E7EB">
      <w:pPr>
        <w:adjustRightInd w:val="0"/>
        <w:snapToGrid w:val="0"/>
        <w:spacing w:line="360" w:lineRule="auto"/>
        <w:rPr>
          <w:rFonts w:ascii="宋体" w:hAnsi="宋体" w:cs="宋体"/>
          <w:b/>
          <w:sz w:val="24"/>
        </w:rPr>
      </w:pPr>
    </w:p>
    <w:p w14:paraId="779C963E">
      <w:pPr>
        <w:spacing w:line="360" w:lineRule="auto"/>
        <w:jc w:val="left"/>
        <w:rPr>
          <w:rFonts w:ascii="宋体" w:hAnsi="宋体" w:cs="宋体"/>
          <w:sz w:val="24"/>
        </w:rPr>
      </w:pPr>
      <w:r>
        <w:rPr>
          <w:rFonts w:hint="eastAsia" w:ascii="宋体" w:hAnsi="宋体" w:cs="宋体"/>
          <w:b/>
          <w:sz w:val="24"/>
        </w:rPr>
        <w:t>注：最终得分取平均值时按四舍五入法保留到小数点后两位数。</w:t>
      </w:r>
    </w:p>
    <w:p w14:paraId="3D41842A">
      <w:pPr>
        <w:spacing w:line="360" w:lineRule="auto"/>
        <w:rPr>
          <w:rFonts w:ascii="宋体" w:hAnsi="宋体" w:cs="宋体"/>
          <w:b/>
          <w:sz w:val="24"/>
        </w:rPr>
      </w:pPr>
    </w:p>
    <w:bookmarkEnd w:id="83"/>
    <w:p w14:paraId="35676871">
      <w:pPr>
        <w:rPr>
          <w:rFonts w:ascii="宋体" w:hAnsi="宋体" w:cs="宋体"/>
          <w:sz w:val="24"/>
        </w:rPr>
      </w:pPr>
      <w:r>
        <w:rPr>
          <w:rFonts w:hint="eastAsia" w:ascii="宋体" w:hAnsi="宋体" w:cs="宋体"/>
          <w:sz w:val="24"/>
        </w:rPr>
        <w:br w:type="page"/>
      </w:r>
    </w:p>
    <w:p w14:paraId="63936D95">
      <w:pPr>
        <w:adjustRightInd w:val="0"/>
        <w:snapToGrid w:val="0"/>
        <w:spacing w:line="360" w:lineRule="auto"/>
        <w:jc w:val="center"/>
        <w:outlineLvl w:val="0"/>
        <w:rPr>
          <w:rFonts w:ascii="宋体" w:hAnsi="宋体" w:cs="宋体"/>
          <w:sz w:val="28"/>
          <w:szCs w:val="28"/>
        </w:rPr>
      </w:pPr>
      <w:r>
        <w:rPr>
          <w:rFonts w:hint="eastAsia" w:ascii="宋体" w:hAnsi="宋体" w:cs="宋体"/>
          <w:b/>
          <w:sz w:val="28"/>
          <w:szCs w:val="28"/>
        </w:rPr>
        <w:t>第五章  政府采购合同</w:t>
      </w:r>
    </w:p>
    <w:p w14:paraId="78A66CDF">
      <w:pPr>
        <w:wordWrap w:val="0"/>
        <w:adjustRightInd w:val="0"/>
        <w:snapToGrid w:val="0"/>
        <w:spacing w:line="360" w:lineRule="auto"/>
        <w:rPr>
          <w:rFonts w:ascii="宋体" w:hAnsi="宋体" w:cs="宋体"/>
          <w:bCs/>
          <w:sz w:val="24"/>
        </w:rPr>
      </w:pPr>
      <w:r>
        <w:rPr>
          <w:rFonts w:hint="eastAsia" w:ascii="宋体" w:hAnsi="宋体" w:cs="宋体"/>
          <w:bCs/>
          <w:sz w:val="24"/>
        </w:rPr>
        <w:t xml:space="preserve">采购人：               （以下简称甲方）    </w:t>
      </w:r>
    </w:p>
    <w:p w14:paraId="4AE65146">
      <w:pPr>
        <w:wordWrap w:val="0"/>
        <w:adjustRightInd w:val="0"/>
        <w:snapToGrid w:val="0"/>
        <w:spacing w:line="360" w:lineRule="auto"/>
        <w:rPr>
          <w:rFonts w:ascii="宋体" w:hAnsi="宋体" w:cs="宋体"/>
          <w:bCs/>
          <w:sz w:val="24"/>
        </w:rPr>
      </w:pPr>
      <w:r>
        <w:rPr>
          <w:rFonts w:hint="eastAsia" w:ascii="宋体" w:hAnsi="宋体" w:cs="宋体"/>
          <w:bCs/>
          <w:sz w:val="24"/>
        </w:rPr>
        <w:t>中标人：               （以下简称乙方）</w:t>
      </w:r>
    </w:p>
    <w:p w14:paraId="1D9ACB05">
      <w:pPr>
        <w:wordWrap w:val="0"/>
        <w:adjustRightInd w:val="0"/>
        <w:snapToGrid w:val="0"/>
        <w:spacing w:line="360" w:lineRule="auto"/>
        <w:rPr>
          <w:rFonts w:ascii="宋体" w:hAnsi="宋体" w:cs="宋体"/>
          <w:bCs/>
          <w:sz w:val="24"/>
        </w:rPr>
      </w:pPr>
      <w:r>
        <w:rPr>
          <w:rFonts w:hint="eastAsia" w:ascii="宋体" w:hAnsi="宋体" w:cs="宋体"/>
          <w:bCs/>
          <w:sz w:val="24"/>
        </w:rPr>
        <w:t xml:space="preserve">    参照《中华人民共和国政府采购法》、根据《中华人民共和国民法典》之规定，本合同当事人在平等、自愿基础上，经协商一致，同意按下述条款和条件签署本合同(以下为合同基本格式，签约各方根据釆购项目具体情况对条款细化补充)。</w:t>
      </w:r>
    </w:p>
    <w:p w14:paraId="31B6BB4F">
      <w:pPr>
        <w:wordWrap w:val="0"/>
        <w:adjustRightInd w:val="0"/>
        <w:snapToGrid w:val="0"/>
        <w:spacing w:line="360" w:lineRule="auto"/>
        <w:rPr>
          <w:rFonts w:ascii="宋体" w:hAnsi="宋体" w:cs="宋体"/>
          <w:bCs/>
          <w:sz w:val="24"/>
        </w:rPr>
      </w:pPr>
      <w:r>
        <w:rPr>
          <w:rFonts w:hint="eastAsia" w:ascii="宋体" w:hAnsi="宋体" w:cs="宋体"/>
          <w:bCs/>
          <w:sz w:val="24"/>
        </w:rPr>
        <w:t>第一条 项目名称、采购内容、服务内容及合同价。</w:t>
      </w:r>
    </w:p>
    <w:p w14:paraId="02300550">
      <w:pPr>
        <w:wordWrap w:val="0"/>
        <w:adjustRightInd w:val="0"/>
        <w:snapToGrid w:val="0"/>
        <w:spacing w:line="360" w:lineRule="auto"/>
        <w:rPr>
          <w:rFonts w:ascii="宋体" w:hAnsi="宋体" w:cs="宋体"/>
          <w:bCs/>
          <w:sz w:val="24"/>
        </w:rPr>
      </w:pPr>
      <w:r>
        <w:rPr>
          <w:rFonts w:hint="eastAsia" w:ascii="宋体" w:hAnsi="宋体" w:cs="宋体"/>
          <w:bCs/>
          <w:sz w:val="24"/>
        </w:rPr>
        <w:t>第二条 服务地点（或交付地点）、服务期限（或交付时间、合同履行期限）。</w:t>
      </w:r>
    </w:p>
    <w:p w14:paraId="213BEFFB">
      <w:pPr>
        <w:wordWrap w:val="0"/>
        <w:adjustRightInd w:val="0"/>
        <w:snapToGrid w:val="0"/>
        <w:spacing w:line="360" w:lineRule="auto"/>
        <w:rPr>
          <w:rFonts w:ascii="宋体" w:hAnsi="宋体" w:cs="宋体"/>
          <w:bCs/>
          <w:sz w:val="24"/>
        </w:rPr>
      </w:pPr>
      <w:r>
        <w:rPr>
          <w:rFonts w:hint="eastAsia" w:ascii="宋体" w:hAnsi="宋体" w:cs="宋体"/>
          <w:bCs/>
          <w:sz w:val="24"/>
        </w:rPr>
        <w:t>第三条 质量标准和要求：乙方所出售标的物的质量标准按照国家标准或行业标准或企业标准确定。没有国家标准、行业标准和企业标准的，按照通常标准或者符合合同目的的特定标准确定。</w:t>
      </w:r>
    </w:p>
    <w:p w14:paraId="77DEAE3C">
      <w:pPr>
        <w:wordWrap w:val="0"/>
        <w:adjustRightInd w:val="0"/>
        <w:snapToGrid w:val="0"/>
        <w:spacing w:line="360" w:lineRule="auto"/>
        <w:rPr>
          <w:rFonts w:ascii="宋体" w:hAnsi="宋体" w:cs="宋体"/>
          <w:bCs/>
          <w:sz w:val="24"/>
        </w:rPr>
      </w:pPr>
      <w:r>
        <w:rPr>
          <w:rFonts w:hint="eastAsia" w:ascii="宋体" w:hAnsi="宋体" w:cs="宋体"/>
          <w:bCs/>
          <w:sz w:val="24"/>
        </w:rPr>
        <w:t>第四条  权利瑕疵担保</w:t>
      </w:r>
    </w:p>
    <w:p w14:paraId="40767240">
      <w:pPr>
        <w:wordWrap w:val="0"/>
        <w:adjustRightInd w:val="0"/>
        <w:snapToGrid w:val="0"/>
        <w:spacing w:line="360" w:lineRule="auto"/>
        <w:rPr>
          <w:rFonts w:ascii="宋体" w:hAnsi="宋体" w:cs="宋体"/>
          <w:bCs/>
          <w:sz w:val="24"/>
        </w:rPr>
      </w:pPr>
      <w:r>
        <w:rPr>
          <w:rFonts w:hint="eastAsia" w:ascii="宋体" w:hAnsi="宋体" w:cs="宋体"/>
          <w:bCs/>
          <w:sz w:val="24"/>
        </w:rPr>
        <w:t>4．1 乙方保证对其出售的标的物享有合法的权利；</w:t>
      </w:r>
    </w:p>
    <w:p w14:paraId="614EEB28">
      <w:pPr>
        <w:wordWrap w:val="0"/>
        <w:adjustRightInd w:val="0"/>
        <w:snapToGrid w:val="0"/>
        <w:spacing w:line="360" w:lineRule="auto"/>
        <w:rPr>
          <w:rFonts w:ascii="宋体" w:hAnsi="宋体" w:cs="宋体"/>
          <w:bCs/>
          <w:sz w:val="24"/>
        </w:rPr>
      </w:pPr>
      <w:r>
        <w:rPr>
          <w:rFonts w:hint="eastAsia" w:ascii="宋体" w:hAnsi="宋体" w:cs="宋体"/>
          <w:bCs/>
          <w:sz w:val="24"/>
        </w:rPr>
        <w:t>4．2 乙方应保证在其出售的标的物上不存在任何未曾向甲方透露的担保物权，如抵押权、质押权、留置权等；</w:t>
      </w:r>
    </w:p>
    <w:p w14:paraId="0B7CC698">
      <w:pPr>
        <w:wordWrap w:val="0"/>
        <w:adjustRightInd w:val="0"/>
        <w:snapToGrid w:val="0"/>
        <w:spacing w:line="360" w:lineRule="auto"/>
        <w:rPr>
          <w:rFonts w:ascii="宋体" w:hAnsi="宋体" w:cs="宋体"/>
          <w:bCs/>
          <w:sz w:val="24"/>
        </w:rPr>
      </w:pPr>
      <w:r>
        <w:rPr>
          <w:rFonts w:hint="eastAsia" w:ascii="宋体" w:hAnsi="宋体" w:cs="宋体"/>
          <w:bCs/>
          <w:sz w:val="24"/>
        </w:rPr>
        <w:t>4．3 乙方应保证其所出售的标的物没有侵犯任何第三人的知识产权和商业秘密等权利。</w:t>
      </w:r>
    </w:p>
    <w:p w14:paraId="2239FEEB">
      <w:pPr>
        <w:wordWrap w:val="0"/>
        <w:adjustRightInd w:val="0"/>
        <w:snapToGrid w:val="0"/>
        <w:spacing w:line="360" w:lineRule="auto"/>
        <w:rPr>
          <w:rFonts w:ascii="宋体" w:hAnsi="宋体" w:cs="宋体"/>
          <w:bCs/>
          <w:sz w:val="24"/>
        </w:rPr>
      </w:pPr>
      <w:r>
        <w:rPr>
          <w:rFonts w:hint="eastAsia" w:ascii="宋体" w:hAnsi="宋体" w:cs="宋体"/>
          <w:bCs/>
          <w:sz w:val="24"/>
        </w:rPr>
        <w:t>4．4 如甲方使用该标的物构成上述侵权的，则由乙方承担全部责任。</w:t>
      </w:r>
    </w:p>
    <w:p w14:paraId="71DE1F13">
      <w:pPr>
        <w:wordWrap w:val="0"/>
        <w:adjustRightInd w:val="0"/>
        <w:snapToGrid w:val="0"/>
        <w:spacing w:line="360" w:lineRule="auto"/>
        <w:rPr>
          <w:rFonts w:ascii="宋体" w:hAnsi="宋体" w:cs="宋体"/>
          <w:bCs/>
          <w:sz w:val="24"/>
        </w:rPr>
      </w:pPr>
      <w:r>
        <w:rPr>
          <w:rFonts w:hint="eastAsia" w:ascii="宋体" w:hAnsi="宋体" w:cs="宋体"/>
          <w:bCs/>
          <w:sz w:val="24"/>
        </w:rPr>
        <w:t>第五条  甲方权利和义务</w:t>
      </w:r>
    </w:p>
    <w:p w14:paraId="1E3E6BBD">
      <w:pPr>
        <w:wordWrap w:val="0"/>
        <w:adjustRightInd w:val="0"/>
        <w:snapToGrid w:val="0"/>
        <w:spacing w:line="360" w:lineRule="auto"/>
        <w:rPr>
          <w:rFonts w:ascii="宋体" w:hAnsi="宋体" w:cs="宋体"/>
          <w:bCs/>
          <w:sz w:val="24"/>
        </w:rPr>
      </w:pPr>
      <w:r>
        <w:rPr>
          <w:rFonts w:hint="eastAsia" w:ascii="宋体" w:hAnsi="宋体" w:cs="宋体"/>
          <w:bCs/>
          <w:sz w:val="24"/>
        </w:rPr>
        <w:t>第六条  乙方权利与义务</w:t>
      </w:r>
    </w:p>
    <w:p w14:paraId="33C3E4DF">
      <w:pPr>
        <w:wordWrap w:val="0"/>
        <w:adjustRightInd w:val="0"/>
        <w:snapToGrid w:val="0"/>
        <w:spacing w:line="360" w:lineRule="auto"/>
        <w:rPr>
          <w:rFonts w:ascii="宋体" w:hAnsi="宋体" w:cs="宋体"/>
          <w:bCs/>
          <w:sz w:val="24"/>
        </w:rPr>
      </w:pPr>
      <w:r>
        <w:rPr>
          <w:rFonts w:hint="eastAsia" w:ascii="宋体" w:hAnsi="宋体" w:cs="宋体"/>
          <w:bCs/>
          <w:sz w:val="24"/>
        </w:rPr>
        <w:t>第七条  验收要求（或考核要求）</w:t>
      </w:r>
    </w:p>
    <w:p w14:paraId="56B76809">
      <w:pPr>
        <w:wordWrap w:val="0"/>
        <w:adjustRightInd w:val="0"/>
        <w:snapToGrid w:val="0"/>
        <w:spacing w:line="360" w:lineRule="auto"/>
        <w:rPr>
          <w:rFonts w:ascii="宋体" w:hAnsi="宋体" w:cs="宋体"/>
          <w:bCs/>
          <w:sz w:val="24"/>
        </w:rPr>
      </w:pPr>
      <w:r>
        <w:rPr>
          <w:rFonts w:hint="eastAsia" w:ascii="宋体" w:hAnsi="宋体" w:cs="宋体"/>
          <w:bCs/>
          <w:sz w:val="24"/>
        </w:rPr>
        <w:t>第八条  付款</w:t>
      </w:r>
    </w:p>
    <w:p w14:paraId="5CA085B7">
      <w:pPr>
        <w:wordWrap w:val="0"/>
        <w:adjustRightInd w:val="0"/>
        <w:snapToGrid w:val="0"/>
        <w:spacing w:line="360" w:lineRule="auto"/>
        <w:rPr>
          <w:rFonts w:ascii="宋体" w:hAnsi="宋体" w:cs="宋体"/>
          <w:bCs/>
          <w:sz w:val="24"/>
        </w:rPr>
      </w:pPr>
      <w:r>
        <w:rPr>
          <w:rFonts w:hint="eastAsia" w:ascii="宋体" w:hAnsi="宋体" w:cs="宋体"/>
          <w:bCs/>
          <w:sz w:val="24"/>
        </w:rPr>
        <w:t>8．1 本合同以人民币付款。</w:t>
      </w:r>
    </w:p>
    <w:p w14:paraId="1A0FD8A1">
      <w:pPr>
        <w:wordWrap w:val="0"/>
        <w:adjustRightInd w:val="0"/>
        <w:snapToGrid w:val="0"/>
        <w:spacing w:line="360" w:lineRule="auto"/>
        <w:rPr>
          <w:rFonts w:ascii="宋体" w:hAnsi="宋体" w:cs="宋体"/>
          <w:bCs/>
          <w:sz w:val="24"/>
        </w:rPr>
      </w:pPr>
      <w:r>
        <w:rPr>
          <w:rFonts w:hint="eastAsia" w:ascii="宋体" w:hAnsi="宋体" w:cs="宋体"/>
          <w:bCs/>
          <w:sz w:val="24"/>
        </w:rPr>
        <w:t>8．2 具体的付款条件、方式与期限</w:t>
      </w:r>
    </w:p>
    <w:p w14:paraId="5F05F4C5">
      <w:pPr>
        <w:wordWrap w:val="0"/>
        <w:adjustRightInd w:val="0"/>
        <w:snapToGrid w:val="0"/>
        <w:spacing w:line="360" w:lineRule="auto"/>
        <w:rPr>
          <w:rFonts w:ascii="宋体" w:hAnsi="宋体" w:cs="宋体"/>
          <w:bCs/>
          <w:sz w:val="24"/>
        </w:rPr>
      </w:pPr>
      <w:r>
        <w:rPr>
          <w:rFonts w:hint="eastAsia" w:ascii="宋体" w:hAnsi="宋体" w:cs="宋体"/>
          <w:bCs/>
          <w:sz w:val="24"/>
        </w:rPr>
        <w:t>第九条  合同转让和分包</w:t>
      </w:r>
    </w:p>
    <w:p w14:paraId="5BDE7DF2">
      <w:pPr>
        <w:wordWrap w:val="0"/>
        <w:adjustRightInd w:val="0"/>
        <w:snapToGrid w:val="0"/>
        <w:spacing w:line="360" w:lineRule="auto"/>
        <w:rPr>
          <w:rFonts w:ascii="宋体" w:hAnsi="宋体" w:cs="宋体"/>
          <w:bCs/>
          <w:sz w:val="24"/>
        </w:rPr>
      </w:pPr>
      <w:r>
        <w:rPr>
          <w:rFonts w:hint="eastAsia" w:ascii="宋体" w:hAnsi="宋体" w:cs="宋体"/>
          <w:bCs/>
          <w:sz w:val="24"/>
        </w:rPr>
        <w:t>9.1乙方不得全部或部分转让合同。除甲方事先书面同意外，不得分包其应履行的合同义务。经采购人同意，中标、成交供应商可以依法采取分包方式履行合同。</w:t>
      </w:r>
    </w:p>
    <w:p w14:paraId="1F360A45">
      <w:pPr>
        <w:wordWrap w:val="0"/>
        <w:adjustRightInd w:val="0"/>
        <w:snapToGrid w:val="0"/>
        <w:spacing w:line="360" w:lineRule="auto"/>
        <w:rPr>
          <w:rFonts w:ascii="宋体" w:hAnsi="宋体" w:cs="宋体"/>
          <w:bCs/>
          <w:sz w:val="24"/>
        </w:rPr>
      </w:pPr>
      <w:r>
        <w:rPr>
          <w:rFonts w:hint="eastAsia" w:ascii="宋体" w:hAnsi="宋体" w:cs="宋体"/>
          <w:bCs/>
          <w:sz w:val="24"/>
        </w:rPr>
        <w:t>9.2 政府采购合同分包履行的，中标、成交供应商就采购项目和分包项目向采购人负责，分包供应商就分包项目承担责任。</w:t>
      </w:r>
    </w:p>
    <w:p w14:paraId="74DB8B43">
      <w:pPr>
        <w:wordWrap w:val="0"/>
        <w:adjustRightInd w:val="0"/>
        <w:snapToGrid w:val="0"/>
        <w:spacing w:line="360" w:lineRule="auto"/>
        <w:rPr>
          <w:rFonts w:ascii="宋体" w:hAnsi="宋体" w:cs="宋体"/>
          <w:bCs/>
          <w:sz w:val="24"/>
        </w:rPr>
      </w:pPr>
      <w:r>
        <w:rPr>
          <w:rFonts w:hint="eastAsia" w:ascii="宋体" w:hAnsi="宋体" w:cs="宋体"/>
          <w:bCs/>
          <w:sz w:val="24"/>
        </w:rPr>
        <w:t>第十条  违约责任</w:t>
      </w:r>
    </w:p>
    <w:p w14:paraId="661C2936">
      <w:pPr>
        <w:wordWrap w:val="0"/>
        <w:adjustRightInd w:val="0"/>
        <w:snapToGrid w:val="0"/>
        <w:spacing w:line="360" w:lineRule="auto"/>
        <w:rPr>
          <w:rFonts w:ascii="宋体" w:hAnsi="宋体" w:cs="宋体"/>
          <w:bCs/>
          <w:sz w:val="24"/>
        </w:rPr>
      </w:pPr>
      <w:r>
        <w:rPr>
          <w:rFonts w:hint="eastAsia" w:ascii="宋体" w:hAnsi="宋体" w:cs="宋体"/>
          <w:bCs/>
          <w:sz w:val="24"/>
        </w:rPr>
        <w:t>第十一条 解决争议的方法</w:t>
      </w:r>
    </w:p>
    <w:p w14:paraId="4D6DFC75">
      <w:pPr>
        <w:wordWrap w:val="0"/>
        <w:adjustRightInd w:val="0"/>
        <w:snapToGrid w:val="0"/>
        <w:spacing w:line="360" w:lineRule="auto"/>
        <w:rPr>
          <w:rFonts w:ascii="宋体" w:hAnsi="宋体" w:cs="宋体"/>
          <w:bCs/>
          <w:sz w:val="24"/>
        </w:rPr>
      </w:pPr>
      <w:r>
        <w:rPr>
          <w:rFonts w:hint="eastAsia" w:ascii="宋体" w:hAnsi="宋体" w:cs="宋体"/>
          <w:bCs/>
          <w:sz w:val="24"/>
        </w:rPr>
        <w:t>11.1合同各方应通过友好协商，解决在执行本合同过程中所发生的或与本合同有关的一切争端。</w:t>
      </w:r>
    </w:p>
    <w:p w14:paraId="28151E78">
      <w:pPr>
        <w:wordWrap w:val="0"/>
        <w:adjustRightInd w:val="0"/>
        <w:snapToGrid w:val="0"/>
        <w:spacing w:line="360" w:lineRule="auto"/>
        <w:rPr>
          <w:rFonts w:ascii="宋体" w:hAnsi="宋体" w:cs="宋体"/>
          <w:bCs/>
          <w:sz w:val="24"/>
        </w:rPr>
      </w:pPr>
      <w:r>
        <w:rPr>
          <w:rFonts w:hint="eastAsia" w:ascii="宋体" w:hAnsi="宋体" w:cs="宋体"/>
          <w:bCs/>
          <w:sz w:val="24"/>
        </w:rPr>
        <w:t>11.2 如从协商开始十天内仍不能解决，可以向</w:t>
      </w:r>
      <w:r>
        <w:rPr>
          <w:rFonts w:hint="eastAsia" w:ascii="宋体" w:hAnsi="宋体" w:cs="宋体"/>
          <w:bCs/>
          <w:sz w:val="24"/>
          <w:u w:val="single"/>
        </w:rPr>
        <w:t xml:space="preserve">            </w:t>
      </w:r>
      <w:r>
        <w:rPr>
          <w:rFonts w:hint="eastAsia" w:ascii="宋体" w:hAnsi="宋体" w:cs="宋体"/>
          <w:bCs/>
          <w:sz w:val="24"/>
        </w:rPr>
        <w:t>提请调解。</w:t>
      </w:r>
    </w:p>
    <w:p w14:paraId="09764F2D">
      <w:pPr>
        <w:wordWrap w:val="0"/>
        <w:adjustRightInd w:val="0"/>
        <w:snapToGrid w:val="0"/>
        <w:spacing w:line="360" w:lineRule="auto"/>
        <w:rPr>
          <w:rFonts w:ascii="宋体" w:hAnsi="宋体" w:cs="宋体"/>
          <w:bCs/>
          <w:sz w:val="24"/>
        </w:rPr>
      </w:pPr>
      <w:r>
        <w:rPr>
          <w:rFonts w:hint="eastAsia" w:ascii="宋体" w:hAnsi="宋体" w:cs="宋体"/>
          <w:bCs/>
          <w:sz w:val="24"/>
        </w:rPr>
        <w:t>11.3调解不成则提交海口市仲裁委员会根据其仲裁规则和程序进行仲裁。</w:t>
      </w:r>
    </w:p>
    <w:p w14:paraId="007DD184">
      <w:pPr>
        <w:wordWrap w:val="0"/>
        <w:adjustRightInd w:val="0"/>
        <w:snapToGrid w:val="0"/>
        <w:spacing w:line="360" w:lineRule="auto"/>
        <w:rPr>
          <w:rFonts w:ascii="宋体" w:hAnsi="宋体" w:cs="宋体"/>
          <w:bCs/>
          <w:sz w:val="24"/>
        </w:rPr>
      </w:pPr>
      <w:r>
        <w:rPr>
          <w:rFonts w:hint="eastAsia" w:ascii="宋体" w:hAnsi="宋体" w:cs="宋体"/>
          <w:bCs/>
          <w:sz w:val="24"/>
        </w:rPr>
        <w:t>11.4如仲裁事项不影响合同其他部分的履行，则在仲裁期间，除正在进行仲裁的部分外，本合同的其他部分应继续执行。</w:t>
      </w:r>
    </w:p>
    <w:p w14:paraId="7511EDB5">
      <w:pPr>
        <w:wordWrap w:val="0"/>
        <w:adjustRightInd w:val="0"/>
        <w:snapToGrid w:val="0"/>
        <w:spacing w:line="360" w:lineRule="auto"/>
        <w:rPr>
          <w:rFonts w:ascii="宋体" w:hAnsi="宋体" w:cs="宋体"/>
          <w:bCs/>
          <w:sz w:val="24"/>
        </w:rPr>
      </w:pPr>
      <w:r>
        <w:rPr>
          <w:rFonts w:hint="eastAsia" w:ascii="宋体" w:hAnsi="宋体" w:cs="宋体"/>
          <w:bCs/>
          <w:sz w:val="24"/>
        </w:rPr>
        <w:t>第十二条  不可抗力</w:t>
      </w:r>
    </w:p>
    <w:p w14:paraId="10BF0327">
      <w:pPr>
        <w:wordWrap w:val="0"/>
        <w:adjustRightInd w:val="0"/>
        <w:snapToGrid w:val="0"/>
        <w:spacing w:line="360" w:lineRule="auto"/>
        <w:rPr>
          <w:rFonts w:ascii="宋体" w:hAnsi="宋体" w:cs="宋体"/>
          <w:bCs/>
          <w:sz w:val="24"/>
        </w:rPr>
      </w:pPr>
      <w:r>
        <w:rPr>
          <w:rFonts w:hint="eastAsia" w:ascii="宋体" w:hAnsi="宋体" w:cs="宋体"/>
          <w:bCs/>
          <w:sz w:val="24"/>
        </w:rPr>
        <w:t>12．1 如果合同各方因不可抗力而导致合同实施延误或不能履行合同义务的话，不应该承担误期赔偿或不能履行合同义务的责任。</w:t>
      </w:r>
    </w:p>
    <w:p w14:paraId="24155031">
      <w:pPr>
        <w:wordWrap w:val="0"/>
        <w:adjustRightInd w:val="0"/>
        <w:snapToGrid w:val="0"/>
        <w:spacing w:line="360" w:lineRule="auto"/>
        <w:rPr>
          <w:rFonts w:ascii="宋体" w:hAnsi="宋体" w:cs="宋体"/>
          <w:bCs/>
          <w:sz w:val="24"/>
        </w:rPr>
      </w:pPr>
      <w:r>
        <w:rPr>
          <w:rFonts w:hint="eastAsia" w:ascii="宋体" w:hAnsi="宋体" w:cs="宋体"/>
          <w:bCs/>
          <w:sz w:val="24"/>
        </w:rPr>
        <w:t>12．2 本条所述的“不可抗力”系指那些双方不可预见、不可避免、不可克服的事件，但不包括双方的违约或疏忽。这些事件包括但不限于：战争、严重火灾、洪水、台风、地震、国家政策的重大变化，以及其他双方商定的其他事件。</w:t>
      </w:r>
    </w:p>
    <w:p w14:paraId="6514583E">
      <w:pPr>
        <w:wordWrap w:val="0"/>
        <w:adjustRightInd w:val="0"/>
        <w:snapToGrid w:val="0"/>
        <w:spacing w:line="360" w:lineRule="auto"/>
        <w:rPr>
          <w:rFonts w:ascii="宋体" w:hAnsi="宋体" w:cs="宋体"/>
          <w:bCs/>
          <w:sz w:val="24"/>
        </w:rPr>
      </w:pPr>
      <w:r>
        <w:rPr>
          <w:rFonts w:hint="eastAsia" w:ascii="宋体" w:hAnsi="宋体" w:cs="宋体"/>
          <w:bCs/>
          <w:sz w:val="24"/>
        </w:rPr>
        <w:t>12．3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4A38BB2A">
      <w:pPr>
        <w:wordWrap w:val="0"/>
        <w:adjustRightInd w:val="0"/>
        <w:snapToGrid w:val="0"/>
        <w:spacing w:line="360" w:lineRule="auto"/>
        <w:rPr>
          <w:rFonts w:ascii="宋体" w:hAnsi="宋体" w:cs="宋体"/>
          <w:bCs/>
          <w:sz w:val="24"/>
        </w:rPr>
      </w:pPr>
      <w:r>
        <w:rPr>
          <w:rFonts w:hint="eastAsia" w:ascii="宋体" w:hAnsi="宋体" w:cs="宋体"/>
          <w:bCs/>
          <w:sz w:val="24"/>
        </w:rPr>
        <w:t>第十三条  合同生效</w:t>
      </w:r>
    </w:p>
    <w:p w14:paraId="7E2065CF">
      <w:pPr>
        <w:wordWrap w:val="0"/>
        <w:adjustRightInd w:val="0"/>
        <w:snapToGrid w:val="0"/>
        <w:spacing w:line="360" w:lineRule="auto"/>
        <w:rPr>
          <w:rFonts w:ascii="宋体" w:hAnsi="宋体" w:cs="宋体"/>
          <w:bCs/>
          <w:sz w:val="24"/>
        </w:rPr>
      </w:pPr>
      <w:r>
        <w:rPr>
          <w:rFonts w:hint="eastAsia" w:ascii="宋体" w:hAnsi="宋体" w:cs="宋体"/>
          <w:bCs/>
          <w:sz w:val="24"/>
        </w:rPr>
        <w:t>13．1本合同自双方签字及盖章之日起生效。</w:t>
      </w:r>
      <w:bookmarkStart w:id="84" w:name="_Toc246826142"/>
      <w:bookmarkStart w:id="85" w:name="_Toc246825837"/>
    </w:p>
    <w:p w14:paraId="5B60E11A">
      <w:pPr>
        <w:wordWrap w:val="0"/>
        <w:adjustRightInd w:val="0"/>
        <w:snapToGrid w:val="0"/>
        <w:spacing w:line="360" w:lineRule="auto"/>
        <w:rPr>
          <w:rFonts w:ascii="宋体" w:hAnsi="宋体" w:cs="宋体"/>
          <w:bCs/>
          <w:sz w:val="24"/>
        </w:rPr>
      </w:pPr>
      <w:r>
        <w:rPr>
          <w:rFonts w:hint="eastAsia" w:ascii="宋体" w:hAnsi="宋体" w:cs="宋体"/>
          <w:bCs/>
          <w:sz w:val="24"/>
        </w:rPr>
        <w:t>13.2本合同一式</w:t>
      </w:r>
      <w:r>
        <w:rPr>
          <w:rFonts w:hint="eastAsia" w:ascii="宋体" w:hAnsi="宋体" w:cs="宋体"/>
          <w:bCs/>
          <w:sz w:val="24"/>
          <w:u w:val="single"/>
        </w:rPr>
        <w:t xml:space="preserve">     </w:t>
      </w:r>
      <w:r>
        <w:rPr>
          <w:rFonts w:hint="eastAsia" w:ascii="宋体" w:hAnsi="宋体" w:cs="宋体"/>
          <w:bCs/>
          <w:sz w:val="24"/>
        </w:rPr>
        <w:t>份，甲乙双方各</w:t>
      </w:r>
      <w:r>
        <w:rPr>
          <w:rFonts w:hint="eastAsia" w:ascii="宋体" w:hAnsi="宋体" w:cs="宋体"/>
          <w:bCs/>
          <w:sz w:val="24"/>
          <w:u w:val="single"/>
        </w:rPr>
        <w:t xml:space="preserve">    </w:t>
      </w:r>
      <w:r>
        <w:rPr>
          <w:rFonts w:hint="eastAsia" w:ascii="宋体" w:hAnsi="宋体" w:cs="宋体"/>
          <w:bCs/>
          <w:sz w:val="24"/>
        </w:rPr>
        <w:t>份</w:t>
      </w:r>
      <w:bookmarkEnd w:id="84"/>
      <w:bookmarkEnd w:id="85"/>
      <w:r>
        <w:rPr>
          <w:rFonts w:hint="eastAsia" w:ascii="宋体" w:hAnsi="宋体" w:cs="宋体"/>
          <w:bCs/>
          <w:sz w:val="24"/>
        </w:rPr>
        <w:t xml:space="preserve">。 </w:t>
      </w:r>
    </w:p>
    <w:p w14:paraId="51CE8CD9">
      <w:pPr>
        <w:wordWrap w:val="0"/>
        <w:adjustRightInd w:val="0"/>
        <w:snapToGrid w:val="0"/>
        <w:spacing w:line="360" w:lineRule="auto"/>
        <w:rPr>
          <w:rFonts w:ascii="宋体" w:hAnsi="宋体" w:cs="宋体"/>
          <w:bCs/>
          <w:sz w:val="24"/>
        </w:rPr>
      </w:pPr>
      <w:r>
        <w:rPr>
          <w:rFonts w:hint="eastAsia" w:ascii="宋体" w:hAnsi="宋体" w:cs="宋体"/>
          <w:bCs/>
          <w:sz w:val="24"/>
        </w:rPr>
        <w:t>第十四条  合同附件</w:t>
      </w:r>
    </w:p>
    <w:p w14:paraId="12FC9085">
      <w:pPr>
        <w:wordWrap w:val="0"/>
        <w:adjustRightInd w:val="0"/>
        <w:snapToGrid w:val="0"/>
        <w:spacing w:line="360" w:lineRule="auto"/>
        <w:rPr>
          <w:rFonts w:ascii="宋体" w:hAnsi="宋体" w:cs="宋体"/>
          <w:bCs/>
          <w:sz w:val="24"/>
        </w:rPr>
      </w:pPr>
      <w:r>
        <w:rPr>
          <w:rFonts w:hint="eastAsia" w:ascii="宋体" w:hAnsi="宋体" w:cs="宋体"/>
          <w:bCs/>
          <w:sz w:val="24"/>
        </w:rPr>
        <w:t>14.1 本合同附件包括：</w:t>
      </w:r>
      <w:bookmarkStart w:id="86" w:name="_Toc246826125"/>
      <w:bookmarkStart w:id="87" w:name="_Toc246825820"/>
      <w:r>
        <w:rPr>
          <w:rFonts w:hint="eastAsia" w:ascii="宋体" w:hAnsi="宋体" w:cs="宋体"/>
          <w:bCs/>
          <w:sz w:val="24"/>
        </w:rPr>
        <w:t>本项目的采购文件、中标（成交）方投标文件、中标（成交）通知书</w:t>
      </w:r>
      <w:bookmarkEnd w:id="86"/>
      <w:bookmarkEnd w:id="87"/>
      <w:bookmarkStart w:id="88" w:name="_Toc246825823"/>
      <w:bookmarkStart w:id="89" w:name="_Toc246826128"/>
      <w:r>
        <w:rPr>
          <w:rFonts w:hint="eastAsia" w:ascii="宋体" w:hAnsi="宋体" w:cs="宋体"/>
          <w:bCs/>
          <w:sz w:val="24"/>
        </w:rPr>
        <w:t>（如有）等，本合同附件与合同具有同等效力。</w:t>
      </w:r>
    </w:p>
    <w:bookmarkEnd w:id="88"/>
    <w:bookmarkEnd w:id="89"/>
    <w:p w14:paraId="6958B483">
      <w:pPr>
        <w:wordWrap w:val="0"/>
        <w:adjustRightInd w:val="0"/>
        <w:snapToGrid w:val="0"/>
        <w:spacing w:line="360" w:lineRule="auto"/>
        <w:rPr>
          <w:rFonts w:ascii="宋体" w:hAnsi="宋体" w:cs="宋体"/>
          <w:bCs/>
          <w:sz w:val="24"/>
        </w:rPr>
      </w:pPr>
      <w:r>
        <w:rPr>
          <w:rFonts w:hint="eastAsia" w:ascii="宋体" w:hAnsi="宋体" w:cs="宋体"/>
          <w:bCs/>
          <w:sz w:val="24"/>
        </w:rPr>
        <w:t>14.2 本合同格式未尽事宜可签订补充协议，补充协议具有同等法律效力。</w:t>
      </w:r>
    </w:p>
    <w:p w14:paraId="3B5217C9">
      <w:pPr>
        <w:wordWrap w:val="0"/>
        <w:adjustRightInd w:val="0"/>
        <w:snapToGrid w:val="0"/>
        <w:spacing w:line="360" w:lineRule="auto"/>
        <w:rPr>
          <w:rFonts w:ascii="宋体" w:hAnsi="宋体" w:cs="宋体"/>
          <w:bCs/>
          <w:sz w:val="24"/>
        </w:rPr>
      </w:pPr>
      <w:r>
        <w:rPr>
          <w:rFonts w:hint="eastAsia" w:ascii="宋体" w:hAnsi="宋体" w:cs="宋体"/>
          <w:bCs/>
          <w:sz w:val="24"/>
        </w:rPr>
        <w:t>14.3 合同文件应能相互解释，互为说明。若合同文件之间有不明确或不一致之处，以合同约定次序在后者为准。</w:t>
      </w:r>
    </w:p>
    <w:p w14:paraId="6D71134D">
      <w:pPr>
        <w:wordWrap w:val="0"/>
        <w:adjustRightInd w:val="0"/>
        <w:snapToGrid w:val="0"/>
        <w:spacing w:line="360" w:lineRule="auto"/>
        <w:rPr>
          <w:rFonts w:ascii="宋体" w:hAnsi="宋体" w:cs="宋体"/>
          <w:bCs/>
          <w:sz w:val="24"/>
        </w:rPr>
      </w:pPr>
      <w:r>
        <w:rPr>
          <w:rFonts w:hint="eastAsia" w:ascii="宋体" w:hAnsi="宋体" w:cs="宋体"/>
          <w:bCs/>
          <w:sz w:val="24"/>
        </w:rPr>
        <w:t>签约各方：</w:t>
      </w:r>
    </w:p>
    <w:p w14:paraId="137FE3E8">
      <w:pPr>
        <w:wordWrap w:val="0"/>
        <w:adjustRightInd w:val="0"/>
        <w:snapToGrid w:val="0"/>
        <w:spacing w:line="360" w:lineRule="auto"/>
        <w:rPr>
          <w:rFonts w:ascii="宋体" w:hAnsi="宋体" w:cs="宋体"/>
          <w:b/>
          <w:sz w:val="24"/>
        </w:rPr>
      </w:pPr>
      <w:r>
        <w:rPr>
          <w:rFonts w:hint="eastAsia" w:ascii="宋体" w:hAnsi="宋体" w:cs="宋体"/>
          <w:bCs/>
          <w:sz w:val="24"/>
        </w:rPr>
        <w:t>签约时间：</w:t>
      </w:r>
    </w:p>
    <w:p w14:paraId="4F738DA6">
      <w:pPr>
        <w:wordWrap w:val="0"/>
        <w:adjustRightInd w:val="0"/>
        <w:snapToGrid w:val="0"/>
        <w:spacing w:line="360" w:lineRule="auto"/>
        <w:rPr>
          <w:rFonts w:ascii="宋体" w:hAnsi="宋体" w:cs="宋体"/>
          <w:b/>
          <w:sz w:val="24"/>
        </w:rPr>
      </w:pPr>
      <w:r>
        <w:rPr>
          <w:rFonts w:hint="eastAsia" w:ascii="宋体" w:hAnsi="宋体" w:cs="宋体"/>
          <w:b/>
          <w:sz w:val="24"/>
        </w:rPr>
        <w:t>注：以上采购合同文本仅供参考，最终以甲乙双方签订的采购合同为准。</w:t>
      </w:r>
    </w:p>
    <w:p w14:paraId="1B44F5B9">
      <w:pPr>
        <w:pStyle w:val="2"/>
        <w:bidi w:val="0"/>
      </w:pPr>
      <w:bookmarkStart w:id="90" w:name="_Toc23807"/>
      <w:r>
        <w:rPr>
          <w:rFonts w:hint="eastAsia"/>
        </w:rPr>
        <w:t>第六章  响应文件格式及附件</w:t>
      </w:r>
      <w:bookmarkEnd w:id="90"/>
    </w:p>
    <w:p w14:paraId="564DEF02">
      <w:pPr>
        <w:adjustRightInd w:val="0"/>
        <w:snapToGrid w:val="0"/>
        <w:spacing w:line="360" w:lineRule="auto"/>
        <w:rPr>
          <w:rFonts w:ascii="宋体" w:hAnsi="宋体" w:cs="宋体"/>
          <w:b/>
          <w:sz w:val="24"/>
        </w:rPr>
      </w:pPr>
    </w:p>
    <w:p w14:paraId="0BFAA153">
      <w:pPr>
        <w:pStyle w:val="3"/>
        <w:bidi w:val="0"/>
      </w:pPr>
      <w:bookmarkStart w:id="91" w:name="_Toc8874"/>
      <w:r>
        <w:rPr>
          <w:rFonts w:hint="eastAsia"/>
        </w:rPr>
        <w:t>格式1：响应函</w:t>
      </w:r>
      <w:bookmarkEnd w:id="91"/>
    </w:p>
    <w:p w14:paraId="3B477141">
      <w:pPr>
        <w:spacing w:line="360" w:lineRule="auto"/>
        <w:ind w:firstLine="480"/>
        <w:rPr>
          <w:rFonts w:ascii="宋体" w:hAnsi="宋体" w:cs="宋体"/>
          <w:sz w:val="24"/>
        </w:rPr>
      </w:pPr>
    </w:p>
    <w:p w14:paraId="5C19F634">
      <w:pPr>
        <w:spacing w:line="360" w:lineRule="auto"/>
        <w:ind w:firstLine="480"/>
        <w:rPr>
          <w:rFonts w:ascii="宋体" w:hAnsi="宋体" w:cs="宋体"/>
          <w:sz w:val="24"/>
        </w:rPr>
      </w:pPr>
      <w:r>
        <w:rPr>
          <w:rFonts w:hint="eastAsia" w:ascii="宋体" w:hAnsi="宋体" w:cs="宋体"/>
          <w:sz w:val="24"/>
        </w:rPr>
        <w:t>致：</w:t>
      </w:r>
      <w:r>
        <w:rPr>
          <w:rFonts w:hint="eastAsia" w:ascii="宋体" w:hAnsi="宋体" w:cs="宋体"/>
          <w:sz w:val="24"/>
          <w:lang w:val="en-GB"/>
        </w:rPr>
        <w:t>海南卫生健康职业学院</w:t>
      </w:r>
    </w:p>
    <w:p w14:paraId="55FA99E7">
      <w:pPr>
        <w:spacing w:line="360" w:lineRule="auto"/>
        <w:ind w:firstLine="480"/>
        <w:rPr>
          <w:rFonts w:ascii="宋体" w:hAnsi="宋体" w:cs="宋体"/>
          <w:sz w:val="24"/>
        </w:rPr>
      </w:pPr>
      <w:r>
        <w:rPr>
          <w:rFonts w:hint="eastAsia" w:ascii="宋体" w:hAnsi="宋体" w:cs="宋体"/>
          <w:sz w:val="24"/>
        </w:rPr>
        <w:t>根据贵方</w:t>
      </w:r>
      <w:r>
        <w:rPr>
          <w:rFonts w:hint="eastAsia" w:ascii="宋体" w:hAnsi="宋体" w:cs="宋体"/>
          <w:sz w:val="24"/>
          <w:u w:val="single"/>
        </w:rPr>
        <w:t xml:space="preserve">  （项目名称） </w:t>
      </w:r>
      <w:r>
        <w:rPr>
          <w:rFonts w:hint="eastAsia" w:ascii="宋体" w:hAnsi="宋体" w:cs="宋体"/>
          <w:sz w:val="24"/>
        </w:rPr>
        <w:t>项目（项目编号（包号，如有）：</w:t>
      </w:r>
      <w:r>
        <w:rPr>
          <w:rFonts w:hint="eastAsia" w:ascii="宋体" w:hAnsi="宋体" w:cs="宋体"/>
          <w:sz w:val="24"/>
          <w:u w:val="single"/>
        </w:rPr>
        <w:t xml:space="preserve">           </w:t>
      </w:r>
      <w:r>
        <w:rPr>
          <w:rFonts w:hint="eastAsia" w:ascii="宋体" w:hAnsi="宋体" w:cs="宋体"/>
          <w:sz w:val="24"/>
        </w:rPr>
        <w:t>）的邀请，本签字代表</w:t>
      </w:r>
      <w:r>
        <w:rPr>
          <w:rFonts w:hint="eastAsia" w:ascii="宋体" w:hAnsi="宋体" w:cs="宋体"/>
          <w:sz w:val="24"/>
          <w:u w:val="single"/>
        </w:rPr>
        <w:t xml:space="preserve">              </w:t>
      </w:r>
      <w:r>
        <w:rPr>
          <w:rFonts w:hint="eastAsia" w:ascii="宋体" w:hAnsi="宋体" w:cs="宋体"/>
          <w:sz w:val="24"/>
        </w:rPr>
        <w:t>（全名、职务）代表供应商</w:t>
      </w:r>
      <w:r>
        <w:rPr>
          <w:rFonts w:hint="eastAsia" w:ascii="宋体" w:hAnsi="宋体" w:cs="宋体"/>
          <w:sz w:val="24"/>
          <w:u w:val="single"/>
        </w:rPr>
        <w:t xml:space="preserve">                  </w:t>
      </w:r>
      <w:r>
        <w:rPr>
          <w:rFonts w:hint="eastAsia" w:ascii="宋体" w:hAnsi="宋体" w:cs="宋体"/>
          <w:sz w:val="24"/>
        </w:rPr>
        <w:t>（供应商单位名称、地址。如联合响应，需要各方的）提交下述文件正本一份和副本</w:t>
      </w:r>
      <w:r>
        <w:rPr>
          <w:rFonts w:hint="eastAsia" w:ascii="宋体" w:hAnsi="宋体" w:cs="宋体"/>
          <w:sz w:val="24"/>
          <w:u w:val="single"/>
        </w:rPr>
        <w:t xml:space="preserve">     </w:t>
      </w:r>
      <w:r>
        <w:rPr>
          <w:rFonts w:hint="eastAsia" w:ascii="宋体" w:hAnsi="宋体" w:cs="宋体"/>
          <w:sz w:val="24"/>
        </w:rPr>
        <w:t>份及电子版一份。</w:t>
      </w:r>
    </w:p>
    <w:p w14:paraId="758911F1">
      <w:pPr>
        <w:spacing w:line="360" w:lineRule="auto"/>
        <w:ind w:firstLine="480" w:firstLineChars="200"/>
        <w:rPr>
          <w:rFonts w:ascii="宋体" w:hAnsi="宋体" w:cs="宋体"/>
          <w:bCs/>
          <w:sz w:val="24"/>
        </w:rPr>
      </w:pPr>
      <w:r>
        <w:rPr>
          <w:rFonts w:hint="eastAsia" w:ascii="宋体" w:hAnsi="宋体" w:cs="宋体"/>
          <w:sz w:val="24"/>
        </w:rPr>
        <w:t>据此函，签字代表承诺如下内容（本承诺内容为响应基本要求，如不满足或有缺漏项的，视为</w:t>
      </w:r>
      <w:r>
        <w:rPr>
          <w:rFonts w:hint="eastAsia" w:ascii="宋体" w:hAnsi="宋体" w:cs="宋体"/>
          <w:b/>
          <w:bCs/>
          <w:sz w:val="24"/>
        </w:rPr>
        <w:t>无效</w:t>
      </w:r>
      <w:r>
        <w:rPr>
          <w:rFonts w:hint="eastAsia" w:ascii="宋体" w:hAnsi="宋体" w:cs="宋体"/>
          <w:sz w:val="24"/>
        </w:rPr>
        <w:t>响应）：</w:t>
      </w:r>
    </w:p>
    <w:p w14:paraId="7EEC4986">
      <w:pPr>
        <w:numPr>
          <w:ilvl w:val="0"/>
          <w:numId w:val="8"/>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我方是符合本项目采购文件“第三章 供应商须知/一、总则/3.1</w:t>
      </w:r>
      <w:r>
        <w:rPr>
          <w:rFonts w:hint="eastAsia" w:ascii="宋体" w:hAnsi="宋体" w:cs="宋体"/>
          <w:bCs/>
          <w:kern w:val="0"/>
          <w:sz w:val="24"/>
        </w:rPr>
        <w:t>合格供应商条件</w:t>
      </w:r>
      <w:r>
        <w:rPr>
          <w:rFonts w:hint="eastAsia" w:ascii="宋体" w:hAnsi="宋体" w:cs="宋体"/>
          <w:bCs/>
          <w:sz w:val="24"/>
        </w:rPr>
        <w:t>”所规定的供应商，且不存在本项目采购文件“第三章 供应商须知/九、</w:t>
      </w:r>
      <w:r>
        <w:rPr>
          <w:rFonts w:hint="eastAsia" w:ascii="宋体" w:hAnsi="宋体" w:cs="宋体"/>
          <w:b/>
          <w:sz w:val="24"/>
        </w:rPr>
        <w:t>无效</w:t>
      </w:r>
      <w:r>
        <w:rPr>
          <w:rFonts w:hint="eastAsia" w:ascii="宋体" w:hAnsi="宋体" w:cs="宋体"/>
          <w:bCs/>
          <w:sz w:val="24"/>
        </w:rPr>
        <w:t>响应的其他情形”中所规定的情形，并严格遵守《政府采购法》第77条的规定；所提供的货物及服务是符合行政法规、行业强制性标准或政府采购的相关要求。</w:t>
      </w:r>
    </w:p>
    <w:p w14:paraId="258DE5FB">
      <w:pPr>
        <w:spacing w:line="360" w:lineRule="auto"/>
        <w:ind w:firstLine="480" w:firstLineChars="200"/>
        <w:rPr>
          <w:rFonts w:ascii="宋体" w:hAnsi="宋体" w:cs="宋体"/>
          <w:sz w:val="24"/>
        </w:rPr>
      </w:pPr>
      <w:r>
        <w:rPr>
          <w:rFonts w:hint="eastAsia" w:ascii="宋体" w:hAnsi="宋体" w:cs="宋体"/>
          <w:sz w:val="24"/>
        </w:rPr>
        <w:t>2、我方对响应文件的真实性和合法性承担法律责任，我方无条件接受采购人及政府采购监督管理部门等对其中任何资料进行核实的要求。</w:t>
      </w:r>
    </w:p>
    <w:p w14:paraId="177C4B09">
      <w:pPr>
        <w:widowControl/>
        <w:spacing w:line="360" w:lineRule="auto"/>
        <w:ind w:firstLine="480" w:firstLineChars="200"/>
        <w:jc w:val="left"/>
        <w:rPr>
          <w:rFonts w:ascii="宋体" w:hAnsi="宋体" w:cs="宋体"/>
          <w:sz w:val="24"/>
        </w:rPr>
      </w:pPr>
      <w:r>
        <w:rPr>
          <w:rFonts w:hint="eastAsia" w:ascii="宋体" w:hAnsi="宋体" w:cs="宋体"/>
          <w:kern w:val="0"/>
          <w:sz w:val="24"/>
          <w:lang w:bidi="ar"/>
        </w:rPr>
        <w:t xml:space="preserve">3、我方响应报价已包含应向知识产权所有权人支付的所有相关税费，并保证采购人在中国使用我方提供的货物时，如有第三方提出侵犯其知识产权主张的，责任由我方承担。 </w:t>
      </w:r>
    </w:p>
    <w:p w14:paraId="168383AF">
      <w:pPr>
        <w:pStyle w:val="5"/>
        <w:spacing w:line="360" w:lineRule="auto"/>
        <w:ind w:firstLine="480" w:firstLineChars="200"/>
        <w:rPr>
          <w:rFonts w:ascii="宋体" w:hAnsi="宋体" w:cs="宋体"/>
          <w:sz w:val="24"/>
        </w:rPr>
      </w:pPr>
      <w:r>
        <w:rPr>
          <w:rFonts w:hint="eastAsia" w:ascii="宋体" w:hAnsi="宋体" w:cs="宋体"/>
          <w:bCs/>
          <w:sz w:val="24"/>
        </w:rPr>
        <w:t>4、我方非</w:t>
      </w:r>
      <w:r>
        <w:rPr>
          <w:rFonts w:hint="eastAsia" w:ascii="宋体" w:hAnsi="宋体" w:cs="宋体"/>
          <w:spacing w:val="-1"/>
          <w:sz w:val="24"/>
        </w:rPr>
        <w:t>联合体响应。</w:t>
      </w:r>
    </w:p>
    <w:p w14:paraId="13D05A6B">
      <w:pPr>
        <w:spacing w:line="360" w:lineRule="auto"/>
        <w:ind w:firstLine="480" w:firstLineChars="200"/>
        <w:rPr>
          <w:rFonts w:ascii="宋体" w:hAnsi="宋体" w:cs="宋体"/>
          <w:sz w:val="24"/>
        </w:rPr>
      </w:pPr>
      <w:r>
        <w:rPr>
          <w:rFonts w:hint="eastAsia" w:ascii="宋体" w:hAnsi="宋体" w:cs="宋体"/>
          <w:sz w:val="24"/>
        </w:rPr>
        <w:t>5、我方接受采购文件所表述的付款方式。</w:t>
      </w:r>
    </w:p>
    <w:p w14:paraId="7FB5C331">
      <w:pPr>
        <w:spacing w:line="360" w:lineRule="auto"/>
        <w:ind w:firstLine="480" w:firstLineChars="200"/>
        <w:rPr>
          <w:rFonts w:ascii="宋体" w:hAnsi="宋体" w:cs="宋体"/>
          <w:sz w:val="24"/>
        </w:rPr>
      </w:pPr>
      <w:r>
        <w:rPr>
          <w:rFonts w:hint="eastAsia" w:ascii="宋体" w:hAnsi="宋体" w:cs="宋体"/>
          <w:sz w:val="24"/>
        </w:rPr>
        <w:t>6、我方在《报价一览表》中的报价为唯一报价。</w:t>
      </w:r>
    </w:p>
    <w:p w14:paraId="1D507648">
      <w:pPr>
        <w:adjustRightInd w:val="0"/>
        <w:snapToGrid w:val="0"/>
        <w:spacing w:line="360" w:lineRule="auto"/>
        <w:ind w:firstLine="480" w:firstLineChars="200"/>
        <w:rPr>
          <w:rFonts w:ascii="宋体" w:hAnsi="宋体" w:cs="宋体"/>
          <w:sz w:val="24"/>
        </w:rPr>
      </w:pPr>
      <w:r>
        <w:rPr>
          <w:rFonts w:hint="eastAsia" w:ascii="宋体" w:hAnsi="宋体" w:cs="宋体"/>
          <w:sz w:val="24"/>
        </w:rPr>
        <w:t>7、我方确认收到贵方提供的本项目采购文件的全部内容，我方在参与响应前已详细研究了采购文件的所有内容，包括澄清、修改文件（如有）和所有已提供的参考资料以及有关附件，我方完全明白并认为此采购文件没有倾向性，也不存在排斥潜在供应商的内容，我方同意采购文件的相关条款，放弃对采购文件提出误解和质疑的一切权力。</w:t>
      </w:r>
    </w:p>
    <w:p w14:paraId="289CBC6E">
      <w:pPr>
        <w:spacing w:line="360" w:lineRule="auto"/>
        <w:ind w:firstLine="480" w:firstLineChars="200"/>
        <w:rPr>
          <w:rFonts w:ascii="宋体" w:hAnsi="宋体" w:cs="宋体"/>
          <w:sz w:val="24"/>
        </w:rPr>
      </w:pPr>
      <w:r>
        <w:rPr>
          <w:rFonts w:hint="eastAsia" w:ascii="宋体" w:hAnsi="宋体" w:cs="宋体"/>
          <w:sz w:val="24"/>
        </w:rPr>
        <w:t>8、我方保证遵守采购文件的全部规定，如果成交，将保证履行采购文件以及采购文件修改文件（如有）中的全部责任和义务，按质、按量、按期完成《合同书》中的全部任务。</w:t>
      </w:r>
    </w:p>
    <w:p w14:paraId="396B1774">
      <w:pPr>
        <w:spacing w:line="360" w:lineRule="auto"/>
        <w:ind w:firstLine="480"/>
        <w:rPr>
          <w:rFonts w:ascii="宋体" w:hAnsi="宋体" w:cs="宋体"/>
          <w:sz w:val="24"/>
        </w:rPr>
      </w:pPr>
      <w:r>
        <w:rPr>
          <w:rFonts w:hint="eastAsia" w:ascii="宋体" w:hAnsi="宋体" w:cs="宋体"/>
          <w:sz w:val="24"/>
        </w:rPr>
        <w:t>9、本响应文件的响应有效期为：自响应截止之日起90天。</w:t>
      </w:r>
    </w:p>
    <w:p w14:paraId="5BD83534">
      <w:pPr>
        <w:spacing w:line="360" w:lineRule="auto"/>
        <w:ind w:firstLine="480"/>
        <w:rPr>
          <w:rFonts w:ascii="宋体" w:hAnsi="宋体" w:cs="宋体"/>
          <w:sz w:val="24"/>
        </w:rPr>
      </w:pPr>
      <w:r>
        <w:rPr>
          <w:rFonts w:hint="eastAsia" w:ascii="宋体" w:hAnsi="宋体" w:cs="宋体"/>
          <w:sz w:val="24"/>
        </w:rPr>
        <w:t>10、与本响应有关的一切正式往来通讯请寄：</w:t>
      </w:r>
    </w:p>
    <w:p w14:paraId="26B9D615">
      <w:pPr>
        <w:spacing w:line="360" w:lineRule="auto"/>
        <w:rPr>
          <w:rFonts w:ascii="宋体" w:hAnsi="宋体" w:cs="宋体"/>
          <w:sz w:val="24"/>
        </w:rPr>
      </w:pPr>
      <w:r>
        <w:rPr>
          <w:rFonts w:hint="eastAsia" w:ascii="宋体" w:hAnsi="宋体" w:cs="宋体"/>
          <w:sz w:val="24"/>
        </w:rPr>
        <w:t xml:space="preserve">        地址：                  邮编：                  </w:t>
      </w:r>
    </w:p>
    <w:p w14:paraId="399C0948">
      <w:pPr>
        <w:spacing w:line="360" w:lineRule="auto"/>
        <w:rPr>
          <w:rFonts w:ascii="宋体" w:hAnsi="宋体" w:cs="宋体"/>
          <w:sz w:val="24"/>
        </w:rPr>
      </w:pPr>
      <w:r>
        <w:rPr>
          <w:rFonts w:hint="eastAsia" w:ascii="宋体" w:hAnsi="宋体" w:cs="宋体"/>
          <w:sz w:val="24"/>
        </w:rPr>
        <w:t xml:space="preserve">        电话：                  电子邮箱：                  </w:t>
      </w:r>
    </w:p>
    <w:p w14:paraId="0472C298">
      <w:pPr>
        <w:snapToGrid w:val="0"/>
        <w:spacing w:line="360" w:lineRule="auto"/>
        <w:rPr>
          <w:rFonts w:ascii="宋体" w:hAnsi="宋体" w:cs="宋体"/>
          <w:bCs/>
          <w:sz w:val="24"/>
          <w:u w:val="single"/>
        </w:rPr>
      </w:pPr>
      <w:r>
        <w:rPr>
          <w:rFonts w:hint="eastAsia" w:ascii="宋体" w:hAnsi="宋体" w:cs="宋体"/>
          <w:bCs/>
          <w:sz w:val="24"/>
        </w:rPr>
        <w:t>供应商代表（</w:t>
      </w:r>
      <w:r>
        <w:rPr>
          <w:rFonts w:hint="eastAsia" w:ascii="宋体" w:hAnsi="宋体" w:cs="宋体"/>
          <w:sz w:val="24"/>
        </w:rPr>
        <w:t>签字或盖章</w:t>
      </w:r>
      <w:r>
        <w:rPr>
          <w:rFonts w:hint="eastAsia" w:ascii="宋体" w:hAnsi="宋体" w:cs="宋体"/>
          <w:bCs/>
          <w:sz w:val="24"/>
        </w:rPr>
        <w:t xml:space="preserve">）： </w:t>
      </w:r>
      <w:r>
        <w:rPr>
          <w:rFonts w:hint="eastAsia" w:ascii="宋体" w:hAnsi="宋体" w:cs="宋体"/>
          <w:bCs/>
          <w:sz w:val="24"/>
          <w:u w:val="single"/>
        </w:rPr>
        <w:t xml:space="preserve">                         </w:t>
      </w:r>
    </w:p>
    <w:p w14:paraId="05316348">
      <w:pPr>
        <w:snapToGrid w:val="0"/>
        <w:spacing w:line="360" w:lineRule="auto"/>
        <w:rPr>
          <w:rFonts w:ascii="宋体" w:hAnsi="宋体" w:cs="宋体"/>
          <w:bCs/>
          <w:sz w:val="24"/>
        </w:rPr>
      </w:pPr>
    </w:p>
    <w:p w14:paraId="7B8E06B1">
      <w:pPr>
        <w:snapToGrid w:val="0"/>
        <w:spacing w:line="360" w:lineRule="auto"/>
        <w:rPr>
          <w:rFonts w:ascii="宋体" w:hAnsi="宋体" w:cs="宋体"/>
          <w:bCs/>
          <w:sz w:val="24"/>
        </w:rPr>
      </w:pPr>
      <w:r>
        <w:rPr>
          <w:rFonts w:hint="eastAsia" w:ascii="宋体" w:hAnsi="宋体" w:cs="宋体"/>
          <w:bCs/>
          <w:sz w:val="24"/>
        </w:rPr>
        <w:t xml:space="preserve">供应商（加盖公章）： </w:t>
      </w:r>
      <w:r>
        <w:rPr>
          <w:rFonts w:hint="eastAsia" w:ascii="宋体" w:hAnsi="宋体" w:cs="宋体"/>
          <w:bCs/>
          <w:sz w:val="24"/>
          <w:u w:val="single"/>
        </w:rPr>
        <w:t xml:space="preserve">                          </w:t>
      </w:r>
      <w:r>
        <w:rPr>
          <w:rFonts w:hint="eastAsia" w:ascii="宋体" w:hAnsi="宋体" w:cs="宋体"/>
          <w:bCs/>
          <w:sz w:val="24"/>
        </w:rPr>
        <w:t xml:space="preserve"> </w:t>
      </w:r>
    </w:p>
    <w:p w14:paraId="1E095F09">
      <w:pPr>
        <w:snapToGrid w:val="0"/>
        <w:spacing w:line="360" w:lineRule="auto"/>
        <w:rPr>
          <w:rFonts w:ascii="宋体" w:hAnsi="宋体" w:cs="宋体"/>
          <w:bCs/>
          <w:sz w:val="24"/>
        </w:rPr>
      </w:pPr>
    </w:p>
    <w:p w14:paraId="46B572F7">
      <w:pPr>
        <w:snapToGrid w:val="0"/>
        <w:spacing w:line="360" w:lineRule="auto"/>
        <w:rPr>
          <w:rFonts w:ascii="宋体" w:hAnsi="宋体" w:cs="宋体"/>
          <w:spacing w:val="-1"/>
          <w:sz w:val="24"/>
        </w:rPr>
      </w:pPr>
      <w:r>
        <w:rPr>
          <w:rFonts w:hint="eastAsia" w:ascii="宋体" w:hAnsi="宋体" w:cs="宋体"/>
          <w:bCs/>
          <w:sz w:val="24"/>
        </w:rPr>
        <w:t>日期：</w:t>
      </w:r>
      <w:r>
        <w:rPr>
          <w:rFonts w:hint="eastAsia" w:ascii="宋体" w:hAnsi="宋体" w:cs="宋体"/>
          <w:bCs/>
          <w:sz w:val="24"/>
          <w:u w:val="single"/>
        </w:rPr>
        <w:t xml:space="preserve">                 </w:t>
      </w:r>
    </w:p>
    <w:p w14:paraId="50A48924">
      <w:pPr>
        <w:spacing w:line="360" w:lineRule="auto"/>
        <w:rPr>
          <w:rFonts w:hint="eastAsia" w:ascii="宋体" w:hAnsi="宋体" w:cs="宋体"/>
          <w:b/>
          <w:sz w:val="24"/>
        </w:rPr>
      </w:pPr>
      <w:r>
        <w:rPr>
          <w:rFonts w:hint="eastAsia" w:ascii="宋体" w:hAnsi="宋体" w:cs="宋体"/>
          <w:b/>
          <w:sz w:val="24"/>
        </w:rPr>
        <w:br w:type="page"/>
      </w:r>
    </w:p>
    <w:p w14:paraId="7E6396F6">
      <w:pPr>
        <w:adjustRightInd w:val="0"/>
        <w:snapToGrid w:val="0"/>
        <w:spacing w:line="360" w:lineRule="auto"/>
        <w:rPr>
          <w:rFonts w:ascii="宋体" w:hAnsi="宋体" w:cs="宋体"/>
          <w:b/>
          <w:sz w:val="24"/>
        </w:rPr>
      </w:pPr>
    </w:p>
    <w:p w14:paraId="65EF3FDE">
      <w:pPr>
        <w:pStyle w:val="3"/>
        <w:bidi w:val="0"/>
      </w:pPr>
      <w:r>
        <w:rPr>
          <w:rFonts w:hint="eastAsia"/>
        </w:rPr>
        <w:t>格式2：</w:t>
      </w:r>
      <w:r>
        <w:rPr>
          <w:rFonts w:hint="eastAsia"/>
          <w:lang w:val="en-US" w:eastAsia="zh-CN"/>
        </w:rPr>
        <w:t>报价一览表</w:t>
      </w:r>
    </w:p>
    <w:p w14:paraId="07247CD2">
      <w:pPr>
        <w:adjustRightInd w:val="0"/>
        <w:snapToGrid w:val="0"/>
        <w:spacing w:line="360" w:lineRule="auto"/>
        <w:rPr>
          <w:rFonts w:ascii="宋体" w:hAnsi="宋体" w:cs="宋体"/>
          <w:bCs/>
          <w:sz w:val="24"/>
        </w:rPr>
      </w:pPr>
    </w:p>
    <w:p w14:paraId="005737C8">
      <w:pPr>
        <w:adjustRightInd w:val="0"/>
        <w:snapToGrid w:val="0"/>
        <w:spacing w:line="360" w:lineRule="auto"/>
        <w:rPr>
          <w:rFonts w:ascii="宋体" w:hAnsi="宋体" w:cs="宋体"/>
          <w:bCs/>
          <w:sz w:val="24"/>
        </w:rPr>
      </w:pPr>
      <w:r>
        <w:rPr>
          <w:rFonts w:hint="eastAsia" w:ascii="宋体" w:hAnsi="宋体" w:cs="宋体"/>
          <w:bCs/>
          <w:sz w:val="24"/>
        </w:rPr>
        <w:t xml:space="preserve">项目名称：                             </w:t>
      </w:r>
    </w:p>
    <w:p w14:paraId="6708D6D0">
      <w:pPr>
        <w:adjustRightInd w:val="0"/>
        <w:snapToGrid w:val="0"/>
        <w:spacing w:line="360" w:lineRule="auto"/>
        <w:rPr>
          <w:rFonts w:ascii="宋体" w:hAnsi="宋体" w:cs="宋体"/>
          <w:bCs/>
          <w:sz w:val="24"/>
        </w:rPr>
      </w:pPr>
      <w:r>
        <w:rPr>
          <w:rFonts w:hint="eastAsia" w:ascii="宋体" w:hAnsi="宋体" w:cs="宋体"/>
          <w:bCs/>
          <w:sz w:val="24"/>
        </w:rPr>
        <w:t>项目编号（包号，如有）：</w:t>
      </w:r>
    </w:p>
    <w:tbl>
      <w:tblPr>
        <w:tblStyle w:val="13"/>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5428"/>
      </w:tblGrid>
      <w:tr w14:paraId="03A7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57" w:type="dxa"/>
            <w:vAlign w:val="center"/>
          </w:tcPr>
          <w:p w14:paraId="115E6106">
            <w:pPr>
              <w:spacing w:line="360" w:lineRule="auto"/>
              <w:jc w:val="center"/>
              <w:rPr>
                <w:rFonts w:ascii="宋体" w:hAnsi="宋体" w:cs="宋体"/>
                <w:bCs/>
                <w:sz w:val="24"/>
              </w:rPr>
            </w:pPr>
            <w:r>
              <w:rPr>
                <w:rFonts w:hint="eastAsia" w:ascii="宋体" w:hAnsi="宋体" w:cs="宋体"/>
                <w:bCs/>
                <w:sz w:val="24"/>
              </w:rPr>
              <w:t>名称</w:t>
            </w:r>
          </w:p>
        </w:tc>
        <w:tc>
          <w:tcPr>
            <w:tcW w:w="5428" w:type="dxa"/>
            <w:vAlign w:val="center"/>
          </w:tcPr>
          <w:p w14:paraId="0DDE1BAB">
            <w:pPr>
              <w:spacing w:line="360" w:lineRule="auto"/>
              <w:jc w:val="center"/>
              <w:rPr>
                <w:rFonts w:ascii="宋体" w:hAnsi="宋体" w:cs="宋体"/>
                <w:bCs/>
                <w:sz w:val="24"/>
              </w:rPr>
            </w:pPr>
            <w:r>
              <w:rPr>
                <w:rFonts w:hint="eastAsia" w:ascii="宋体" w:hAnsi="宋体" w:cs="宋体"/>
                <w:bCs/>
                <w:sz w:val="24"/>
              </w:rPr>
              <w:t>内容</w:t>
            </w:r>
          </w:p>
        </w:tc>
      </w:tr>
      <w:tr w14:paraId="2727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957" w:type="dxa"/>
          </w:tcPr>
          <w:p w14:paraId="7EB109C5">
            <w:pPr>
              <w:spacing w:line="360" w:lineRule="auto"/>
              <w:rPr>
                <w:rFonts w:ascii="宋体" w:hAnsi="宋体" w:cs="宋体"/>
                <w:bCs/>
                <w:sz w:val="24"/>
              </w:rPr>
            </w:pPr>
            <w:r>
              <w:rPr>
                <w:rFonts w:hint="eastAsia" w:ascii="宋体" w:hAnsi="宋体" w:cs="宋体"/>
                <w:bCs/>
                <w:sz w:val="24"/>
              </w:rPr>
              <w:t>响应总价(小写)（元）</w:t>
            </w:r>
          </w:p>
        </w:tc>
        <w:tc>
          <w:tcPr>
            <w:tcW w:w="5428" w:type="dxa"/>
          </w:tcPr>
          <w:p w14:paraId="79A7A023">
            <w:pPr>
              <w:spacing w:line="360" w:lineRule="auto"/>
              <w:rPr>
                <w:rFonts w:ascii="宋体" w:hAnsi="宋体" w:cs="宋体"/>
                <w:bCs/>
                <w:sz w:val="24"/>
              </w:rPr>
            </w:pPr>
          </w:p>
        </w:tc>
      </w:tr>
      <w:tr w14:paraId="23FF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957" w:type="dxa"/>
          </w:tcPr>
          <w:p w14:paraId="17EACFB0">
            <w:pPr>
              <w:spacing w:line="360" w:lineRule="auto"/>
              <w:rPr>
                <w:rFonts w:ascii="宋体" w:hAnsi="宋体" w:cs="宋体"/>
                <w:bCs/>
                <w:sz w:val="24"/>
              </w:rPr>
            </w:pPr>
            <w:r>
              <w:rPr>
                <w:rFonts w:hint="eastAsia" w:ascii="宋体" w:hAnsi="宋体" w:cs="宋体"/>
                <w:bCs/>
                <w:sz w:val="24"/>
              </w:rPr>
              <w:t>响应总价（大写）</w:t>
            </w:r>
          </w:p>
        </w:tc>
        <w:tc>
          <w:tcPr>
            <w:tcW w:w="5428" w:type="dxa"/>
          </w:tcPr>
          <w:p w14:paraId="3A07EB4B">
            <w:pPr>
              <w:spacing w:line="360" w:lineRule="auto"/>
              <w:rPr>
                <w:rFonts w:ascii="宋体" w:hAnsi="宋体" w:cs="宋体"/>
                <w:bCs/>
                <w:sz w:val="24"/>
              </w:rPr>
            </w:pPr>
          </w:p>
        </w:tc>
      </w:tr>
      <w:tr w14:paraId="039E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957" w:type="dxa"/>
          </w:tcPr>
          <w:p w14:paraId="5BC4FF30">
            <w:pPr>
              <w:spacing w:line="360" w:lineRule="auto"/>
              <w:rPr>
                <w:rFonts w:ascii="宋体" w:hAnsi="宋体" w:cs="宋体"/>
                <w:bCs/>
                <w:sz w:val="24"/>
              </w:rPr>
            </w:pPr>
            <w:r>
              <w:rPr>
                <w:rFonts w:hint="eastAsia" w:ascii="宋体" w:hAnsi="宋体" w:cs="宋体"/>
                <w:bCs/>
                <w:sz w:val="24"/>
              </w:rPr>
              <w:t>服务期</w:t>
            </w:r>
          </w:p>
        </w:tc>
        <w:tc>
          <w:tcPr>
            <w:tcW w:w="5428" w:type="dxa"/>
          </w:tcPr>
          <w:p w14:paraId="167CBF51">
            <w:pPr>
              <w:spacing w:line="360" w:lineRule="auto"/>
              <w:rPr>
                <w:rFonts w:ascii="宋体" w:hAnsi="宋体" w:cs="宋体"/>
                <w:bCs/>
                <w:sz w:val="24"/>
              </w:rPr>
            </w:pPr>
          </w:p>
        </w:tc>
      </w:tr>
      <w:tr w14:paraId="6F28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957" w:type="dxa"/>
          </w:tcPr>
          <w:p w14:paraId="37EDED49">
            <w:pPr>
              <w:spacing w:line="360" w:lineRule="auto"/>
              <w:rPr>
                <w:rFonts w:ascii="宋体" w:hAnsi="宋体" w:cs="宋体"/>
                <w:bCs/>
                <w:sz w:val="24"/>
              </w:rPr>
            </w:pPr>
            <w:r>
              <w:rPr>
                <w:rFonts w:hint="eastAsia" w:ascii="宋体" w:hAnsi="宋体" w:cs="宋体"/>
                <w:bCs/>
                <w:sz w:val="24"/>
              </w:rPr>
              <w:t>备注：（其他需要说明的情形）</w:t>
            </w:r>
          </w:p>
        </w:tc>
        <w:tc>
          <w:tcPr>
            <w:tcW w:w="5428" w:type="dxa"/>
          </w:tcPr>
          <w:p w14:paraId="5EFEAFB4">
            <w:pPr>
              <w:spacing w:line="360" w:lineRule="auto"/>
              <w:rPr>
                <w:rFonts w:ascii="宋体" w:hAnsi="宋体" w:cs="宋体"/>
                <w:bCs/>
                <w:sz w:val="24"/>
              </w:rPr>
            </w:pPr>
          </w:p>
        </w:tc>
      </w:tr>
    </w:tbl>
    <w:p w14:paraId="5DA8F7A7">
      <w:pPr>
        <w:adjustRightInd w:val="0"/>
        <w:snapToGrid w:val="0"/>
        <w:spacing w:line="360" w:lineRule="auto"/>
        <w:rPr>
          <w:rFonts w:ascii="宋体" w:hAnsi="宋体" w:cs="宋体"/>
          <w:bCs/>
          <w:sz w:val="24"/>
        </w:rPr>
      </w:pPr>
    </w:p>
    <w:p w14:paraId="7578509B">
      <w:pPr>
        <w:snapToGrid w:val="0"/>
        <w:spacing w:line="360" w:lineRule="auto"/>
        <w:rPr>
          <w:rFonts w:ascii="宋体" w:hAnsi="宋体" w:cs="宋体"/>
          <w:bCs/>
          <w:sz w:val="24"/>
          <w:u w:val="single"/>
        </w:rPr>
      </w:pPr>
      <w:r>
        <w:rPr>
          <w:rFonts w:hint="eastAsia" w:ascii="宋体" w:hAnsi="宋体" w:cs="宋体"/>
          <w:bCs/>
          <w:sz w:val="24"/>
        </w:rPr>
        <w:t>供应商代表（</w:t>
      </w:r>
      <w:r>
        <w:rPr>
          <w:rFonts w:hint="eastAsia" w:ascii="宋体" w:hAnsi="宋体" w:cs="宋体"/>
          <w:sz w:val="24"/>
        </w:rPr>
        <w:t>签字或盖章</w:t>
      </w:r>
      <w:r>
        <w:rPr>
          <w:rFonts w:hint="eastAsia" w:ascii="宋体" w:hAnsi="宋体" w:cs="宋体"/>
          <w:bCs/>
          <w:sz w:val="24"/>
        </w:rPr>
        <w:t xml:space="preserve">）： </w:t>
      </w:r>
      <w:r>
        <w:rPr>
          <w:rFonts w:hint="eastAsia" w:ascii="宋体" w:hAnsi="宋体" w:cs="宋体"/>
          <w:bCs/>
          <w:sz w:val="24"/>
          <w:u w:val="single"/>
        </w:rPr>
        <w:t xml:space="preserve">                         </w:t>
      </w:r>
    </w:p>
    <w:p w14:paraId="5F98664E">
      <w:pPr>
        <w:snapToGrid w:val="0"/>
        <w:spacing w:line="360" w:lineRule="auto"/>
        <w:rPr>
          <w:rFonts w:ascii="宋体" w:hAnsi="宋体" w:cs="宋体"/>
          <w:bCs/>
          <w:sz w:val="24"/>
        </w:rPr>
      </w:pPr>
    </w:p>
    <w:p w14:paraId="5AAF1AE3">
      <w:pPr>
        <w:snapToGrid w:val="0"/>
        <w:spacing w:line="360" w:lineRule="auto"/>
        <w:rPr>
          <w:rFonts w:ascii="宋体" w:hAnsi="宋体" w:cs="宋体"/>
          <w:bCs/>
          <w:sz w:val="24"/>
        </w:rPr>
      </w:pPr>
      <w:r>
        <w:rPr>
          <w:rFonts w:hint="eastAsia" w:ascii="宋体" w:hAnsi="宋体" w:cs="宋体"/>
          <w:bCs/>
          <w:sz w:val="24"/>
        </w:rPr>
        <w:t xml:space="preserve">供应商（加盖公章）： </w:t>
      </w:r>
      <w:r>
        <w:rPr>
          <w:rFonts w:hint="eastAsia" w:ascii="宋体" w:hAnsi="宋体" w:cs="宋体"/>
          <w:bCs/>
          <w:sz w:val="24"/>
          <w:u w:val="single"/>
        </w:rPr>
        <w:t xml:space="preserve">                          </w:t>
      </w:r>
      <w:r>
        <w:rPr>
          <w:rFonts w:hint="eastAsia" w:ascii="宋体" w:hAnsi="宋体" w:cs="宋体"/>
          <w:bCs/>
          <w:sz w:val="24"/>
        </w:rPr>
        <w:t xml:space="preserve"> </w:t>
      </w:r>
    </w:p>
    <w:p w14:paraId="3CF52375">
      <w:pPr>
        <w:snapToGrid w:val="0"/>
        <w:spacing w:line="360" w:lineRule="auto"/>
        <w:rPr>
          <w:rFonts w:ascii="宋体" w:hAnsi="宋体" w:cs="宋体"/>
          <w:bCs/>
          <w:sz w:val="24"/>
        </w:rPr>
      </w:pPr>
    </w:p>
    <w:p w14:paraId="22ED0D30">
      <w:pPr>
        <w:snapToGrid w:val="0"/>
        <w:spacing w:line="360" w:lineRule="auto"/>
        <w:rPr>
          <w:rFonts w:ascii="宋体" w:hAnsi="宋体" w:cs="宋体"/>
          <w:spacing w:val="-1"/>
          <w:sz w:val="24"/>
        </w:rPr>
      </w:pPr>
      <w:r>
        <w:rPr>
          <w:rFonts w:hint="eastAsia" w:ascii="宋体" w:hAnsi="宋体" w:cs="宋体"/>
          <w:bCs/>
          <w:sz w:val="24"/>
        </w:rPr>
        <w:t>日期：</w:t>
      </w:r>
      <w:r>
        <w:rPr>
          <w:rFonts w:hint="eastAsia" w:ascii="宋体" w:hAnsi="宋体" w:cs="宋体"/>
          <w:bCs/>
          <w:sz w:val="24"/>
          <w:u w:val="single"/>
        </w:rPr>
        <w:t xml:space="preserve">                 </w:t>
      </w:r>
    </w:p>
    <w:p w14:paraId="2C4A043A">
      <w:pPr>
        <w:adjustRightInd w:val="0"/>
        <w:snapToGrid w:val="0"/>
        <w:spacing w:line="360" w:lineRule="auto"/>
        <w:ind w:firstLine="480" w:firstLineChars="200"/>
        <w:rPr>
          <w:rFonts w:ascii="宋体" w:hAnsi="宋体" w:cs="宋体"/>
          <w:bCs/>
          <w:sz w:val="24"/>
        </w:rPr>
      </w:pPr>
    </w:p>
    <w:p w14:paraId="5C17334B">
      <w:pPr>
        <w:adjustRightInd w:val="0"/>
        <w:snapToGrid w:val="0"/>
        <w:spacing w:line="360" w:lineRule="auto"/>
        <w:rPr>
          <w:rFonts w:ascii="宋体" w:hAnsi="宋体" w:cs="宋体"/>
          <w:b/>
          <w:sz w:val="24"/>
        </w:rPr>
      </w:pPr>
      <w:r>
        <w:rPr>
          <w:rFonts w:hint="eastAsia" w:ascii="宋体" w:hAnsi="宋体" w:cs="宋体"/>
          <w:b/>
          <w:sz w:val="24"/>
        </w:rPr>
        <w:t>要求：</w:t>
      </w:r>
    </w:p>
    <w:p w14:paraId="7AA10415">
      <w:pPr>
        <w:adjustRightInd w:val="0"/>
        <w:snapToGrid w:val="0"/>
        <w:spacing w:line="360" w:lineRule="auto"/>
        <w:ind w:firstLine="561"/>
        <w:rPr>
          <w:rFonts w:ascii="宋体" w:hAnsi="宋体" w:cs="宋体"/>
          <w:bCs/>
          <w:sz w:val="24"/>
        </w:rPr>
      </w:pPr>
      <w:r>
        <w:rPr>
          <w:rFonts w:hint="eastAsia" w:ascii="宋体" w:hAnsi="宋体" w:cs="宋体"/>
          <w:bCs/>
          <w:sz w:val="24"/>
        </w:rPr>
        <w:t>1、以上内容供应商不得自行删减。</w:t>
      </w:r>
    </w:p>
    <w:p w14:paraId="2BF6E1CD">
      <w:pPr>
        <w:adjustRightInd w:val="0"/>
        <w:snapToGrid w:val="0"/>
        <w:spacing w:line="360" w:lineRule="auto"/>
        <w:ind w:firstLine="561"/>
        <w:rPr>
          <w:rFonts w:ascii="宋体" w:hAnsi="宋体" w:cs="宋体"/>
          <w:bCs/>
          <w:sz w:val="24"/>
        </w:rPr>
      </w:pPr>
      <w:r>
        <w:rPr>
          <w:rFonts w:hint="eastAsia" w:ascii="宋体" w:hAnsi="宋体" w:cs="宋体"/>
          <w:bCs/>
          <w:sz w:val="24"/>
        </w:rPr>
        <w:t>2、响应总价必须与“报价明细表”当中的“总价”保持一致。</w:t>
      </w:r>
    </w:p>
    <w:p w14:paraId="1047A78A">
      <w:pPr>
        <w:adjustRightInd w:val="0"/>
        <w:snapToGrid w:val="0"/>
        <w:spacing w:line="360" w:lineRule="auto"/>
        <w:ind w:firstLine="561"/>
        <w:rPr>
          <w:rFonts w:ascii="宋体" w:hAnsi="宋体" w:cs="宋体"/>
          <w:b/>
          <w:sz w:val="24"/>
        </w:rPr>
      </w:pPr>
      <w:r>
        <w:rPr>
          <w:rFonts w:hint="eastAsia" w:ascii="宋体" w:hAnsi="宋体" w:cs="宋体"/>
          <w:bCs/>
          <w:sz w:val="24"/>
        </w:rPr>
        <w:t>3、本表格需按照以上要求填写，否则自行承担不利于评审结果的风险。</w:t>
      </w:r>
    </w:p>
    <w:p w14:paraId="6B01CA1E">
      <w:pPr>
        <w:adjustRightInd w:val="0"/>
        <w:snapToGrid w:val="0"/>
        <w:spacing w:line="360" w:lineRule="auto"/>
        <w:rPr>
          <w:rFonts w:ascii="宋体" w:hAnsi="宋体" w:cs="宋体"/>
          <w:b/>
          <w:sz w:val="24"/>
        </w:rPr>
      </w:pPr>
    </w:p>
    <w:p w14:paraId="270C4084">
      <w:pPr>
        <w:spacing w:line="360" w:lineRule="auto"/>
        <w:rPr>
          <w:rFonts w:ascii="宋体" w:hAnsi="宋体" w:cs="宋体"/>
          <w:b/>
          <w:sz w:val="24"/>
        </w:rPr>
      </w:pPr>
      <w:r>
        <w:rPr>
          <w:rFonts w:hint="eastAsia" w:ascii="宋体" w:hAnsi="宋体" w:cs="宋体"/>
          <w:b/>
          <w:sz w:val="24"/>
        </w:rPr>
        <w:br w:type="page"/>
      </w:r>
    </w:p>
    <w:p w14:paraId="0C64EC0F">
      <w:pPr>
        <w:pStyle w:val="3"/>
        <w:bidi w:val="0"/>
      </w:pPr>
      <w:r>
        <w:rPr>
          <w:rFonts w:hint="eastAsia"/>
        </w:rPr>
        <w:t>格式</w:t>
      </w:r>
      <w:r>
        <w:rPr>
          <w:rFonts w:hint="eastAsia"/>
          <w:lang w:val="en-US" w:eastAsia="zh-CN"/>
        </w:rPr>
        <w:t>3：</w:t>
      </w:r>
      <w:r>
        <w:rPr>
          <w:rFonts w:hint="eastAsia"/>
        </w:rPr>
        <w:t>技术响应偏离表</w:t>
      </w:r>
      <w:bookmarkStart w:id="92" w:name="_Toc246826158"/>
      <w:bookmarkStart w:id="93" w:name="_Toc246825850"/>
    </w:p>
    <w:p w14:paraId="0D3E1992">
      <w:pPr>
        <w:jc w:val="left"/>
        <w:rPr>
          <w:rFonts w:hint="eastAsia" w:ascii="宋体" w:hAnsi="宋体" w:eastAsia="宋体" w:cs="宋体"/>
          <w:sz w:val="24"/>
          <w:szCs w:val="24"/>
        </w:rPr>
      </w:pPr>
    </w:p>
    <w:p w14:paraId="5ED6E3A2">
      <w:pPr>
        <w:jc w:val="left"/>
        <w:rPr>
          <w:rFonts w:hint="eastAsia" w:ascii="宋体" w:hAnsi="宋体" w:eastAsia="宋体" w:cs="宋体"/>
          <w:sz w:val="24"/>
          <w:szCs w:val="24"/>
        </w:rPr>
      </w:pPr>
      <w:r>
        <w:rPr>
          <w:rFonts w:hint="eastAsia" w:ascii="宋体" w:hAnsi="宋体" w:eastAsia="宋体" w:cs="宋体"/>
          <w:sz w:val="24"/>
          <w:szCs w:val="24"/>
        </w:rPr>
        <w:t>项目名称:</w:t>
      </w:r>
    </w:p>
    <w:p w14:paraId="6EBAF381">
      <w:pPr>
        <w:jc w:val="left"/>
        <w:rPr>
          <w:rFonts w:hint="eastAsia" w:ascii="宋体" w:hAnsi="宋体" w:eastAsia="宋体" w:cs="宋体"/>
          <w:sz w:val="24"/>
          <w:szCs w:val="24"/>
        </w:rPr>
      </w:pPr>
      <w:r>
        <w:rPr>
          <w:rFonts w:hint="eastAsia" w:ascii="宋体" w:hAnsi="宋体" w:eastAsia="宋体" w:cs="宋体"/>
          <w:sz w:val="24"/>
          <w:szCs w:val="24"/>
        </w:rPr>
        <w:t>项目编号（包号，如有）：</w:t>
      </w:r>
      <w:bookmarkEnd w:id="92"/>
      <w:bookmarkEnd w:id="93"/>
    </w:p>
    <w:tbl>
      <w:tblPr>
        <w:tblStyle w:val="13"/>
        <w:tblW w:w="0" w:type="auto"/>
        <w:tblInd w:w="93" w:type="dxa"/>
        <w:tblLayout w:type="autofit"/>
        <w:tblCellMar>
          <w:top w:w="0" w:type="dxa"/>
          <w:left w:w="108" w:type="dxa"/>
          <w:bottom w:w="0" w:type="dxa"/>
          <w:right w:w="108" w:type="dxa"/>
        </w:tblCellMar>
      </w:tblPr>
      <w:tblGrid>
        <w:gridCol w:w="651"/>
        <w:gridCol w:w="651"/>
        <w:gridCol w:w="2704"/>
        <w:gridCol w:w="2900"/>
        <w:gridCol w:w="1523"/>
      </w:tblGrid>
      <w:tr w14:paraId="5E26691C">
        <w:tblPrEx>
          <w:tblCellMar>
            <w:top w:w="0" w:type="dxa"/>
            <w:left w:w="108" w:type="dxa"/>
            <w:bottom w:w="0" w:type="dxa"/>
            <w:right w:w="108" w:type="dxa"/>
          </w:tblCellMar>
        </w:tblPrEx>
        <w:trPr>
          <w:trHeight w:val="615" w:hRule="atLeast"/>
        </w:trPr>
        <w:tc>
          <w:tcPr>
            <w:tcW w:w="0" w:type="auto"/>
            <w:tcBorders>
              <w:top w:val="single" w:color="auto" w:sz="4" w:space="0"/>
              <w:left w:val="single" w:color="auto" w:sz="4" w:space="0"/>
              <w:bottom w:val="single" w:color="auto" w:sz="4" w:space="0"/>
              <w:right w:val="single" w:color="auto" w:sz="4" w:space="0"/>
            </w:tcBorders>
            <w:vAlign w:val="center"/>
          </w:tcPr>
          <w:p w14:paraId="189ED6D8">
            <w:pPr>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auto" w:sz="4" w:space="0"/>
              <w:left w:val="nil"/>
              <w:bottom w:val="single" w:color="auto" w:sz="4" w:space="0"/>
              <w:right w:val="single" w:color="auto" w:sz="4" w:space="0"/>
            </w:tcBorders>
            <w:vAlign w:val="center"/>
          </w:tcPr>
          <w:p w14:paraId="768DFF58">
            <w:pPr>
              <w:jc w:val="center"/>
              <w:rPr>
                <w:rFonts w:hint="eastAsia" w:ascii="宋体" w:hAnsi="宋体" w:eastAsia="宋体" w:cs="宋体"/>
                <w:sz w:val="24"/>
                <w:szCs w:val="24"/>
              </w:rPr>
            </w:pPr>
            <w:r>
              <w:rPr>
                <w:rFonts w:hint="eastAsia" w:ascii="宋体" w:hAnsi="宋体" w:eastAsia="宋体" w:cs="宋体"/>
                <w:sz w:val="24"/>
                <w:szCs w:val="24"/>
              </w:rPr>
              <w:t>2</w:t>
            </w:r>
          </w:p>
        </w:tc>
        <w:tc>
          <w:tcPr>
            <w:tcW w:w="0" w:type="auto"/>
            <w:tcBorders>
              <w:top w:val="single" w:color="auto" w:sz="4" w:space="0"/>
              <w:left w:val="nil"/>
              <w:bottom w:val="single" w:color="auto" w:sz="4" w:space="0"/>
              <w:right w:val="single" w:color="auto" w:sz="4" w:space="0"/>
            </w:tcBorders>
            <w:vAlign w:val="center"/>
          </w:tcPr>
          <w:p w14:paraId="47112731">
            <w:pPr>
              <w:jc w:val="center"/>
              <w:rPr>
                <w:rFonts w:hint="eastAsia" w:ascii="宋体" w:hAnsi="宋体" w:eastAsia="宋体" w:cs="宋体"/>
                <w:sz w:val="24"/>
                <w:szCs w:val="24"/>
              </w:rPr>
            </w:pPr>
            <w:r>
              <w:rPr>
                <w:rFonts w:hint="eastAsia" w:ascii="宋体" w:hAnsi="宋体" w:eastAsia="宋体" w:cs="宋体"/>
                <w:sz w:val="24"/>
                <w:szCs w:val="24"/>
              </w:rPr>
              <w:t>3</w:t>
            </w:r>
          </w:p>
        </w:tc>
        <w:tc>
          <w:tcPr>
            <w:tcW w:w="0" w:type="auto"/>
            <w:tcBorders>
              <w:top w:val="single" w:color="auto" w:sz="4" w:space="0"/>
              <w:left w:val="nil"/>
              <w:bottom w:val="single" w:color="auto" w:sz="4" w:space="0"/>
              <w:right w:val="single" w:color="auto" w:sz="4" w:space="0"/>
            </w:tcBorders>
            <w:vAlign w:val="center"/>
          </w:tcPr>
          <w:p w14:paraId="55521676">
            <w:pPr>
              <w:jc w:val="center"/>
              <w:rPr>
                <w:rFonts w:hint="eastAsia" w:ascii="宋体" w:hAnsi="宋体" w:eastAsia="宋体" w:cs="宋体"/>
                <w:sz w:val="24"/>
                <w:szCs w:val="24"/>
              </w:rPr>
            </w:pPr>
            <w:r>
              <w:rPr>
                <w:rFonts w:hint="eastAsia" w:ascii="宋体" w:hAnsi="宋体" w:eastAsia="宋体" w:cs="宋体"/>
                <w:sz w:val="24"/>
                <w:szCs w:val="24"/>
              </w:rPr>
              <w:t>4</w:t>
            </w:r>
          </w:p>
        </w:tc>
        <w:tc>
          <w:tcPr>
            <w:tcW w:w="0" w:type="auto"/>
            <w:tcBorders>
              <w:top w:val="single" w:color="auto" w:sz="4" w:space="0"/>
              <w:left w:val="nil"/>
              <w:bottom w:val="single" w:color="auto" w:sz="4" w:space="0"/>
              <w:right w:val="single" w:color="auto" w:sz="4" w:space="0"/>
            </w:tcBorders>
            <w:vAlign w:val="center"/>
          </w:tcPr>
          <w:p w14:paraId="1F33B39F">
            <w:pPr>
              <w:jc w:val="center"/>
              <w:rPr>
                <w:rFonts w:hint="eastAsia" w:ascii="宋体" w:hAnsi="宋体" w:eastAsia="宋体" w:cs="宋体"/>
                <w:sz w:val="24"/>
                <w:szCs w:val="24"/>
              </w:rPr>
            </w:pPr>
            <w:r>
              <w:rPr>
                <w:rFonts w:hint="eastAsia" w:ascii="宋体" w:hAnsi="宋体" w:eastAsia="宋体" w:cs="宋体"/>
                <w:sz w:val="24"/>
                <w:szCs w:val="24"/>
              </w:rPr>
              <w:t>5</w:t>
            </w:r>
          </w:p>
        </w:tc>
      </w:tr>
      <w:tr w14:paraId="654520EC">
        <w:tblPrEx>
          <w:tblCellMar>
            <w:top w:w="0" w:type="dxa"/>
            <w:left w:w="108" w:type="dxa"/>
            <w:bottom w:w="0" w:type="dxa"/>
            <w:right w:w="108" w:type="dxa"/>
          </w:tblCellMar>
        </w:tblPrEx>
        <w:trPr>
          <w:trHeight w:val="615" w:hRule="atLeast"/>
        </w:trPr>
        <w:tc>
          <w:tcPr>
            <w:tcW w:w="0" w:type="auto"/>
            <w:tcBorders>
              <w:top w:val="single" w:color="auto" w:sz="4" w:space="0"/>
              <w:left w:val="single" w:color="auto" w:sz="4" w:space="0"/>
              <w:bottom w:val="single" w:color="auto" w:sz="4" w:space="0"/>
              <w:right w:val="single" w:color="auto" w:sz="4" w:space="0"/>
            </w:tcBorders>
            <w:vAlign w:val="center"/>
          </w:tcPr>
          <w:p w14:paraId="06074792">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0" w:type="auto"/>
            <w:tcBorders>
              <w:top w:val="single" w:color="auto" w:sz="4" w:space="0"/>
              <w:left w:val="nil"/>
              <w:bottom w:val="single" w:color="auto" w:sz="4" w:space="0"/>
              <w:right w:val="single" w:color="auto" w:sz="4" w:space="0"/>
            </w:tcBorders>
            <w:vAlign w:val="center"/>
          </w:tcPr>
          <w:p w14:paraId="6444AF98">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0" w:type="auto"/>
            <w:tcBorders>
              <w:top w:val="single" w:color="auto" w:sz="4" w:space="0"/>
              <w:left w:val="nil"/>
              <w:bottom w:val="single" w:color="auto" w:sz="4" w:space="0"/>
              <w:right w:val="single" w:color="auto" w:sz="4" w:space="0"/>
            </w:tcBorders>
            <w:vAlign w:val="center"/>
          </w:tcPr>
          <w:p w14:paraId="5F870E64">
            <w:pPr>
              <w:jc w:val="center"/>
              <w:rPr>
                <w:rFonts w:hint="eastAsia" w:ascii="宋体" w:hAnsi="宋体" w:eastAsia="宋体" w:cs="宋体"/>
                <w:sz w:val="24"/>
                <w:szCs w:val="24"/>
              </w:rPr>
            </w:pPr>
            <w:r>
              <w:rPr>
                <w:rFonts w:hint="eastAsia" w:ascii="宋体" w:hAnsi="宋体" w:eastAsia="宋体" w:cs="宋体"/>
                <w:sz w:val="24"/>
                <w:szCs w:val="24"/>
              </w:rPr>
              <w:t>采购文件技术参数/服务要求</w:t>
            </w:r>
          </w:p>
        </w:tc>
        <w:tc>
          <w:tcPr>
            <w:tcW w:w="0" w:type="auto"/>
            <w:tcBorders>
              <w:top w:val="single" w:color="auto" w:sz="4" w:space="0"/>
              <w:left w:val="nil"/>
              <w:bottom w:val="single" w:color="auto" w:sz="4" w:space="0"/>
              <w:right w:val="single" w:color="auto" w:sz="4" w:space="0"/>
            </w:tcBorders>
            <w:vAlign w:val="center"/>
          </w:tcPr>
          <w:p w14:paraId="111BE97B">
            <w:pPr>
              <w:jc w:val="center"/>
              <w:rPr>
                <w:rFonts w:hint="eastAsia" w:ascii="宋体" w:hAnsi="宋体" w:eastAsia="宋体" w:cs="宋体"/>
                <w:sz w:val="24"/>
                <w:szCs w:val="24"/>
              </w:rPr>
            </w:pPr>
            <w:r>
              <w:rPr>
                <w:rFonts w:hint="eastAsia" w:ascii="宋体" w:hAnsi="宋体" w:eastAsia="宋体" w:cs="宋体"/>
                <w:sz w:val="24"/>
                <w:szCs w:val="24"/>
              </w:rPr>
              <w:t>供应商响应技术参数/服务内容</w:t>
            </w:r>
          </w:p>
        </w:tc>
        <w:tc>
          <w:tcPr>
            <w:tcW w:w="0" w:type="auto"/>
            <w:tcBorders>
              <w:top w:val="single" w:color="auto" w:sz="4" w:space="0"/>
              <w:left w:val="nil"/>
              <w:bottom w:val="single" w:color="auto" w:sz="4" w:space="0"/>
              <w:right w:val="single" w:color="auto" w:sz="4" w:space="0"/>
            </w:tcBorders>
            <w:vAlign w:val="center"/>
          </w:tcPr>
          <w:p w14:paraId="73D69EB2">
            <w:pPr>
              <w:jc w:val="center"/>
              <w:rPr>
                <w:rFonts w:hint="eastAsia" w:ascii="宋体" w:hAnsi="宋体" w:eastAsia="宋体" w:cs="宋体"/>
                <w:sz w:val="24"/>
                <w:szCs w:val="24"/>
              </w:rPr>
            </w:pPr>
            <w:r>
              <w:rPr>
                <w:rFonts w:hint="eastAsia" w:ascii="宋体" w:hAnsi="宋体" w:eastAsia="宋体" w:cs="宋体"/>
                <w:sz w:val="24"/>
                <w:szCs w:val="24"/>
              </w:rPr>
              <w:t>偏离情况说明</w:t>
            </w:r>
          </w:p>
          <w:p w14:paraId="05075ADB">
            <w:pPr>
              <w:jc w:val="center"/>
              <w:rPr>
                <w:rFonts w:hint="eastAsia" w:ascii="宋体" w:hAnsi="宋体" w:eastAsia="宋体" w:cs="宋体"/>
                <w:sz w:val="24"/>
                <w:szCs w:val="24"/>
              </w:rPr>
            </w:pPr>
            <w:r>
              <w:rPr>
                <w:rFonts w:hint="eastAsia" w:ascii="宋体" w:hAnsi="宋体" w:eastAsia="宋体" w:cs="宋体"/>
                <w:sz w:val="24"/>
                <w:szCs w:val="24"/>
              </w:rPr>
              <w:t>（＋/-/=）</w:t>
            </w:r>
          </w:p>
        </w:tc>
      </w:tr>
      <w:tr w14:paraId="4124482F">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tcPr>
          <w:p w14:paraId="30BA9290">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092801F8">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7778DF49">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2172C192">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7DF0D844">
            <w:pPr>
              <w:jc w:val="center"/>
              <w:rPr>
                <w:rFonts w:hint="eastAsia" w:ascii="宋体" w:hAnsi="宋体" w:eastAsia="宋体" w:cs="宋体"/>
                <w:sz w:val="24"/>
                <w:szCs w:val="24"/>
              </w:rPr>
            </w:pPr>
          </w:p>
        </w:tc>
      </w:tr>
      <w:tr w14:paraId="4E2CCC83">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tcPr>
          <w:p w14:paraId="0C52668C">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12D8C2FF">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6BBA2656">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0A1E97BA">
            <w:pPr>
              <w:jc w:val="center"/>
              <w:rPr>
                <w:rFonts w:hint="eastAsia" w:ascii="宋体" w:hAnsi="宋体" w:eastAsia="宋体" w:cs="宋体"/>
                <w:sz w:val="24"/>
                <w:szCs w:val="24"/>
              </w:rPr>
            </w:pPr>
          </w:p>
        </w:tc>
        <w:tc>
          <w:tcPr>
            <w:tcW w:w="0" w:type="auto"/>
            <w:tcBorders>
              <w:top w:val="nil"/>
              <w:left w:val="nil"/>
              <w:bottom w:val="single" w:color="auto" w:sz="4" w:space="0"/>
              <w:right w:val="single" w:color="auto" w:sz="4" w:space="0"/>
            </w:tcBorders>
          </w:tcPr>
          <w:p w14:paraId="4BA27105">
            <w:pPr>
              <w:jc w:val="center"/>
              <w:rPr>
                <w:rFonts w:hint="eastAsia" w:ascii="宋体" w:hAnsi="宋体" w:eastAsia="宋体" w:cs="宋体"/>
                <w:sz w:val="24"/>
                <w:szCs w:val="24"/>
              </w:rPr>
            </w:pPr>
          </w:p>
        </w:tc>
      </w:tr>
      <w:tr w14:paraId="36143BE7">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tcPr>
          <w:p w14:paraId="4B98C956">
            <w:pPr>
              <w:jc w:val="center"/>
              <w:rPr>
                <w:rFonts w:hint="eastAsia"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tcPr>
          <w:p w14:paraId="7954117F">
            <w:pPr>
              <w:jc w:val="center"/>
              <w:rPr>
                <w:rFonts w:hint="eastAsia"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tcPr>
          <w:p w14:paraId="1672C19E">
            <w:pPr>
              <w:jc w:val="center"/>
              <w:rPr>
                <w:rFonts w:hint="eastAsia"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tcPr>
          <w:p w14:paraId="5EF77FC7">
            <w:pPr>
              <w:jc w:val="center"/>
              <w:rPr>
                <w:rFonts w:hint="eastAsia" w:ascii="宋体" w:hAnsi="宋体" w:eastAsia="宋体" w:cs="宋体"/>
                <w:sz w:val="24"/>
                <w:szCs w:val="24"/>
              </w:rPr>
            </w:pPr>
          </w:p>
        </w:tc>
        <w:tc>
          <w:tcPr>
            <w:tcW w:w="0" w:type="auto"/>
            <w:tcBorders>
              <w:top w:val="single" w:color="auto" w:sz="4" w:space="0"/>
              <w:left w:val="nil"/>
              <w:bottom w:val="single" w:color="auto" w:sz="4" w:space="0"/>
              <w:right w:val="single" w:color="auto" w:sz="4" w:space="0"/>
            </w:tcBorders>
          </w:tcPr>
          <w:p w14:paraId="093B86EB">
            <w:pPr>
              <w:jc w:val="center"/>
              <w:rPr>
                <w:rFonts w:hint="eastAsia" w:ascii="宋体" w:hAnsi="宋体" w:eastAsia="宋体" w:cs="宋体"/>
                <w:sz w:val="24"/>
                <w:szCs w:val="24"/>
              </w:rPr>
            </w:pPr>
          </w:p>
        </w:tc>
      </w:tr>
    </w:tbl>
    <w:p w14:paraId="530DCC39">
      <w:pPr>
        <w:spacing w:line="360" w:lineRule="auto"/>
        <w:rPr>
          <w:rFonts w:hint="eastAsia" w:ascii="宋体" w:hAnsi="宋体" w:eastAsia="宋体" w:cs="宋体"/>
          <w:sz w:val="24"/>
          <w:szCs w:val="24"/>
        </w:rPr>
      </w:pPr>
      <w:r>
        <w:rPr>
          <w:rFonts w:hint="eastAsia" w:ascii="宋体" w:hAnsi="宋体" w:eastAsia="宋体" w:cs="宋体"/>
          <w:sz w:val="24"/>
          <w:szCs w:val="24"/>
        </w:rPr>
        <w:t>要求：</w:t>
      </w:r>
    </w:p>
    <w:p w14:paraId="007A0AE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1、此表为表样，供应商必须把采购项目的全部技术参数列入此表，并对技术参数进行逐一应答，行数可自行添加，但表式不变。</w:t>
      </w:r>
    </w:p>
    <w:p w14:paraId="319B96B8">
      <w:pPr>
        <w:spacing w:line="360" w:lineRule="auto"/>
        <w:rPr>
          <w:rFonts w:hint="eastAsia" w:ascii="宋体" w:hAnsi="宋体" w:eastAsia="宋体" w:cs="宋体"/>
          <w:sz w:val="24"/>
          <w:szCs w:val="24"/>
        </w:rPr>
      </w:pPr>
      <w:r>
        <w:rPr>
          <w:rFonts w:hint="eastAsia" w:ascii="宋体" w:hAnsi="宋体" w:eastAsia="宋体" w:cs="宋体"/>
          <w:sz w:val="24"/>
          <w:szCs w:val="24"/>
        </w:rPr>
        <w:t>2、按照采购项目技术参数要求的顺序对应填写“技术响应情况表”；</w:t>
      </w:r>
      <w:r>
        <w:rPr>
          <w:rFonts w:hint="eastAsia" w:ascii="宋体" w:hAnsi="宋体" w:eastAsia="宋体" w:cs="宋体"/>
          <w:sz w:val="24"/>
          <w:szCs w:val="24"/>
        </w:rPr>
        <w:tab/>
      </w:r>
    </w:p>
    <w:p w14:paraId="118DA116">
      <w:pPr>
        <w:spacing w:line="360" w:lineRule="auto"/>
        <w:rPr>
          <w:rFonts w:hint="eastAsia" w:ascii="宋体" w:hAnsi="宋体" w:eastAsia="宋体" w:cs="宋体"/>
          <w:sz w:val="24"/>
          <w:szCs w:val="24"/>
        </w:rPr>
      </w:pPr>
      <w:r>
        <w:rPr>
          <w:rFonts w:hint="eastAsia" w:ascii="宋体" w:hAnsi="宋体" w:eastAsia="宋体" w:cs="宋体"/>
          <w:sz w:val="24"/>
          <w:szCs w:val="24"/>
        </w:rPr>
        <w:t>3、请在“供应商技术规范描述” 中列出所投货物的详细技术参数情况；</w:t>
      </w:r>
    </w:p>
    <w:p w14:paraId="101555E9">
      <w:pPr>
        <w:spacing w:line="360" w:lineRule="auto"/>
        <w:rPr>
          <w:rFonts w:hint="eastAsia" w:ascii="宋体" w:hAnsi="宋体" w:eastAsia="宋体" w:cs="宋体"/>
          <w:sz w:val="24"/>
          <w:szCs w:val="24"/>
        </w:rPr>
      </w:pPr>
      <w:r>
        <w:rPr>
          <w:rFonts w:hint="eastAsia" w:ascii="宋体" w:hAnsi="宋体" w:eastAsia="宋体" w:cs="宋体"/>
          <w:sz w:val="24"/>
          <w:szCs w:val="24"/>
        </w:rPr>
        <w:t>4、是否偏离用符号“+、=、-”分别表示正偏离、完全响应、负偏离，必须逐次对应响应。评委评审时不能只根据供应商填写的偏离情况说明来判断是否响应，而应认真查阅“响应文件技术参数/功能响应”内容以及相关的技术资料判断是否满足要求；</w:t>
      </w:r>
    </w:p>
    <w:p w14:paraId="040CEC46">
      <w:pPr>
        <w:spacing w:line="360" w:lineRule="auto"/>
        <w:rPr>
          <w:rFonts w:hint="eastAsia" w:ascii="宋体" w:hAnsi="宋体" w:eastAsia="宋体" w:cs="宋体"/>
          <w:sz w:val="24"/>
          <w:szCs w:val="24"/>
        </w:rPr>
      </w:pPr>
      <w:r>
        <w:rPr>
          <w:rFonts w:hint="eastAsia" w:ascii="宋体" w:hAnsi="宋体" w:eastAsia="宋体" w:cs="宋体"/>
          <w:sz w:val="24"/>
          <w:szCs w:val="24"/>
        </w:rPr>
        <w:t>5、供应商必须据实填写，不得虚假填写，否则将取消其响应或成交资格。</w:t>
      </w:r>
    </w:p>
    <w:p w14:paraId="4454C5C2">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22687591">
      <w:pPr>
        <w:pStyle w:val="3"/>
        <w:bidi w:val="0"/>
      </w:pPr>
      <w:r>
        <w:rPr>
          <w:rFonts w:hint="eastAsia"/>
        </w:rPr>
        <w:t>格式4：法定代表人授权委托书</w:t>
      </w:r>
    </w:p>
    <w:p w14:paraId="3EC9B646">
      <w:pPr>
        <w:adjustRightInd w:val="0"/>
        <w:snapToGrid w:val="0"/>
        <w:spacing w:line="360" w:lineRule="auto"/>
        <w:rPr>
          <w:rFonts w:ascii="宋体" w:hAnsi="宋体" w:cs="宋体"/>
          <w:bCs/>
          <w:sz w:val="24"/>
        </w:rPr>
      </w:pPr>
    </w:p>
    <w:p w14:paraId="35C5556E">
      <w:pPr>
        <w:adjustRightInd w:val="0"/>
        <w:snapToGrid w:val="0"/>
        <w:spacing w:line="360" w:lineRule="auto"/>
        <w:rPr>
          <w:rFonts w:ascii="宋体" w:hAnsi="宋体" w:cs="宋体"/>
          <w:bCs/>
          <w:sz w:val="24"/>
        </w:rPr>
      </w:pPr>
      <w:r>
        <w:rPr>
          <w:rFonts w:hint="eastAsia" w:ascii="宋体" w:hAnsi="宋体" w:cs="宋体"/>
          <w:sz w:val="24"/>
          <w:lang w:val="en-GB"/>
        </w:rPr>
        <w:t>海南卫生健康职业学院</w:t>
      </w:r>
      <w:r>
        <w:rPr>
          <w:rFonts w:hint="eastAsia" w:ascii="宋体" w:hAnsi="宋体" w:cs="宋体"/>
          <w:bCs/>
          <w:sz w:val="24"/>
        </w:rPr>
        <w:t>：</w:t>
      </w:r>
    </w:p>
    <w:p w14:paraId="12CFFF8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本人</w:t>
      </w:r>
      <w:r>
        <w:rPr>
          <w:rFonts w:hint="eastAsia" w:ascii="宋体" w:hAnsi="宋体" w:cs="宋体"/>
          <w:bCs/>
          <w:sz w:val="24"/>
          <w:u w:val="single"/>
        </w:rPr>
        <w:t xml:space="preserve">            </w:t>
      </w:r>
      <w:r>
        <w:rPr>
          <w:rFonts w:hint="eastAsia" w:ascii="宋体" w:hAnsi="宋体" w:cs="宋体"/>
          <w:bCs/>
          <w:sz w:val="24"/>
        </w:rPr>
        <w:t>（姓名）系</w:t>
      </w:r>
      <w:r>
        <w:rPr>
          <w:rFonts w:hint="eastAsia" w:ascii="宋体" w:hAnsi="宋体" w:cs="宋体"/>
          <w:bCs/>
          <w:sz w:val="24"/>
          <w:u w:val="single"/>
        </w:rPr>
        <w:t xml:space="preserve">                        </w:t>
      </w:r>
      <w:r>
        <w:rPr>
          <w:rFonts w:hint="eastAsia" w:ascii="宋体" w:hAnsi="宋体" w:cs="宋体"/>
          <w:bCs/>
          <w:sz w:val="24"/>
        </w:rPr>
        <w:t>（供应商名称）的法定代表人，现委托</w:t>
      </w:r>
      <w:r>
        <w:rPr>
          <w:rFonts w:hint="eastAsia" w:ascii="宋体" w:hAnsi="宋体" w:cs="宋体"/>
          <w:bCs/>
          <w:sz w:val="24"/>
          <w:u w:val="single"/>
        </w:rPr>
        <w:t xml:space="preserve">              </w:t>
      </w:r>
      <w:r>
        <w:rPr>
          <w:rFonts w:hint="eastAsia" w:ascii="宋体" w:hAnsi="宋体" w:cs="宋体"/>
          <w:bCs/>
          <w:sz w:val="24"/>
        </w:rPr>
        <w:t>（姓名）为我方代理人。代理人根据授权，以我方名义签署、澄清、说明、补正、递交、撤回、修改</w:t>
      </w:r>
      <w:r>
        <w:rPr>
          <w:rFonts w:hint="eastAsia" w:ascii="宋体" w:hAnsi="宋体" w:cs="宋体"/>
          <w:bCs/>
          <w:sz w:val="24"/>
          <w:u w:val="single"/>
        </w:rPr>
        <w:t xml:space="preserve">                 </w:t>
      </w:r>
      <w:r>
        <w:rPr>
          <w:rFonts w:hint="eastAsia" w:ascii="宋体" w:hAnsi="宋体" w:cs="宋体"/>
          <w:bCs/>
          <w:sz w:val="24"/>
        </w:rPr>
        <w:t xml:space="preserve"> (项目名称) 项目（项目编号（包号，如有）：</w:t>
      </w:r>
      <w:r>
        <w:rPr>
          <w:rFonts w:hint="eastAsia" w:ascii="宋体" w:hAnsi="宋体" w:cs="宋体"/>
          <w:bCs/>
          <w:sz w:val="24"/>
          <w:u w:val="single"/>
        </w:rPr>
        <w:t xml:space="preserve">              </w:t>
      </w:r>
      <w:r>
        <w:rPr>
          <w:rFonts w:hint="eastAsia" w:ascii="宋体" w:hAnsi="宋体" w:cs="宋体"/>
          <w:bCs/>
          <w:sz w:val="24"/>
        </w:rPr>
        <w:t>）响应文件、签订合同和处理有关事宜，其法律后果由我方承担。代理人无转委托权。</w:t>
      </w:r>
    </w:p>
    <w:p w14:paraId="0B5B98F5">
      <w:pPr>
        <w:adjustRightInd w:val="0"/>
        <w:snapToGrid w:val="0"/>
        <w:spacing w:line="360" w:lineRule="auto"/>
        <w:ind w:firstLine="561"/>
        <w:rPr>
          <w:rFonts w:ascii="宋体" w:hAnsi="宋体" w:cs="宋体"/>
          <w:bCs/>
          <w:sz w:val="24"/>
        </w:rPr>
      </w:pPr>
      <w:r>
        <w:rPr>
          <w:rFonts w:hint="eastAsia" w:ascii="宋体" w:hAnsi="宋体" w:cs="宋体"/>
          <w:bCs/>
          <w:sz w:val="24"/>
        </w:rPr>
        <w:t>委托期限：</w:t>
      </w:r>
      <w:r>
        <w:rPr>
          <w:rFonts w:hint="eastAsia" w:ascii="宋体" w:hAnsi="宋体" w:cs="宋体"/>
          <w:bCs/>
          <w:sz w:val="24"/>
          <w:u w:val="single"/>
        </w:rPr>
        <w:t xml:space="preserve">                    </w:t>
      </w:r>
      <w:r>
        <w:rPr>
          <w:rFonts w:hint="eastAsia" w:ascii="宋体" w:hAnsi="宋体" w:cs="宋体"/>
          <w:bCs/>
          <w:sz w:val="24"/>
        </w:rPr>
        <w:t>。</w:t>
      </w:r>
    </w:p>
    <w:p w14:paraId="1803ABCA">
      <w:pPr>
        <w:adjustRightInd w:val="0"/>
        <w:snapToGrid w:val="0"/>
        <w:spacing w:line="360" w:lineRule="auto"/>
        <w:ind w:firstLine="561"/>
        <w:rPr>
          <w:rFonts w:ascii="宋体" w:hAnsi="宋体" w:cs="宋体"/>
          <w:bCs/>
          <w:sz w:val="24"/>
        </w:rPr>
      </w:pPr>
      <w:r>
        <w:rPr>
          <w:rFonts w:hint="eastAsia" w:ascii="宋体" w:hAnsi="宋体" w:cs="宋体"/>
          <w:bCs/>
          <w:sz w:val="24"/>
        </w:rPr>
        <w:t xml:space="preserve"> </w:t>
      </w:r>
    </w:p>
    <w:p w14:paraId="6697ED19">
      <w:pPr>
        <w:adjustRightInd w:val="0"/>
        <w:snapToGrid w:val="0"/>
        <w:spacing w:line="360" w:lineRule="auto"/>
        <w:rPr>
          <w:rFonts w:ascii="宋体" w:hAnsi="宋体" w:cs="宋体"/>
          <w:bCs/>
          <w:sz w:val="24"/>
        </w:rPr>
      </w:pPr>
    </w:p>
    <w:p w14:paraId="6BBF0157">
      <w:pPr>
        <w:jc w:val="center"/>
        <w:rPr>
          <w:sz w:val="24"/>
          <w:szCs w:val="24"/>
        </w:rPr>
      </w:pPr>
      <w:bookmarkStart w:id="94" w:name="OLE_LINK30"/>
      <w:r>
        <w:rPr>
          <w:rFonts w:hint="eastAsia"/>
          <w:sz w:val="24"/>
          <w:szCs w:val="24"/>
        </w:rPr>
        <w:t>法定代表人</w:t>
      </w:r>
      <w:bookmarkEnd w:id="94"/>
      <w:r>
        <w:rPr>
          <w:rFonts w:hint="eastAsia"/>
          <w:sz w:val="24"/>
          <w:szCs w:val="24"/>
        </w:rPr>
        <w:t>（签字或盖章）：</w:t>
      </w:r>
    </w:p>
    <w:p w14:paraId="78F5C818">
      <w:pPr>
        <w:jc w:val="center"/>
        <w:rPr>
          <w:sz w:val="24"/>
          <w:szCs w:val="24"/>
        </w:rPr>
      </w:pPr>
    </w:p>
    <w:p w14:paraId="34D21C93">
      <w:pPr>
        <w:jc w:val="center"/>
        <w:rPr>
          <w:sz w:val="24"/>
          <w:szCs w:val="24"/>
        </w:rPr>
      </w:pPr>
      <w:r>
        <w:rPr>
          <w:rFonts w:hint="eastAsia"/>
          <w:sz w:val="24"/>
          <w:szCs w:val="24"/>
        </w:rPr>
        <w:t>委托代理人（签字或盖章）：</w:t>
      </w:r>
    </w:p>
    <w:p w14:paraId="7DE25A86">
      <w:pPr>
        <w:jc w:val="center"/>
        <w:rPr>
          <w:sz w:val="24"/>
          <w:szCs w:val="24"/>
        </w:rPr>
      </w:pPr>
    </w:p>
    <w:p w14:paraId="5D5FD82E">
      <w:pPr>
        <w:jc w:val="center"/>
        <w:rPr>
          <w:sz w:val="24"/>
          <w:szCs w:val="24"/>
        </w:rPr>
      </w:pPr>
      <w:r>
        <w:rPr>
          <w:rFonts w:hint="eastAsia"/>
          <w:sz w:val="24"/>
          <w:szCs w:val="24"/>
        </w:rPr>
        <w:t>委托代理人</w:t>
      </w:r>
      <w:bookmarkStart w:id="95" w:name="OLE_LINK31"/>
      <w:r>
        <w:rPr>
          <w:rFonts w:hint="eastAsia"/>
          <w:sz w:val="24"/>
          <w:szCs w:val="24"/>
        </w:rPr>
        <w:t>联系方式（手机）</w:t>
      </w:r>
      <w:bookmarkEnd w:id="95"/>
      <w:r>
        <w:rPr>
          <w:rFonts w:hint="eastAsia"/>
          <w:sz w:val="24"/>
          <w:szCs w:val="24"/>
        </w:rPr>
        <w:t>：</w:t>
      </w:r>
    </w:p>
    <w:p w14:paraId="7EF1D5D1">
      <w:pPr>
        <w:jc w:val="center"/>
        <w:rPr>
          <w:sz w:val="24"/>
          <w:szCs w:val="24"/>
        </w:rPr>
      </w:pPr>
    </w:p>
    <w:p w14:paraId="3F96BB38">
      <w:pPr>
        <w:jc w:val="center"/>
        <w:rPr>
          <w:sz w:val="24"/>
          <w:szCs w:val="24"/>
        </w:rPr>
      </w:pPr>
      <w:r>
        <w:rPr>
          <w:rFonts w:hint="eastAsia"/>
          <w:sz w:val="24"/>
          <w:szCs w:val="24"/>
        </w:rPr>
        <w:t>附：委托代理人身份证复印件</w:t>
      </w:r>
    </w:p>
    <w:p w14:paraId="0100B874">
      <w:pPr>
        <w:jc w:val="center"/>
        <w:rPr>
          <w:sz w:val="24"/>
          <w:szCs w:val="24"/>
        </w:rPr>
      </w:pPr>
    </w:p>
    <w:p w14:paraId="3DF31361">
      <w:pPr>
        <w:jc w:val="center"/>
        <w:rPr>
          <w:sz w:val="24"/>
          <w:szCs w:val="24"/>
        </w:rPr>
      </w:pPr>
      <w:r>
        <w:rPr>
          <w:rFonts w:hint="eastAsia"/>
          <w:sz w:val="24"/>
          <w:szCs w:val="24"/>
        </w:rPr>
        <w:t>供应商：                       （盖单位公章）</w:t>
      </w:r>
    </w:p>
    <w:p w14:paraId="25375411">
      <w:pPr>
        <w:jc w:val="center"/>
        <w:rPr>
          <w:sz w:val="24"/>
          <w:szCs w:val="24"/>
        </w:rPr>
      </w:pPr>
    </w:p>
    <w:p w14:paraId="20EB2E75">
      <w:pPr>
        <w:jc w:val="center"/>
        <w:rPr>
          <w:sz w:val="24"/>
          <w:szCs w:val="24"/>
        </w:rPr>
      </w:pPr>
      <w:r>
        <w:rPr>
          <w:rFonts w:hint="eastAsia"/>
          <w:sz w:val="24"/>
          <w:szCs w:val="24"/>
        </w:rPr>
        <w:t>年       月       日</w:t>
      </w:r>
    </w:p>
    <w:p w14:paraId="506227C5">
      <w:pPr>
        <w:adjustRightInd w:val="0"/>
        <w:snapToGrid w:val="0"/>
        <w:spacing w:line="360" w:lineRule="auto"/>
        <w:ind w:firstLine="561"/>
        <w:rPr>
          <w:rFonts w:ascii="宋体" w:hAnsi="宋体" w:cs="宋体"/>
          <w:bCs/>
          <w:sz w:val="24"/>
        </w:rPr>
      </w:pPr>
    </w:p>
    <w:p w14:paraId="258AE080">
      <w:pPr>
        <w:adjustRightInd w:val="0"/>
        <w:snapToGrid w:val="0"/>
        <w:spacing w:line="360" w:lineRule="auto"/>
        <w:ind w:firstLine="1800" w:firstLineChars="750"/>
        <w:rPr>
          <w:rFonts w:ascii="宋体" w:hAnsi="宋体" w:cs="宋体"/>
          <w:bCs/>
          <w:sz w:val="24"/>
        </w:rPr>
      </w:pPr>
    </w:p>
    <w:p w14:paraId="07948624">
      <w:pPr>
        <w:adjustRightInd w:val="0"/>
        <w:snapToGrid w:val="0"/>
        <w:spacing w:line="360" w:lineRule="auto"/>
        <w:ind w:firstLine="561"/>
        <w:rPr>
          <w:rFonts w:ascii="宋体" w:hAnsi="宋体" w:cs="宋体"/>
          <w:bCs/>
          <w:sz w:val="24"/>
        </w:rPr>
      </w:pPr>
    </w:p>
    <w:p w14:paraId="06D38D66">
      <w:pPr>
        <w:adjustRightInd w:val="0"/>
        <w:snapToGrid w:val="0"/>
        <w:spacing w:line="360" w:lineRule="auto"/>
        <w:ind w:firstLine="1800" w:firstLineChars="750"/>
        <w:rPr>
          <w:rFonts w:ascii="宋体" w:hAnsi="宋体" w:cs="宋体"/>
          <w:bCs/>
          <w:sz w:val="24"/>
        </w:rPr>
      </w:pPr>
    </w:p>
    <w:p w14:paraId="466BCBC2">
      <w:pPr>
        <w:adjustRightInd w:val="0"/>
        <w:snapToGrid w:val="0"/>
        <w:spacing w:line="360" w:lineRule="auto"/>
        <w:ind w:firstLine="561"/>
        <w:rPr>
          <w:rFonts w:ascii="宋体" w:hAnsi="宋体" w:cs="宋体"/>
          <w:bCs/>
          <w:sz w:val="24"/>
        </w:rPr>
      </w:pPr>
    </w:p>
    <w:p w14:paraId="42AFF50F">
      <w:pPr>
        <w:pStyle w:val="3"/>
        <w:bidi w:val="0"/>
        <w:rPr>
          <w:rFonts w:hAnsi="宋体" w:cs="宋体"/>
          <w:b/>
        </w:rPr>
      </w:pPr>
      <w:r>
        <w:rPr>
          <w:rFonts w:hint="eastAsia" w:hAnsi="宋体" w:cs="宋体"/>
          <w:bCs/>
        </w:rPr>
        <w:br w:type="page"/>
      </w:r>
      <w:bookmarkStart w:id="96" w:name="_Toc28052"/>
      <w:r>
        <w:rPr>
          <w:rFonts w:hint="eastAsia"/>
        </w:rPr>
        <w:t>格式5：法定代表人身份证明书</w:t>
      </w:r>
      <w:bookmarkEnd w:id="96"/>
    </w:p>
    <w:p w14:paraId="3FE6FD75">
      <w:pPr>
        <w:adjustRightInd w:val="0"/>
        <w:snapToGrid w:val="0"/>
        <w:spacing w:line="360" w:lineRule="auto"/>
        <w:rPr>
          <w:rFonts w:ascii="宋体" w:hAnsi="宋体" w:cs="宋体"/>
          <w:bCs/>
          <w:sz w:val="24"/>
        </w:rPr>
      </w:pPr>
    </w:p>
    <w:p w14:paraId="18F43CEF">
      <w:pPr>
        <w:adjustRightInd w:val="0"/>
        <w:snapToGrid w:val="0"/>
        <w:spacing w:line="360" w:lineRule="auto"/>
        <w:ind w:firstLine="561"/>
        <w:rPr>
          <w:rFonts w:ascii="宋体" w:hAnsi="宋体" w:cs="宋体"/>
          <w:bCs/>
          <w:sz w:val="24"/>
        </w:rPr>
      </w:pPr>
    </w:p>
    <w:p w14:paraId="45F1FD12">
      <w:pPr>
        <w:adjustRightInd w:val="0"/>
        <w:snapToGrid w:val="0"/>
        <w:spacing w:line="360" w:lineRule="auto"/>
        <w:ind w:firstLine="561"/>
        <w:rPr>
          <w:rFonts w:ascii="宋体" w:hAnsi="宋体" w:cs="宋体"/>
          <w:bCs/>
          <w:sz w:val="24"/>
        </w:rPr>
      </w:pPr>
      <w:r>
        <w:rPr>
          <w:rFonts w:hint="eastAsia" w:ascii="宋体" w:hAnsi="宋体" w:cs="宋体"/>
          <w:bCs/>
          <w:sz w:val="24"/>
        </w:rPr>
        <w:t>供应商名称：</w:t>
      </w:r>
      <w:r>
        <w:rPr>
          <w:rFonts w:hint="eastAsia" w:ascii="宋体" w:hAnsi="宋体" w:cs="宋体"/>
          <w:bCs/>
          <w:sz w:val="24"/>
          <w:u w:val="single"/>
        </w:rPr>
        <w:t xml:space="preserve">                   </w:t>
      </w:r>
      <w:r>
        <w:rPr>
          <w:rFonts w:hint="eastAsia" w:ascii="宋体" w:hAnsi="宋体" w:cs="宋体"/>
          <w:bCs/>
          <w:sz w:val="24"/>
        </w:rPr>
        <w:t xml:space="preserve">                            </w:t>
      </w:r>
    </w:p>
    <w:p w14:paraId="71A7F7F8">
      <w:pPr>
        <w:adjustRightInd w:val="0"/>
        <w:snapToGrid w:val="0"/>
        <w:spacing w:line="360" w:lineRule="auto"/>
        <w:ind w:firstLine="561"/>
        <w:rPr>
          <w:rFonts w:ascii="宋体" w:hAnsi="宋体" w:cs="宋体"/>
          <w:bCs/>
          <w:sz w:val="24"/>
        </w:rPr>
      </w:pPr>
      <w:r>
        <w:rPr>
          <w:rFonts w:hint="eastAsia" w:ascii="宋体" w:hAnsi="宋体" w:cs="宋体"/>
          <w:bCs/>
          <w:sz w:val="24"/>
        </w:rPr>
        <w:t>单位性质：</w:t>
      </w:r>
      <w:r>
        <w:rPr>
          <w:rFonts w:hint="eastAsia" w:ascii="宋体" w:hAnsi="宋体" w:cs="宋体"/>
          <w:bCs/>
          <w:sz w:val="24"/>
          <w:u w:val="single"/>
        </w:rPr>
        <w:t xml:space="preserve">                  </w:t>
      </w:r>
      <w:r>
        <w:rPr>
          <w:rFonts w:hint="eastAsia" w:ascii="宋体" w:hAnsi="宋体" w:cs="宋体"/>
          <w:bCs/>
          <w:sz w:val="24"/>
        </w:rPr>
        <w:t xml:space="preserve">                               </w:t>
      </w:r>
    </w:p>
    <w:p w14:paraId="30192D93">
      <w:pPr>
        <w:adjustRightInd w:val="0"/>
        <w:snapToGrid w:val="0"/>
        <w:spacing w:line="360" w:lineRule="auto"/>
        <w:ind w:firstLine="561"/>
        <w:rPr>
          <w:rFonts w:ascii="宋体" w:hAnsi="宋体" w:cs="宋体"/>
          <w:bCs/>
          <w:sz w:val="24"/>
        </w:rPr>
      </w:pPr>
      <w:r>
        <w:rPr>
          <w:rFonts w:hint="eastAsia" w:ascii="宋体" w:hAnsi="宋体" w:cs="宋体"/>
          <w:bCs/>
          <w:sz w:val="24"/>
        </w:rPr>
        <w:t>地址：</w:t>
      </w:r>
      <w:r>
        <w:rPr>
          <w:rFonts w:hint="eastAsia" w:ascii="宋体" w:hAnsi="宋体" w:cs="宋体"/>
          <w:bCs/>
          <w:sz w:val="24"/>
          <w:u w:val="single"/>
        </w:rPr>
        <w:t xml:space="preserve">                  </w:t>
      </w:r>
      <w:r>
        <w:rPr>
          <w:rFonts w:hint="eastAsia" w:ascii="宋体" w:hAnsi="宋体" w:cs="宋体"/>
          <w:bCs/>
          <w:sz w:val="24"/>
        </w:rPr>
        <w:t xml:space="preserve">                                   </w:t>
      </w:r>
    </w:p>
    <w:p w14:paraId="173736B3">
      <w:pPr>
        <w:adjustRightInd w:val="0"/>
        <w:snapToGrid w:val="0"/>
        <w:spacing w:line="360" w:lineRule="auto"/>
        <w:ind w:firstLine="561"/>
        <w:rPr>
          <w:rFonts w:ascii="宋体" w:hAnsi="宋体" w:cs="宋体"/>
          <w:bCs/>
          <w:sz w:val="24"/>
        </w:rPr>
      </w:pPr>
      <w:r>
        <w:rPr>
          <w:rFonts w:hint="eastAsia" w:ascii="宋体" w:hAnsi="宋体" w:cs="宋体"/>
          <w:bCs/>
          <w:sz w:val="24"/>
        </w:rPr>
        <w:t>成立时间：</w:t>
      </w:r>
      <w:r>
        <w:rPr>
          <w:rFonts w:hint="eastAsia" w:ascii="宋体" w:hAnsi="宋体" w:cs="宋体"/>
          <w:bCs/>
          <w:sz w:val="24"/>
          <w:u w:val="single"/>
        </w:rPr>
        <w:t xml:space="preserve">    </w:t>
      </w:r>
      <w:r>
        <w:rPr>
          <w:rFonts w:hint="eastAsia" w:ascii="宋体" w:hAnsi="宋体" w:cs="宋体"/>
          <w:bCs/>
          <w:sz w:val="24"/>
        </w:rPr>
        <w:t xml:space="preserve"> 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6C8E0A3F">
      <w:pPr>
        <w:adjustRightInd w:val="0"/>
        <w:snapToGrid w:val="0"/>
        <w:spacing w:line="360" w:lineRule="auto"/>
        <w:ind w:firstLine="561"/>
        <w:rPr>
          <w:rFonts w:ascii="宋体" w:hAnsi="宋体" w:cs="宋体"/>
          <w:bCs/>
          <w:sz w:val="24"/>
        </w:rPr>
      </w:pPr>
      <w:r>
        <w:rPr>
          <w:rFonts w:hint="eastAsia" w:ascii="宋体" w:hAnsi="宋体" w:cs="宋体"/>
          <w:bCs/>
          <w:sz w:val="24"/>
        </w:rPr>
        <w:t>经营期限：</w:t>
      </w:r>
      <w:r>
        <w:rPr>
          <w:rFonts w:hint="eastAsia" w:ascii="宋体" w:hAnsi="宋体" w:cs="宋体"/>
          <w:bCs/>
          <w:sz w:val="24"/>
          <w:u w:val="single"/>
        </w:rPr>
        <w:t xml:space="preserve">            </w:t>
      </w:r>
      <w:r>
        <w:rPr>
          <w:rFonts w:hint="eastAsia" w:ascii="宋体" w:hAnsi="宋体" w:cs="宋体"/>
          <w:bCs/>
          <w:sz w:val="24"/>
        </w:rPr>
        <w:t xml:space="preserve">                               </w:t>
      </w:r>
    </w:p>
    <w:p w14:paraId="7032B0C3">
      <w:pPr>
        <w:adjustRightInd w:val="0"/>
        <w:snapToGrid w:val="0"/>
        <w:spacing w:line="360" w:lineRule="auto"/>
        <w:ind w:firstLine="561"/>
        <w:rPr>
          <w:rFonts w:ascii="宋体" w:hAnsi="宋体" w:cs="宋体"/>
          <w:bCs/>
          <w:sz w:val="24"/>
        </w:rPr>
      </w:pPr>
      <w:r>
        <w:rPr>
          <w:rFonts w:hint="eastAsia" w:ascii="宋体" w:hAnsi="宋体" w:cs="宋体"/>
          <w:bCs/>
          <w:sz w:val="24"/>
        </w:rPr>
        <w:t>姓名：</w:t>
      </w:r>
      <w:r>
        <w:rPr>
          <w:rFonts w:hint="eastAsia" w:ascii="宋体" w:hAnsi="宋体" w:cs="宋体"/>
          <w:bCs/>
          <w:sz w:val="24"/>
          <w:u w:val="single"/>
        </w:rPr>
        <w:t xml:space="preserve">                  </w:t>
      </w:r>
      <w:r>
        <w:rPr>
          <w:rFonts w:hint="eastAsia" w:ascii="宋体" w:hAnsi="宋体" w:cs="宋体"/>
          <w:bCs/>
          <w:sz w:val="24"/>
        </w:rPr>
        <w:t>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 xml:space="preserve">  职务：</w:t>
      </w:r>
      <w:r>
        <w:rPr>
          <w:rFonts w:hint="eastAsia" w:ascii="宋体" w:hAnsi="宋体" w:cs="宋体"/>
          <w:bCs/>
          <w:sz w:val="24"/>
          <w:u w:val="single"/>
        </w:rPr>
        <w:t xml:space="preserve">            </w:t>
      </w:r>
      <w:r>
        <w:rPr>
          <w:rFonts w:hint="eastAsia" w:ascii="宋体" w:hAnsi="宋体" w:cs="宋体"/>
          <w:bCs/>
          <w:sz w:val="24"/>
        </w:rPr>
        <w:t xml:space="preserve">        </w:t>
      </w:r>
    </w:p>
    <w:p w14:paraId="656AB3A6">
      <w:pPr>
        <w:adjustRightInd w:val="0"/>
        <w:snapToGrid w:val="0"/>
        <w:spacing w:line="360" w:lineRule="auto"/>
        <w:ind w:firstLine="561"/>
        <w:rPr>
          <w:rFonts w:ascii="宋体" w:hAnsi="宋体" w:cs="宋体"/>
          <w:bCs/>
          <w:sz w:val="24"/>
        </w:rPr>
      </w:pPr>
      <w:r>
        <w:rPr>
          <w:rFonts w:hint="eastAsia" w:ascii="宋体" w:hAnsi="宋体" w:cs="宋体"/>
          <w:bCs/>
          <w:sz w:val="24"/>
        </w:rPr>
        <w:t>系</w:t>
      </w:r>
      <w:r>
        <w:rPr>
          <w:rFonts w:hint="eastAsia" w:ascii="宋体" w:hAnsi="宋体" w:cs="宋体"/>
          <w:bCs/>
          <w:sz w:val="24"/>
          <w:u w:val="single"/>
        </w:rPr>
        <w:t xml:space="preserve">                          </w:t>
      </w:r>
      <w:r>
        <w:rPr>
          <w:rFonts w:hint="eastAsia" w:ascii="宋体" w:hAnsi="宋体" w:cs="宋体"/>
          <w:bCs/>
          <w:sz w:val="24"/>
        </w:rPr>
        <w:t>（供应商名称）的法定代表人。</w:t>
      </w:r>
    </w:p>
    <w:p w14:paraId="5E06F0E9">
      <w:pPr>
        <w:adjustRightInd w:val="0"/>
        <w:snapToGrid w:val="0"/>
        <w:spacing w:line="360" w:lineRule="auto"/>
        <w:ind w:firstLine="561"/>
        <w:rPr>
          <w:rFonts w:ascii="宋体" w:hAnsi="宋体" w:cs="宋体"/>
          <w:bCs/>
          <w:sz w:val="24"/>
        </w:rPr>
      </w:pPr>
      <w:r>
        <w:rPr>
          <w:rFonts w:hint="eastAsia" w:ascii="宋体" w:hAnsi="宋体" w:cs="宋体"/>
          <w:bCs/>
          <w:sz w:val="24"/>
        </w:rPr>
        <w:t xml:space="preserve">特此证明。 </w:t>
      </w:r>
    </w:p>
    <w:p w14:paraId="44E3BB2F">
      <w:pPr>
        <w:adjustRightInd w:val="0"/>
        <w:snapToGrid w:val="0"/>
        <w:spacing w:line="360" w:lineRule="auto"/>
        <w:ind w:firstLine="561"/>
        <w:rPr>
          <w:rFonts w:ascii="宋体" w:hAnsi="宋体" w:cs="宋体"/>
          <w:bCs/>
          <w:sz w:val="24"/>
        </w:rPr>
      </w:pPr>
    </w:p>
    <w:p w14:paraId="4BDD434A">
      <w:pPr>
        <w:adjustRightInd w:val="0"/>
        <w:snapToGrid w:val="0"/>
        <w:spacing w:line="360" w:lineRule="auto"/>
        <w:ind w:firstLine="561"/>
        <w:rPr>
          <w:rFonts w:ascii="宋体" w:hAnsi="宋体" w:cs="宋体"/>
          <w:bCs/>
          <w:sz w:val="24"/>
        </w:rPr>
      </w:pPr>
      <w:r>
        <w:rPr>
          <w:rFonts w:hint="eastAsia" w:ascii="宋体" w:hAnsi="宋体" w:cs="宋体"/>
          <w:bCs/>
          <w:sz w:val="24"/>
        </w:rPr>
        <w:t>附：法定代表人身份证复印件。</w:t>
      </w:r>
    </w:p>
    <w:p w14:paraId="48956038">
      <w:pPr>
        <w:adjustRightInd w:val="0"/>
        <w:snapToGrid w:val="0"/>
        <w:spacing w:line="360" w:lineRule="auto"/>
        <w:ind w:firstLine="561"/>
        <w:jc w:val="center"/>
        <w:rPr>
          <w:rFonts w:ascii="宋体" w:hAnsi="宋体" w:cs="宋体"/>
          <w:bCs/>
          <w:sz w:val="24"/>
        </w:rPr>
      </w:pPr>
      <w:r>
        <w:rPr>
          <w:rFonts w:hint="eastAsia" w:ascii="宋体" w:hAnsi="宋体" w:cs="宋体"/>
          <w:bCs/>
          <w:sz w:val="24"/>
        </w:rPr>
        <w:t xml:space="preserve">                                </w:t>
      </w:r>
    </w:p>
    <w:p w14:paraId="056E3C28">
      <w:pPr>
        <w:adjustRightInd w:val="0"/>
        <w:snapToGrid w:val="0"/>
        <w:spacing w:line="360" w:lineRule="auto"/>
        <w:ind w:firstLine="561"/>
        <w:jc w:val="right"/>
        <w:rPr>
          <w:rFonts w:ascii="宋体" w:hAnsi="宋体" w:cs="宋体"/>
          <w:bCs/>
          <w:sz w:val="24"/>
        </w:rPr>
      </w:pPr>
      <w:r>
        <w:rPr>
          <w:rFonts w:hint="eastAsia" w:ascii="宋体" w:hAnsi="宋体" w:cs="宋体"/>
          <w:bCs/>
          <w:sz w:val="24"/>
        </w:rPr>
        <w:t>供应商：</w:t>
      </w:r>
      <w:r>
        <w:rPr>
          <w:rFonts w:hint="eastAsia" w:ascii="宋体" w:hAnsi="宋体" w:cs="宋体"/>
          <w:bCs/>
          <w:sz w:val="24"/>
          <w:u w:val="single"/>
        </w:rPr>
        <w:t xml:space="preserve">                      </w:t>
      </w:r>
      <w:r>
        <w:rPr>
          <w:rFonts w:hint="eastAsia" w:ascii="宋体" w:hAnsi="宋体" w:cs="宋体"/>
          <w:bCs/>
          <w:sz w:val="24"/>
        </w:rPr>
        <w:t>（盖单位公章）</w:t>
      </w:r>
    </w:p>
    <w:p w14:paraId="295A2F09">
      <w:pPr>
        <w:pStyle w:val="25"/>
        <w:adjustRightInd w:val="0"/>
        <w:snapToGrid w:val="0"/>
        <w:spacing w:line="360" w:lineRule="auto"/>
        <w:jc w:val="right"/>
        <w:outlineLvl w:val="9"/>
        <w:rPr>
          <w:rFonts w:hAnsi="宋体" w:cs="宋体"/>
          <w:bCs/>
          <w:sz w:val="24"/>
        </w:rPr>
      </w:pPr>
      <w:r>
        <w:rPr>
          <w:rFonts w:hint="eastAsia" w:hAnsi="宋体" w:cs="宋体"/>
          <w:bCs/>
          <w:sz w:val="24"/>
        </w:rPr>
        <w:t xml:space="preserve">   </w:t>
      </w:r>
      <w:bookmarkStart w:id="97" w:name="_Toc5450"/>
      <w:r>
        <w:rPr>
          <w:rFonts w:hint="eastAsia" w:hAnsi="宋体" w:cs="宋体"/>
          <w:bCs/>
          <w:sz w:val="24"/>
        </w:rPr>
        <w:t>年      月    日</w:t>
      </w:r>
      <w:bookmarkEnd w:id="97"/>
      <w:r>
        <w:rPr>
          <w:rFonts w:hint="eastAsia" w:hAnsi="宋体" w:cs="宋体"/>
          <w:bCs/>
          <w:sz w:val="24"/>
        </w:rPr>
        <w:t xml:space="preserve">   </w:t>
      </w:r>
    </w:p>
    <w:p w14:paraId="3D050184">
      <w:pPr>
        <w:pStyle w:val="25"/>
        <w:adjustRightInd w:val="0"/>
        <w:snapToGrid w:val="0"/>
        <w:spacing w:line="360" w:lineRule="auto"/>
        <w:outlineLvl w:val="9"/>
        <w:rPr>
          <w:rFonts w:hAnsi="宋体" w:cs="宋体"/>
          <w:bCs/>
          <w:sz w:val="24"/>
        </w:rPr>
      </w:pPr>
    </w:p>
    <w:p w14:paraId="42C4A124">
      <w:pPr>
        <w:pStyle w:val="25"/>
        <w:adjustRightInd w:val="0"/>
        <w:snapToGrid w:val="0"/>
        <w:spacing w:line="360" w:lineRule="auto"/>
        <w:outlineLvl w:val="9"/>
        <w:rPr>
          <w:rFonts w:hAnsi="宋体" w:cs="宋体"/>
          <w:bCs/>
          <w:sz w:val="24"/>
        </w:rPr>
      </w:pPr>
    </w:p>
    <w:p w14:paraId="7315EB07">
      <w:pPr>
        <w:pStyle w:val="25"/>
        <w:adjustRightInd w:val="0"/>
        <w:snapToGrid w:val="0"/>
        <w:spacing w:line="360" w:lineRule="auto"/>
        <w:outlineLvl w:val="9"/>
        <w:rPr>
          <w:rFonts w:hAnsi="宋体" w:cs="宋体"/>
          <w:bCs/>
          <w:sz w:val="24"/>
        </w:rPr>
      </w:pPr>
    </w:p>
    <w:p w14:paraId="02E1646F">
      <w:pPr>
        <w:pStyle w:val="25"/>
        <w:adjustRightInd w:val="0"/>
        <w:snapToGrid w:val="0"/>
        <w:spacing w:line="360" w:lineRule="auto"/>
        <w:outlineLvl w:val="9"/>
        <w:rPr>
          <w:rFonts w:hAnsi="宋体" w:cs="宋体"/>
          <w:bCs/>
          <w:sz w:val="24"/>
        </w:rPr>
      </w:pPr>
    </w:p>
    <w:p w14:paraId="3746A0D4">
      <w:pPr>
        <w:adjustRightInd w:val="0"/>
        <w:snapToGrid w:val="0"/>
        <w:spacing w:line="360" w:lineRule="auto"/>
        <w:rPr>
          <w:rFonts w:ascii="宋体" w:hAnsi="宋体" w:cs="宋体"/>
          <w:bCs/>
          <w:sz w:val="24"/>
        </w:rPr>
      </w:pPr>
    </w:p>
    <w:p w14:paraId="4A28779B">
      <w:pPr>
        <w:adjustRightInd w:val="0"/>
        <w:snapToGrid w:val="0"/>
        <w:spacing w:line="360" w:lineRule="auto"/>
        <w:rPr>
          <w:rFonts w:ascii="宋体" w:hAnsi="宋体" w:cs="宋体"/>
          <w:bCs/>
          <w:sz w:val="24"/>
        </w:rPr>
      </w:pPr>
    </w:p>
    <w:p w14:paraId="50049436">
      <w:pPr>
        <w:adjustRightInd w:val="0"/>
        <w:snapToGrid w:val="0"/>
        <w:spacing w:line="360" w:lineRule="auto"/>
        <w:rPr>
          <w:rFonts w:ascii="宋体" w:hAnsi="宋体" w:cs="宋体"/>
          <w:bCs/>
          <w:sz w:val="24"/>
        </w:rPr>
      </w:pPr>
    </w:p>
    <w:p w14:paraId="5CBDD409">
      <w:pPr>
        <w:adjustRightInd w:val="0"/>
        <w:snapToGrid w:val="0"/>
        <w:spacing w:line="360" w:lineRule="auto"/>
        <w:rPr>
          <w:rFonts w:ascii="宋体" w:hAnsi="宋体" w:cs="宋体"/>
          <w:bCs/>
          <w:sz w:val="24"/>
        </w:rPr>
      </w:pPr>
    </w:p>
    <w:p w14:paraId="6C25BB63">
      <w:pPr>
        <w:adjustRightInd w:val="0"/>
        <w:snapToGrid w:val="0"/>
        <w:spacing w:line="360" w:lineRule="auto"/>
        <w:ind w:left="342" w:leftChars="114" w:firstLine="8640" w:firstLineChars="3600"/>
        <w:rPr>
          <w:rFonts w:ascii="宋体" w:hAnsi="宋体" w:cs="宋体"/>
          <w:bCs/>
          <w:sz w:val="24"/>
        </w:rPr>
      </w:pPr>
    </w:p>
    <w:p w14:paraId="635CBFEF">
      <w:pPr>
        <w:adjustRightInd w:val="0"/>
        <w:snapToGrid w:val="0"/>
        <w:spacing w:line="360" w:lineRule="auto"/>
        <w:ind w:left="342" w:leftChars="114" w:firstLine="8640" w:firstLineChars="3600"/>
        <w:rPr>
          <w:rFonts w:ascii="宋体" w:hAnsi="宋体" w:cs="宋体"/>
          <w:bCs/>
          <w:sz w:val="24"/>
        </w:rPr>
      </w:pPr>
    </w:p>
    <w:p w14:paraId="2B40DC19">
      <w:pPr>
        <w:adjustRightInd w:val="0"/>
        <w:snapToGrid w:val="0"/>
        <w:spacing w:line="360" w:lineRule="auto"/>
        <w:ind w:left="342" w:leftChars="114" w:firstLine="8640" w:firstLineChars="3600"/>
        <w:rPr>
          <w:rFonts w:ascii="宋体" w:hAnsi="宋体" w:cs="宋体"/>
          <w:bCs/>
          <w:sz w:val="24"/>
        </w:rPr>
      </w:pPr>
    </w:p>
    <w:p w14:paraId="54CC85CC">
      <w:pPr>
        <w:adjustRightInd w:val="0"/>
        <w:snapToGrid w:val="0"/>
        <w:spacing w:line="360" w:lineRule="auto"/>
        <w:rPr>
          <w:rFonts w:ascii="宋体" w:hAnsi="宋体" w:cs="宋体"/>
          <w:bCs/>
          <w:sz w:val="24"/>
        </w:rPr>
      </w:pPr>
    </w:p>
    <w:p w14:paraId="0F2FD358">
      <w:pPr>
        <w:adjustRightInd w:val="0"/>
        <w:snapToGrid w:val="0"/>
        <w:spacing w:line="360" w:lineRule="auto"/>
        <w:rPr>
          <w:rFonts w:ascii="宋体" w:hAnsi="宋体" w:cs="宋体"/>
          <w:b/>
          <w:sz w:val="24"/>
        </w:rPr>
      </w:pPr>
    </w:p>
    <w:p w14:paraId="663E59D1">
      <w:pPr>
        <w:pStyle w:val="6"/>
        <w:spacing w:after="0" w:line="360" w:lineRule="auto"/>
        <w:rPr>
          <w:rFonts w:ascii="宋体" w:hAnsi="宋体" w:cs="宋体"/>
          <w:sz w:val="24"/>
        </w:rPr>
      </w:pPr>
    </w:p>
    <w:p w14:paraId="20F4B7DF">
      <w:pPr>
        <w:pStyle w:val="3"/>
        <w:bidi w:val="0"/>
      </w:pPr>
      <w:r>
        <w:rPr>
          <w:rFonts w:hint="eastAsia"/>
        </w:rPr>
        <w:t>格式6：资格承诺函</w:t>
      </w:r>
    </w:p>
    <w:p w14:paraId="5EC581B9">
      <w:pPr>
        <w:spacing w:line="360" w:lineRule="auto"/>
        <w:jc w:val="left"/>
        <w:rPr>
          <w:rFonts w:ascii="宋体" w:hAnsi="宋体" w:cs="宋体"/>
          <w:sz w:val="24"/>
        </w:rPr>
      </w:pPr>
    </w:p>
    <w:p w14:paraId="390B8CD6">
      <w:pPr>
        <w:spacing w:line="360" w:lineRule="auto"/>
        <w:jc w:val="left"/>
        <w:rPr>
          <w:rFonts w:ascii="宋体" w:hAnsi="宋体" w:cs="宋体"/>
          <w:sz w:val="24"/>
        </w:rPr>
      </w:pPr>
      <w:r>
        <w:rPr>
          <w:rFonts w:hint="eastAsia" w:ascii="宋体" w:hAnsi="宋体" w:cs="宋体"/>
          <w:sz w:val="24"/>
        </w:rPr>
        <w:t>致：</w:t>
      </w:r>
      <w:r>
        <w:rPr>
          <w:rFonts w:hint="eastAsia" w:ascii="宋体" w:hAnsi="宋体" w:cs="宋体"/>
          <w:sz w:val="24"/>
          <w:u w:val="single"/>
          <w:lang w:val="en-GB"/>
        </w:rPr>
        <w:t>海南卫生健康职业学院</w:t>
      </w:r>
      <w:r>
        <w:rPr>
          <w:rFonts w:hint="eastAsia" w:ascii="宋体" w:hAnsi="宋体" w:cs="宋体"/>
          <w:sz w:val="24"/>
          <w:u w:val="single"/>
        </w:rPr>
        <w:t>（采购人）</w:t>
      </w:r>
    </w:p>
    <w:p w14:paraId="28BA1D26">
      <w:pPr>
        <w:spacing w:line="360" w:lineRule="auto"/>
        <w:ind w:firstLine="480" w:firstLineChars="200"/>
        <w:jc w:val="left"/>
        <w:rPr>
          <w:rFonts w:ascii="宋体" w:hAnsi="宋体" w:cs="宋体"/>
          <w:sz w:val="24"/>
        </w:rPr>
      </w:pPr>
      <w:r>
        <w:rPr>
          <w:rFonts w:hint="eastAsia" w:ascii="宋体" w:hAnsi="宋体" w:cs="宋体"/>
          <w:sz w:val="24"/>
        </w:rPr>
        <w:t>我单位参与</w:t>
      </w:r>
      <w:r>
        <w:rPr>
          <w:rFonts w:hint="eastAsia" w:ascii="宋体" w:hAnsi="宋体" w:cs="宋体"/>
          <w:sz w:val="24"/>
          <w:u w:val="single"/>
        </w:rPr>
        <w:t>（项目名称）（项目编号（包号，如有）：      ）</w:t>
      </w:r>
      <w:r>
        <w:rPr>
          <w:rFonts w:hint="eastAsia" w:ascii="宋体" w:hAnsi="宋体" w:cs="宋体"/>
          <w:sz w:val="24"/>
        </w:rPr>
        <w:t>项目的政府采购活动，现承诺如下：</w:t>
      </w:r>
    </w:p>
    <w:p w14:paraId="0787BAE3">
      <w:pPr>
        <w:spacing w:line="360" w:lineRule="auto"/>
        <w:ind w:firstLine="480" w:firstLineChars="200"/>
        <w:jc w:val="left"/>
        <w:rPr>
          <w:rFonts w:ascii="宋体" w:hAnsi="宋体" w:cs="宋体"/>
          <w:sz w:val="24"/>
        </w:rPr>
      </w:pPr>
      <w:r>
        <w:rPr>
          <w:rFonts w:hint="eastAsia" w:ascii="宋体" w:hAnsi="宋体" w:cs="宋体"/>
          <w:sz w:val="24"/>
        </w:rPr>
        <w:t>1.我单位具有符合《中华人民共和国政府采购法》《中华人民共和国政府采购法实施条例》及采购文件资格要求规定的良好的商业信誉和健全的财务会计制度。</w:t>
      </w:r>
    </w:p>
    <w:p w14:paraId="2617099E">
      <w:pPr>
        <w:spacing w:line="360" w:lineRule="auto"/>
        <w:ind w:firstLine="480" w:firstLineChars="200"/>
        <w:jc w:val="left"/>
        <w:rPr>
          <w:rFonts w:ascii="宋体" w:hAnsi="宋体" w:cs="宋体"/>
          <w:sz w:val="24"/>
        </w:rPr>
      </w:pPr>
      <w:r>
        <w:rPr>
          <w:rFonts w:hint="eastAsia" w:ascii="宋体" w:hAnsi="宋体" w:cs="宋体"/>
          <w:sz w:val="24"/>
        </w:rPr>
        <w:t>2.我单位具有符合《中华人民共和国政府采购法》《中华人民共和国政府采购法实施条例》及采购文件资格要求规定的履行合同所必需的设备和专业技术能力。</w:t>
      </w:r>
    </w:p>
    <w:p w14:paraId="0465A91F">
      <w:pPr>
        <w:spacing w:line="360" w:lineRule="auto"/>
        <w:ind w:firstLine="480" w:firstLineChars="200"/>
        <w:jc w:val="left"/>
        <w:rPr>
          <w:rFonts w:ascii="宋体" w:hAnsi="宋体" w:cs="宋体"/>
          <w:sz w:val="24"/>
        </w:rPr>
      </w:pPr>
      <w:r>
        <w:rPr>
          <w:rFonts w:hint="eastAsia" w:ascii="宋体" w:hAnsi="宋体" w:cs="宋体"/>
          <w:sz w:val="24"/>
        </w:rPr>
        <w:t>3.我单位具有符合《中华人民共和国政府采购法》《中华人民共和国政府采购法实施条例》及采购文件资格要求规定的依法缴纳税收和社会保障资金的相关证明材料。</w:t>
      </w:r>
    </w:p>
    <w:p w14:paraId="5616E71C">
      <w:pPr>
        <w:spacing w:line="360" w:lineRule="auto"/>
        <w:ind w:firstLine="480" w:firstLineChars="200"/>
        <w:jc w:val="left"/>
        <w:rPr>
          <w:rFonts w:ascii="宋体" w:hAnsi="宋体" w:cs="宋体"/>
          <w:sz w:val="24"/>
        </w:rPr>
      </w:pPr>
      <w:r>
        <w:rPr>
          <w:rFonts w:hint="eastAsia" w:ascii="宋体" w:hAnsi="宋体" w:cs="宋体"/>
          <w:sz w:val="24"/>
        </w:rPr>
        <w:t>4.我单位符合《中华人民共和国政府采购法》《中华人民共和国政府采购法实施条例》及采购文件资格要求规定的在参加政府采购活动前三年内，在经营活动中没有重大违法记录。</w:t>
      </w:r>
    </w:p>
    <w:p w14:paraId="05D55B43">
      <w:pPr>
        <w:spacing w:line="360" w:lineRule="auto"/>
        <w:ind w:firstLine="480" w:firstLineChars="200"/>
        <w:jc w:val="left"/>
        <w:rPr>
          <w:rFonts w:ascii="宋体" w:hAnsi="宋体" w:cs="宋体"/>
          <w:sz w:val="24"/>
        </w:rPr>
      </w:pPr>
      <w:r>
        <w:rPr>
          <w:rFonts w:hint="eastAsia" w:ascii="宋体" w:hAnsi="宋体" w:cs="宋体"/>
          <w:sz w:val="24"/>
        </w:rPr>
        <w:t>5.如违反上述承诺，同意将相关失信行为纳入海口市信用信息共享平台。</w:t>
      </w:r>
    </w:p>
    <w:p w14:paraId="3EA9436C">
      <w:pPr>
        <w:spacing w:line="360" w:lineRule="auto"/>
        <w:ind w:firstLine="480" w:firstLineChars="200"/>
        <w:jc w:val="left"/>
        <w:rPr>
          <w:rFonts w:ascii="宋体" w:hAnsi="宋体" w:cs="宋体"/>
          <w:sz w:val="24"/>
        </w:rPr>
      </w:pPr>
      <w:r>
        <w:rPr>
          <w:rFonts w:hint="eastAsia" w:ascii="宋体" w:hAnsi="宋体" w:cs="宋体"/>
          <w:sz w:val="24"/>
        </w:rPr>
        <w:t>6.同意此承诺书在市公共资源中心的政府采购信息发布平台公示，接受社会各界监督。</w:t>
      </w:r>
    </w:p>
    <w:p w14:paraId="72E2AB59">
      <w:pPr>
        <w:spacing w:line="360" w:lineRule="auto"/>
        <w:ind w:firstLine="480" w:firstLineChars="200"/>
        <w:jc w:val="left"/>
        <w:rPr>
          <w:rFonts w:ascii="宋体" w:hAnsi="宋体" w:cs="宋体"/>
          <w:sz w:val="24"/>
        </w:rPr>
      </w:pPr>
      <w:r>
        <w:rPr>
          <w:rFonts w:hint="eastAsia" w:ascii="宋体" w:hAnsi="宋体" w:cs="宋体"/>
          <w:sz w:val="24"/>
        </w:rPr>
        <w:t>若我单位以上承诺不实，自愿承担提供虚假材料谋取中标、成交的法律责任。</w:t>
      </w:r>
    </w:p>
    <w:p w14:paraId="47EADA9E">
      <w:pPr>
        <w:spacing w:line="360" w:lineRule="auto"/>
        <w:ind w:firstLine="480" w:firstLineChars="200"/>
        <w:jc w:val="left"/>
        <w:rPr>
          <w:rFonts w:ascii="宋体" w:hAnsi="宋体" w:cs="宋体"/>
          <w:sz w:val="24"/>
        </w:rPr>
      </w:pPr>
    </w:p>
    <w:p w14:paraId="2BE40B0C">
      <w:pPr>
        <w:spacing w:line="360" w:lineRule="auto"/>
        <w:ind w:firstLine="480" w:firstLineChars="200"/>
        <w:jc w:val="left"/>
        <w:rPr>
          <w:rFonts w:ascii="宋体" w:hAnsi="宋体" w:cs="宋体"/>
          <w:sz w:val="24"/>
        </w:rPr>
      </w:pPr>
      <w:r>
        <w:rPr>
          <w:rFonts w:hint="eastAsia" w:ascii="宋体" w:hAnsi="宋体" w:cs="宋体"/>
          <w:sz w:val="24"/>
        </w:rPr>
        <w:t>承诺供应商（全称并加盖公章）：</w:t>
      </w:r>
    </w:p>
    <w:p w14:paraId="4CE12A4C">
      <w:pPr>
        <w:spacing w:line="360" w:lineRule="auto"/>
        <w:ind w:firstLine="480" w:firstLineChars="200"/>
        <w:jc w:val="left"/>
        <w:rPr>
          <w:rFonts w:ascii="宋体" w:hAnsi="宋体" w:cs="宋体"/>
          <w:sz w:val="24"/>
        </w:rPr>
      </w:pPr>
      <w:r>
        <w:rPr>
          <w:rFonts w:hint="eastAsia" w:ascii="宋体" w:hAnsi="宋体" w:cs="宋体"/>
          <w:sz w:val="24"/>
        </w:rPr>
        <w:t>单位负责人或授权代表（签字或盖章）：</w:t>
      </w:r>
    </w:p>
    <w:p w14:paraId="5AC8CD70">
      <w:pPr>
        <w:spacing w:line="360" w:lineRule="auto"/>
        <w:ind w:firstLine="480" w:firstLineChars="200"/>
        <w:jc w:val="left"/>
        <w:rPr>
          <w:rFonts w:ascii="宋体" w:hAnsi="宋体" w:cs="宋体"/>
          <w:sz w:val="24"/>
        </w:rPr>
      </w:pPr>
      <w:r>
        <w:rPr>
          <w:rFonts w:hint="eastAsia" w:ascii="宋体" w:hAnsi="宋体" w:cs="宋体"/>
          <w:sz w:val="24"/>
        </w:rPr>
        <w:t>日期：</w:t>
      </w:r>
    </w:p>
    <w:p w14:paraId="05C81CA9"/>
    <w:p w14:paraId="041697BB">
      <w:pPr>
        <w:rPr>
          <w:rFonts w:ascii="宋体" w:hAnsi="宋体" w:cs="宋体"/>
          <w:sz w:val="24"/>
        </w:rPr>
      </w:pPr>
    </w:p>
    <w:p w14:paraId="28EC61E5"/>
    <w:p w14:paraId="311B4D5A">
      <w:pPr>
        <w:pStyle w:val="3"/>
        <w:bidi w:val="0"/>
      </w:pPr>
      <w:r>
        <w:rPr>
          <w:rFonts w:hint="eastAsia"/>
          <w:lang w:val="en-US" w:eastAsia="zh-CN"/>
        </w:rPr>
        <w:t>格式7：</w:t>
      </w:r>
      <w:r>
        <w:rPr>
          <w:rFonts w:hint="eastAsia"/>
        </w:rPr>
        <w:t>资格审查表</w:t>
      </w:r>
    </w:p>
    <w:p w14:paraId="11D140D7">
      <w:pPr>
        <w:pStyle w:val="24"/>
        <w:adjustRightInd w:val="0"/>
        <w:snapToGrid w:val="0"/>
        <w:spacing w:line="360" w:lineRule="auto"/>
        <w:jc w:val="both"/>
        <w:rPr>
          <w:rFonts w:hint="eastAsia" w:ascii="Times New Roman" w:hAnsi="Times New Roman" w:eastAsia="宋体" w:cs="Times New Roman"/>
          <w:spacing w:val="-2"/>
          <w:kern w:val="2"/>
          <w:sz w:val="30"/>
          <w:szCs w:val="24"/>
          <w:lang w:val="en-US" w:eastAsia="zh-CN" w:bidi="ar-SA"/>
        </w:rPr>
      </w:pPr>
    </w:p>
    <w:p w14:paraId="3B15952A">
      <w:pPr>
        <w:pStyle w:val="24"/>
        <w:adjustRightInd w:val="0"/>
        <w:snapToGrid w:val="0"/>
        <w:spacing w:line="360" w:lineRule="auto"/>
        <w:jc w:val="both"/>
        <w:rPr>
          <w:rFonts w:hint="eastAsia" w:ascii="Times New Roman" w:hAnsi="Times New Roman" w:eastAsia="宋体" w:cs="Times New Roman"/>
          <w:spacing w:val="-2"/>
          <w:kern w:val="2"/>
          <w:sz w:val="30"/>
          <w:szCs w:val="24"/>
          <w:lang w:val="en-US" w:eastAsia="zh-CN" w:bidi="ar-SA"/>
        </w:rPr>
      </w:pPr>
    </w:p>
    <w:p w14:paraId="734339D5">
      <w:pPr>
        <w:pStyle w:val="24"/>
        <w:adjustRightInd w:val="0"/>
        <w:snapToGrid w:val="0"/>
        <w:spacing w:line="360" w:lineRule="auto"/>
        <w:jc w:val="both"/>
        <w:rPr>
          <w:rFonts w:hint="eastAsia" w:ascii="Times New Roman" w:hAnsi="Times New Roman" w:eastAsia="宋体" w:cs="Times New Roman"/>
          <w:spacing w:val="-2"/>
          <w:kern w:val="2"/>
          <w:sz w:val="30"/>
          <w:szCs w:val="24"/>
          <w:lang w:val="en-US" w:eastAsia="zh-CN" w:bidi="ar-SA"/>
        </w:rPr>
      </w:pPr>
    </w:p>
    <w:p w14:paraId="4497D515">
      <w:pPr>
        <w:pStyle w:val="24"/>
        <w:adjustRightInd w:val="0"/>
        <w:snapToGrid w:val="0"/>
        <w:spacing w:line="360" w:lineRule="auto"/>
        <w:jc w:val="both"/>
        <w:rPr>
          <w:rFonts w:hint="eastAsia" w:ascii="Times New Roman" w:hAnsi="Times New Roman" w:eastAsia="宋体" w:cs="Times New Roman"/>
          <w:spacing w:val="-2"/>
          <w:kern w:val="2"/>
          <w:sz w:val="30"/>
          <w:szCs w:val="24"/>
          <w:lang w:val="en-US" w:eastAsia="zh-CN" w:bidi="ar-SA"/>
        </w:rPr>
      </w:pPr>
      <w:r>
        <w:rPr>
          <w:rFonts w:hint="eastAsia" w:ascii="Times New Roman" w:hAnsi="Times New Roman" w:eastAsia="宋体" w:cs="Times New Roman"/>
          <w:spacing w:val="-2"/>
          <w:kern w:val="2"/>
          <w:sz w:val="30"/>
          <w:szCs w:val="24"/>
          <w:lang w:val="en-US" w:eastAsia="zh-CN" w:bidi="ar-SA"/>
        </w:rPr>
        <w:t>（供应商根据竞争性磋商文件第四章评审方法与标准中的资格审查表的要求提供，格式自拟）</w:t>
      </w:r>
    </w:p>
    <w:p w14:paraId="25973FA0">
      <w:pPr>
        <w:jc w:val="center"/>
        <w:rPr>
          <w:sz w:val="32"/>
          <w:szCs w:val="32"/>
        </w:rPr>
      </w:pPr>
    </w:p>
    <w:p w14:paraId="0F7472F5">
      <w:pPr>
        <w:jc w:val="center"/>
        <w:rPr>
          <w:sz w:val="32"/>
          <w:szCs w:val="32"/>
        </w:rPr>
      </w:pPr>
    </w:p>
    <w:p w14:paraId="7C96D49B">
      <w:pPr>
        <w:jc w:val="center"/>
        <w:rPr>
          <w:sz w:val="32"/>
          <w:szCs w:val="32"/>
        </w:rPr>
      </w:pPr>
    </w:p>
    <w:p w14:paraId="2C302AD4">
      <w:pPr>
        <w:jc w:val="center"/>
        <w:rPr>
          <w:sz w:val="32"/>
          <w:szCs w:val="32"/>
        </w:rPr>
      </w:pPr>
    </w:p>
    <w:p w14:paraId="1D5965E7">
      <w:pPr>
        <w:jc w:val="center"/>
        <w:rPr>
          <w:sz w:val="32"/>
          <w:szCs w:val="32"/>
        </w:rPr>
      </w:pPr>
    </w:p>
    <w:p w14:paraId="1D1E09BF">
      <w:pPr>
        <w:jc w:val="center"/>
        <w:rPr>
          <w:sz w:val="32"/>
          <w:szCs w:val="32"/>
        </w:rPr>
      </w:pPr>
    </w:p>
    <w:p w14:paraId="1BC2628B">
      <w:pPr>
        <w:jc w:val="center"/>
        <w:rPr>
          <w:sz w:val="32"/>
          <w:szCs w:val="32"/>
        </w:rPr>
      </w:pPr>
    </w:p>
    <w:p w14:paraId="79AF4630">
      <w:pPr>
        <w:jc w:val="center"/>
        <w:rPr>
          <w:sz w:val="32"/>
          <w:szCs w:val="32"/>
        </w:rPr>
      </w:pPr>
    </w:p>
    <w:p w14:paraId="2AC5A467">
      <w:pPr>
        <w:jc w:val="center"/>
        <w:rPr>
          <w:sz w:val="32"/>
          <w:szCs w:val="32"/>
        </w:rPr>
      </w:pPr>
    </w:p>
    <w:p w14:paraId="4F08DF39">
      <w:pPr>
        <w:jc w:val="center"/>
        <w:rPr>
          <w:sz w:val="32"/>
          <w:szCs w:val="32"/>
        </w:rPr>
      </w:pPr>
    </w:p>
    <w:p w14:paraId="0A5D68F0">
      <w:pPr>
        <w:jc w:val="center"/>
        <w:rPr>
          <w:sz w:val="32"/>
          <w:szCs w:val="32"/>
        </w:rPr>
      </w:pPr>
    </w:p>
    <w:p w14:paraId="06830514">
      <w:pPr>
        <w:jc w:val="center"/>
        <w:rPr>
          <w:sz w:val="32"/>
          <w:szCs w:val="32"/>
        </w:rPr>
      </w:pPr>
    </w:p>
    <w:p w14:paraId="09CF46F4">
      <w:pPr>
        <w:jc w:val="center"/>
        <w:rPr>
          <w:sz w:val="32"/>
          <w:szCs w:val="32"/>
        </w:rPr>
      </w:pPr>
    </w:p>
    <w:p w14:paraId="7B74C1C7">
      <w:pPr>
        <w:jc w:val="center"/>
        <w:rPr>
          <w:sz w:val="32"/>
          <w:szCs w:val="32"/>
        </w:rPr>
      </w:pPr>
    </w:p>
    <w:p w14:paraId="003DFCE1">
      <w:pPr>
        <w:jc w:val="center"/>
        <w:rPr>
          <w:sz w:val="32"/>
          <w:szCs w:val="32"/>
        </w:rPr>
      </w:pPr>
    </w:p>
    <w:p w14:paraId="499EEFBC">
      <w:pPr>
        <w:jc w:val="center"/>
        <w:rPr>
          <w:sz w:val="32"/>
          <w:szCs w:val="32"/>
        </w:rPr>
      </w:pPr>
    </w:p>
    <w:p w14:paraId="1BC267AB">
      <w:pPr>
        <w:pStyle w:val="3"/>
        <w:bidi w:val="0"/>
      </w:pPr>
      <w:r>
        <w:rPr>
          <w:rFonts w:hint="eastAsia"/>
          <w:lang w:val="en-US" w:eastAsia="zh-CN"/>
        </w:rPr>
        <w:t>格式8：</w:t>
      </w:r>
      <w:r>
        <w:t>商务及技术证明材料</w:t>
      </w:r>
    </w:p>
    <w:p w14:paraId="26C697BB">
      <w:pPr>
        <w:pStyle w:val="6"/>
        <w:spacing w:before="84"/>
        <w:jc w:val="left"/>
        <w:rPr>
          <w:spacing w:val="-2"/>
        </w:rPr>
      </w:pPr>
    </w:p>
    <w:p w14:paraId="69C2B2AE">
      <w:pPr>
        <w:pStyle w:val="6"/>
        <w:spacing w:before="84"/>
        <w:jc w:val="left"/>
        <w:rPr>
          <w:rFonts w:ascii="Times New Roman" w:hAnsi="Times New Roman" w:eastAsia="宋体" w:cs="Times New Roman"/>
          <w:spacing w:val="-2"/>
        </w:rPr>
      </w:pPr>
      <w:r>
        <w:rPr>
          <w:rFonts w:ascii="Times New Roman" w:hAnsi="Times New Roman" w:eastAsia="宋体" w:cs="Times New Roman"/>
          <w:spacing w:val="-2"/>
        </w:rPr>
        <w:t>（供应商根据竞争性磋商文件</w:t>
      </w:r>
      <w:r>
        <w:rPr>
          <w:rFonts w:hint="eastAsia" w:ascii="Times New Roman" w:hAnsi="Times New Roman" w:eastAsia="宋体" w:cs="Times New Roman"/>
          <w:spacing w:val="-2"/>
          <w:lang w:val="en-US" w:eastAsia="zh-CN"/>
        </w:rPr>
        <w:t>第四章评审方法与标准中的</w:t>
      </w:r>
      <w:r>
        <w:rPr>
          <w:rFonts w:hint="eastAsia" w:ascii="Times New Roman" w:hAnsi="Times New Roman" w:eastAsia="宋体" w:cs="Times New Roman"/>
          <w:spacing w:val="-2"/>
        </w:rPr>
        <w:t>评审细则</w:t>
      </w:r>
      <w:r>
        <w:rPr>
          <w:rFonts w:ascii="Times New Roman" w:hAnsi="Times New Roman" w:eastAsia="宋体" w:cs="Times New Roman"/>
          <w:spacing w:val="-2"/>
        </w:rPr>
        <w:t xml:space="preserve"> 的要求提供</w:t>
      </w:r>
      <w:r>
        <w:rPr>
          <w:rFonts w:hint="eastAsia" w:ascii="Times New Roman" w:hAnsi="Times New Roman" w:eastAsia="宋体" w:cs="Times New Roman"/>
          <w:spacing w:val="-2"/>
        </w:rPr>
        <w:t>，格式自拟</w:t>
      </w:r>
      <w:r>
        <w:rPr>
          <w:rFonts w:ascii="Times New Roman" w:hAnsi="Times New Roman" w:eastAsia="宋体" w:cs="Times New Roman"/>
          <w:spacing w:val="-2"/>
        </w:rPr>
        <w:t>）</w:t>
      </w:r>
    </w:p>
    <w:p w14:paraId="170A710B"/>
    <w:p w14:paraId="78DF64F5">
      <w:pPr>
        <w:rPr>
          <w:rFonts w:ascii="宋体" w:hAnsi="宋体" w:cs="宋体"/>
          <w:sz w:val="24"/>
        </w:rPr>
      </w:pPr>
    </w:p>
    <w:p w14:paraId="6BFB664D"/>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5D13">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64699E">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A64699E">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shape>
          </w:pict>
        </mc:Fallback>
      </mc:AlternateContent>
    </w:r>
  </w:p>
  <w:p w14:paraId="5FAE0AA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B8FE">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7CE7C17">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7CE7C17">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shape>
          </w:pict>
        </mc:Fallback>
      </mc:AlternateContent>
    </w:r>
  </w:p>
  <w:p w14:paraId="5A95C5B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3D776">
    <w:pPr>
      <w:widowControl/>
      <w:spacing w:line="18" w:lineRule="atLeast"/>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D85DB">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18F">
    <w:pPr>
      <w:pStyle w:val="9"/>
      <w:outlineLvl w:val="0"/>
      <w:rPr>
        <w:rFonts w:hAnsi="宋体"/>
        <w:b/>
        <w:bCs/>
        <w:szCs w:val="21"/>
      </w:rPr>
    </w:pPr>
    <w:r>
      <w:rPr>
        <w:rFonts w:hint="eastAsia" w:hAnsi="宋体"/>
        <w:b/>
        <w:bCs/>
        <w:sz w:val="18"/>
        <w:szCs w:val="18"/>
      </w:rPr>
      <w:t>海</w:t>
    </w:r>
    <w:r>
      <w:rPr>
        <w:rFonts w:hint="eastAsia" w:hAnsi="宋体"/>
        <w:b/>
        <w:bCs/>
        <w:szCs w:val="21"/>
      </w:rPr>
      <w:t>口市政府采购中心                    海口市人民医院物业服务项目（C包 安保服务）</w:t>
    </w:r>
  </w:p>
  <w:p w14:paraId="5100982C">
    <w:pPr>
      <w:pStyle w:val="9"/>
      <w:ind w:left="5679" w:leftChars="1893" w:firstLine="3915" w:firstLineChars="1300"/>
      <w:outlineLvl w:val="0"/>
      <w:rPr>
        <w:rFonts w:hAnsi="宋体"/>
        <w:b/>
        <w:bCs/>
        <w:szCs w:val="21"/>
      </w:rPr>
    </w:pPr>
    <w:r>
      <w:rPr>
        <w:rFonts w:hint="eastAsia" w:hAnsi="宋体"/>
        <w:b/>
        <w:bCs/>
        <w:szCs w:val="21"/>
      </w:rPr>
      <w:t>/HKGP-2021-0038</w:t>
    </w:r>
  </w:p>
  <w:p w14:paraId="44F3DD65">
    <w:pPr>
      <w:pStyle w:val="11"/>
      <w:pBdr>
        <w:bottom w:val="none" w:color="auto" w:sz="0" w:space="1"/>
      </w:pBdr>
    </w:pPr>
    <w:r>
      <w:rPr>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3A5D2"/>
    <w:multiLevelType w:val="singleLevel"/>
    <w:tmpl w:val="88C3A5D2"/>
    <w:lvl w:ilvl="0" w:tentative="0">
      <w:start w:val="1"/>
      <w:numFmt w:val="decimal"/>
      <w:suff w:val="nothing"/>
      <w:lvlText w:val="%1、"/>
      <w:lvlJc w:val="left"/>
      <w:rPr>
        <w:rFonts w:hint="default" w:asciiTheme="minorEastAsia" w:hAnsiTheme="minorEastAsia" w:eastAsiaTheme="minorEastAsia" w:cstheme="minorEastAsia"/>
      </w:rPr>
    </w:lvl>
  </w:abstractNum>
  <w:abstractNum w:abstractNumId="1">
    <w:nsid w:val="930DA8F8"/>
    <w:multiLevelType w:val="singleLevel"/>
    <w:tmpl w:val="930DA8F8"/>
    <w:lvl w:ilvl="0" w:tentative="0">
      <w:start w:val="1"/>
      <w:numFmt w:val="decimal"/>
      <w:suff w:val="nothing"/>
      <w:lvlText w:val="%1、"/>
      <w:lvlJc w:val="left"/>
    </w:lvl>
  </w:abstractNum>
  <w:abstractNum w:abstractNumId="2">
    <w:nsid w:val="DF25B419"/>
    <w:multiLevelType w:val="singleLevel"/>
    <w:tmpl w:val="DF25B419"/>
    <w:lvl w:ilvl="0" w:tentative="0">
      <w:start w:val="1"/>
      <w:numFmt w:val="decimal"/>
      <w:lvlText w:val="%1."/>
      <w:lvlJc w:val="left"/>
      <w:pPr>
        <w:tabs>
          <w:tab w:val="left" w:pos="312"/>
        </w:tabs>
      </w:pPr>
      <w:rPr>
        <w:rFonts w:hint="default"/>
        <w:sz w:val="24"/>
        <w:szCs w:val="24"/>
      </w:rPr>
    </w:lvl>
  </w:abstractNum>
  <w:abstractNum w:abstractNumId="3">
    <w:nsid w:val="EA2C9242"/>
    <w:multiLevelType w:val="singleLevel"/>
    <w:tmpl w:val="EA2C9242"/>
    <w:lvl w:ilvl="0" w:tentative="0">
      <w:start w:val="1"/>
      <w:numFmt w:val="chineseCounting"/>
      <w:suff w:val="nothing"/>
      <w:lvlText w:val="%1、"/>
      <w:lvlJc w:val="left"/>
      <w:pPr>
        <w:ind w:left="0" w:firstLine="420"/>
      </w:pPr>
      <w:rPr>
        <w:rFonts w:hint="eastAsia"/>
      </w:rPr>
    </w:lvl>
  </w:abstractNum>
  <w:abstractNum w:abstractNumId="4">
    <w:nsid w:val="0000001B"/>
    <w:multiLevelType w:val="singleLevel"/>
    <w:tmpl w:val="0000001B"/>
    <w:lvl w:ilvl="0" w:tentative="0">
      <w:start w:val="1"/>
      <w:numFmt w:val="decimal"/>
      <w:suff w:val="nothing"/>
      <w:lvlText w:val="%1、"/>
      <w:lvlJc w:val="left"/>
    </w:lvl>
  </w:abstractNum>
  <w:abstractNum w:abstractNumId="5">
    <w:nsid w:val="1BD896DB"/>
    <w:multiLevelType w:val="singleLevel"/>
    <w:tmpl w:val="1BD896DB"/>
    <w:lvl w:ilvl="0" w:tentative="0">
      <w:start w:val="2"/>
      <w:numFmt w:val="chineseCounting"/>
      <w:suff w:val="nothing"/>
      <w:lvlText w:val="（%1）"/>
      <w:lvlJc w:val="left"/>
      <w:rPr>
        <w:rFonts w:hint="eastAsia"/>
      </w:rPr>
    </w:lvl>
  </w:abstractNum>
  <w:abstractNum w:abstractNumId="6">
    <w:nsid w:val="33D287F2"/>
    <w:multiLevelType w:val="singleLevel"/>
    <w:tmpl w:val="33D287F2"/>
    <w:lvl w:ilvl="0" w:tentative="0">
      <w:start w:val="1"/>
      <w:numFmt w:val="decimal"/>
      <w:suff w:val="nothing"/>
      <w:lvlText w:val="%1、"/>
      <w:lvlJc w:val="left"/>
    </w:lvl>
  </w:abstractNum>
  <w:abstractNum w:abstractNumId="7">
    <w:nsid w:val="549543D5"/>
    <w:multiLevelType w:val="singleLevel"/>
    <w:tmpl w:val="549543D5"/>
    <w:lvl w:ilvl="0" w:tentative="0">
      <w:start w:val="1"/>
      <w:numFmt w:val="decimal"/>
      <w:suff w:val="nothing"/>
      <w:lvlText w:val="%1、"/>
      <w:lvlJc w:val="left"/>
    </w:lvl>
  </w:abstractNum>
  <w:num w:numId="1">
    <w:abstractNumId w:val="3"/>
  </w:num>
  <w:num w:numId="2">
    <w:abstractNumId w:val="2"/>
  </w:num>
  <w:num w:numId="3">
    <w:abstractNumId w:val="7"/>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A7FA1"/>
    <w:rsid w:val="000D34DD"/>
    <w:rsid w:val="001E6D75"/>
    <w:rsid w:val="00554631"/>
    <w:rsid w:val="006A264D"/>
    <w:rsid w:val="009A133C"/>
    <w:rsid w:val="00AB1294"/>
    <w:rsid w:val="00B13185"/>
    <w:rsid w:val="00B9442F"/>
    <w:rsid w:val="00BF5E30"/>
    <w:rsid w:val="00F079B9"/>
    <w:rsid w:val="00F302FC"/>
    <w:rsid w:val="00FA4683"/>
    <w:rsid w:val="0157544E"/>
    <w:rsid w:val="0170170D"/>
    <w:rsid w:val="04E310A0"/>
    <w:rsid w:val="0C6F264F"/>
    <w:rsid w:val="14C016D0"/>
    <w:rsid w:val="172528E1"/>
    <w:rsid w:val="1C146065"/>
    <w:rsid w:val="1CA70991"/>
    <w:rsid w:val="20F46465"/>
    <w:rsid w:val="21721298"/>
    <w:rsid w:val="253908EB"/>
    <w:rsid w:val="27343C6E"/>
    <w:rsid w:val="2BA226AF"/>
    <w:rsid w:val="2EFD3AF8"/>
    <w:rsid w:val="2F4A7FA1"/>
    <w:rsid w:val="343155AF"/>
    <w:rsid w:val="38A362D3"/>
    <w:rsid w:val="413B3B46"/>
    <w:rsid w:val="45EA198E"/>
    <w:rsid w:val="46CC7A89"/>
    <w:rsid w:val="47D811E8"/>
    <w:rsid w:val="487970CD"/>
    <w:rsid w:val="49502686"/>
    <w:rsid w:val="4BBC2EE8"/>
    <w:rsid w:val="52FC4B82"/>
    <w:rsid w:val="548404FA"/>
    <w:rsid w:val="57F620E0"/>
    <w:rsid w:val="58F013F5"/>
    <w:rsid w:val="591E3AA4"/>
    <w:rsid w:val="5BA91691"/>
    <w:rsid w:val="5BFC5BBF"/>
    <w:rsid w:val="5D4B0BE0"/>
    <w:rsid w:val="603F21AA"/>
    <w:rsid w:val="60FC3A2D"/>
    <w:rsid w:val="615E770D"/>
    <w:rsid w:val="6427176C"/>
    <w:rsid w:val="668A09CB"/>
    <w:rsid w:val="68ED19C4"/>
    <w:rsid w:val="698A2A90"/>
    <w:rsid w:val="713D7BBE"/>
    <w:rsid w:val="75093403"/>
    <w:rsid w:val="759B5CF0"/>
    <w:rsid w:val="76397F86"/>
    <w:rsid w:val="78E421BD"/>
    <w:rsid w:val="7B5B0730"/>
    <w:rsid w:val="7B9B7855"/>
    <w:rsid w:val="7CB4634A"/>
    <w:rsid w:val="7F7F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rPr>
  </w:style>
  <w:style w:type="paragraph" w:styleId="3">
    <w:name w:val="heading 2"/>
    <w:basedOn w:val="1"/>
    <w:next w:val="1"/>
    <w:qFormat/>
    <w:uiPriority w:val="0"/>
    <w:pPr>
      <w:keepNext/>
      <w:keepLines/>
      <w:spacing w:line="416" w:lineRule="auto"/>
      <w:jc w:val="center"/>
      <w:outlineLvl w:val="1"/>
    </w:pPr>
    <w:rPr>
      <w:rFonts w:ascii="Arial" w:hAnsi="Arial"/>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qFormat/>
    <w:uiPriority w:val="99"/>
    <w:pPr>
      <w:spacing w:after="120"/>
    </w:pPr>
  </w:style>
  <w:style w:type="paragraph" w:styleId="7">
    <w:name w:val="Body Text Indent"/>
    <w:basedOn w:val="1"/>
    <w:next w:val="8"/>
    <w:qFormat/>
    <w:uiPriority w:val="0"/>
    <w:pPr>
      <w:snapToGrid w:val="0"/>
      <w:spacing w:line="360" w:lineRule="auto"/>
      <w:ind w:firstLine="538" w:firstLineChars="192"/>
    </w:pPr>
    <w:rPr>
      <w:rFonts w:ascii="仿宋_GB2312" w:eastAsia="仿宋_GB2312"/>
      <w:bCs/>
      <w:sz w:val="28"/>
      <w:szCs w:val="28"/>
    </w:rPr>
  </w:style>
  <w:style w:type="paragraph" w:styleId="8">
    <w:name w:val="Body Text First Indent 2"/>
    <w:basedOn w:val="7"/>
    <w:next w:val="1"/>
    <w:unhideWhenUsed/>
    <w:qFormat/>
    <w:uiPriority w:val="0"/>
    <w:pPr>
      <w:spacing w:after="120" w:line="240" w:lineRule="auto"/>
      <w:ind w:left="420" w:leftChars="200" w:firstLine="420" w:firstLineChars="200"/>
    </w:pPr>
    <w:rPr>
      <w:sz w:val="21"/>
      <w:szCs w:val="21"/>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Hyperlink"/>
    <w:basedOn w:val="15"/>
    <w:qFormat/>
    <w:uiPriority w:val="0"/>
    <w:rPr>
      <w:color w:val="013F7C"/>
      <w:u w:val="none"/>
    </w:rPr>
  </w:style>
  <w:style w:type="character" w:styleId="18">
    <w:name w:val="annotation reference"/>
    <w:basedOn w:val="15"/>
    <w:qFormat/>
    <w:uiPriority w:val="0"/>
    <w:rPr>
      <w:sz w:val="21"/>
      <w:szCs w:val="21"/>
    </w:rPr>
  </w:style>
  <w:style w:type="paragraph" w:customStyle="1" w:styleId="19">
    <w:name w:val="引用1"/>
    <w:basedOn w:val="1"/>
    <w:next w:val="1"/>
    <w:qFormat/>
    <w:uiPriority w:val="99"/>
    <w:rPr>
      <w:rFonts w:ascii="Calibri" w:hAnsi="Calibri" w:cs="Calibri"/>
      <w:i/>
      <w:iCs/>
      <w:color w:val="000000"/>
      <w:sz w:val="22"/>
      <w:szCs w:val="22"/>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Default"/>
    <w:qFormat/>
    <w:uiPriority w:val="0"/>
    <w:pPr>
      <w:widowControl w:val="0"/>
      <w:autoSpaceDE w:val="0"/>
      <w:autoSpaceDN w:val="0"/>
    </w:pPr>
    <w:rPr>
      <w:rFonts w:hint="eastAsia" w:ascii="Arial" w:hAnsi="Arial" w:eastAsia="Arial" w:cs="Times New Roman"/>
      <w:color w:val="000000"/>
      <w:sz w:val="24"/>
      <w:lang w:val="en-US" w:eastAsia="zh-CN" w:bidi="ar-SA"/>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3">
    <w:name w:val="NormalCharacter"/>
    <w:qFormat/>
    <w:uiPriority w:val="0"/>
    <w:rPr>
      <w:sz w:val="21"/>
      <w:lang w:val="en-US" w:eastAsia="zh-CN" w:bidi="ar-SA"/>
    </w:rPr>
  </w:style>
  <w:style w:type="paragraph" w:customStyle="1" w:styleId="24">
    <w:name w:val="UserStyle_22"/>
    <w:basedOn w:val="1"/>
    <w:qFormat/>
    <w:uiPriority w:val="0"/>
    <w:pPr>
      <w:widowControl/>
      <w:textAlignment w:val="baseline"/>
    </w:pPr>
    <w:rPr>
      <w:rFonts w:ascii="宋体" w:hAnsi="宋体"/>
      <w:kern w:val="0"/>
      <w:szCs w:val="21"/>
    </w:rPr>
  </w:style>
  <w:style w:type="paragraph" w:customStyle="1" w:styleId="25">
    <w:name w:val="样式3"/>
    <w:basedOn w:val="9"/>
    <w:qFormat/>
    <w:uiPriority w:val="0"/>
    <w:pPr>
      <w:spacing w:line="0" w:lineRule="atLeast"/>
      <w:outlineLvl w:val="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4268</Words>
  <Characters>4845</Characters>
  <Lines>187</Lines>
  <Paragraphs>52</Paragraphs>
  <TotalTime>0</TotalTime>
  <ScaleCrop>false</ScaleCrop>
  <LinksUpToDate>false</LinksUpToDate>
  <CharactersWithSpaces>4946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2025-09-30T09:01:00Z</dcterms:created>
  <dc:creator>旅途</dc:creator>
  <cp:lastModifiedBy>15103004526</cp:lastModifiedBy>
  <dcterms:modified xsi:type="dcterms:W3CDTF">2025-10-17T06:48:09Z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14B2689BA3B640D4B980C21B5EACF1BF_13</vt:lpwstr>
  </property>
  <property fmtid="{D5CDD505-2E9C-101B-9397-08002B2CF9AE}" pid="4" name="KSOTemplateDocerSaveRecord">
    <vt:lpwstr>eyJoZGlkIjoiYWY3MWJhMWRkZWU5MDA3MzBlOGQyOTZlN2I0NDVkOTUiLCJ1c2VySWQiOiI3NTE2MzkyOTIifQ==</vt:lpwstr>
  </property>
</Properties>
</file>