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E93F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lang w:val="en-US" w:eastAsia="zh-CN"/>
        </w:rPr>
        <w:t xml:space="preserve"> </w:t>
      </w:r>
    </w:p>
    <w:p w14:paraId="0EA96519">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375561633"/>
      <w:bookmarkStart w:id="1" w:name="_Toc415058575"/>
      <w:bookmarkStart w:id="2" w:name="_Toc415058499"/>
    </w:p>
    <w:p w14:paraId="03A9BFF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44"/>
          <w:szCs w:val="44"/>
          <w:lang w:val="en-US" w:eastAsia="zh-CN"/>
        </w:rPr>
      </w:pPr>
    </w:p>
    <w:p w14:paraId="0E606B98">
      <w:pPr>
        <w:keepNext w:val="0"/>
        <w:keepLines w:val="0"/>
        <w:pageBreakBefore w:val="0"/>
        <w:widowControl w:val="0"/>
        <w:kinsoku/>
        <w:wordWrap/>
        <w:overflowPunct/>
        <w:topLinePunct w:val="0"/>
        <w:autoSpaceDE/>
        <w:autoSpaceDN/>
        <w:bidi w:val="0"/>
        <w:adjustRightInd/>
        <w:snapToGrid/>
        <w:spacing w:line="900" w:lineRule="exact"/>
        <w:ind w:firstLine="440" w:firstLineChars="100"/>
        <w:jc w:val="center"/>
        <w:textAlignment w:val="auto"/>
        <w:rPr>
          <w:rFonts w:hint="eastAsia" w:ascii="方正公文小标宋" w:hAnsi="方正公文小标宋" w:eastAsia="方正公文小标宋" w:cs="方正公文小标宋"/>
          <w:b/>
          <w:sz w:val="44"/>
          <w:szCs w:val="44"/>
          <w:highlight w:val="none"/>
          <w:lang w:val="en-US" w:eastAsia="zh-CN"/>
        </w:rPr>
      </w:pPr>
      <w:r>
        <w:rPr>
          <w:rFonts w:hint="eastAsia" w:ascii="方正公文小标宋" w:hAnsi="方正公文小标宋" w:eastAsia="方正公文小标宋" w:cs="方正公文小标宋"/>
          <w:b/>
          <w:sz w:val="44"/>
          <w:szCs w:val="44"/>
          <w:highlight w:val="none"/>
          <w:lang w:val="en-US" w:eastAsia="zh-CN"/>
        </w:rPr>
        <w:t>海南卫生健康职业学院律师咨询服务项目</w:t>
      </w:r>
    </w:p>
    <w:p w14:paraId="139AC09D">
      <w:pPr>
        <w:rPr>
          <w:rFonts w:hint="eastAsia"/>
          <w:sz w:val="44"/>
          <w:szCs w:val="44"/>
        </w:rPr>
      </w:pPr>
    </w:p>
    <w:p w14:paraId="3355903D">
      <w:pPr>
        <w:rPr>
          <w:rFonts w:hint="eastAsia"/>
        </w:rPr>
      </w:pPr>
    </w:p>
    <w:p w14:paraId="6BE9B287">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color w:val="0000FF"/>
          <w:sz w:val="36"/>
          <w:szCs w:val="36"/>
        </w:rPr>
      </w:pPr>
    </w:p>
    <w:p w14:paraId="589C8061">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color w:val="auto"/>
          <w:sz w:val="36"/>
          <w:szCs w:val="36"/>
          <w:lang w:val="en-US" w:eastAsia="zh-CN"/>
        </w:rPr>
      </w:pPr>
      <w:r>
        <w:rPr>
          <w:rFonts w:hint="eastAsia" w:asciiTheme="minorEastAsia" w:hAnsiTheme="minorEastAsia" w:eastAsiaTheme="minorEastAsia" w:cstheme="minorEastAsia"/>
          <w:bCs w:val="0"/>
          <w:color w:val="auto"/>
          <w:sz w:val="36"/>
          <w:szCs w:val="36"/>
        </w:rPr>
        <w:t>项目编号：HNWJY-FW202600</w:t>
      </w:r>
      <w:r>
        <w:rPr>
          <w:rFonts w:hint="eastAsia" w:asciiTheme="minorEastAsia" w:hAnsiTheme="minorEastAsia" w:eastAsiaTheme="minorEastAsia" w:cstheme="minorEastAsia"/>
          <w:bCs w:val="0"/>
          <w:color w:val="auto"/>
          <w:sz w:val="36"/>
          <w:szCs w:val="36"/>
          <w:lang w:val="en-US" w:eastAsia="zh-CN"/>
        </w:rPr>
        <w:t>6</w:t>
      </w:r>
    </w:p>
    <w:p w14:paraId="784539F0">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61C58670">
      <w:pPr>
        <w:spacing w:line="360" w:lineRule="auto"/>
        <w:ind w:firstLine="723" w:firstLineChars="100"/>
        <w:jc w:val="center"/>
        <w:rPr>
          <w:rFonts w:hint="eastAsia" w:ascii="宋体" w:hAnsi="宋体" w:eastAsia="宋体" w:cs="Times New Roman"/>
          <w:b/>
          <w:sz w:val="72"/>
          <w:szCs w:val="72"/>
          <w:highlight w:val="none"/>
          <w:lang w:val="en-US" w:eastAsia="zh-CN"/>
        </w:rPr>
      </w:pPr>
      <w:bookmarkStart w:id="3" w:name="_Toc325731733"/>
      <w:bookmarkStart w:id="4" w:name="_Toc325446794"/>
      <w:bookmarkStart w:id="5" w:name="_Toc326783408"/>
    </w:p>
    <w:p w14:paraId="1C5A0CD3">
      <w:pPr>
        <w:spacing w:line="360" w:lineRule="auto"/>
        <w:ind w:firstLine="522" w:firstLineChars="100"/>
        <w:jc w:val="center"/>
        <w:rPr>
          <w:rFonts w:hint="eastAsia" w:ascii="宋体" w:hAnsi="宋体" w:eastAsia="宋体" w:cs="Times New Roman"/>
          <w:b/>
          <w:sz w:val="52"/>
          <w:szCs w:val="52"/>
          <w:highlight w:val="none"/>
        </w:rPr>
      </w:pPr>
      <w:r>
        <w:rPr>
          <w:rFonts w:hint="eastAsia" w:hAnsi="宋体"/>
          <w:b/>
          <w:sz w:val="52"/>
          <w:szCs w:val="52"/>
          <w:lang w:eastAsia="zh-CN"/>
        </w:rPr>
        <w:t>校内</w:t>
      </w:r>
      <w:r>
        <w:rPr>
          <w:rFonts w:hint="eastAsia" w:ascii="宋体" w:hAnsi="宋体" w:eastAsia="宋体" w:cs="Times New Roman"/>
          <w:b/>
          <w:sz w:val="52"/>
          <w:szCs w:val="52"/>
          <w:highlight w:val="none"/>
          <w:lang w:val="en-US" w:eastAsia="zh-CN"/>
        </w:rPr>
        <w:t>竞争性</w:t>
      </w:r>
      <w:r>
        <w:rPr>
          <w:rFonts w:hint="eastAsia" w:hAnsi="宋体" w:cs="Times New Roman"/>
          <w:b/>
          <w:sz w:val="52"/>
          <w:szCs w:val="52"/>
          <w:highlight w:val="none"/>
          <w:lang w:val="en-US" w:eastAsia="zh-CN"/>
        </w:rPr>
        <w:t>磋商</w:t>
      </w:r>
      <w:r>
        <w:rPr>
          <w:rFonts w:hint="eastAsia" w:ascii="宋体" w:hAnsi="宋体" w:eastAsia="宋体" w:cs="Times New Roman"/>
          <w:b/>
          <w:sz w:val="52"/>
          <w:szCs w:val="52"/>
          <w:highlight w:val="none"/>
          <w:lang w:val="en-US" w:eastAsia="zh-CN"/>
        </w:rPr>
        <w:t>文</w:t>
      </w:r>
      <w:r>
        <w:rPr>
          <w:rFonts w:hint="eastAsia" w:ascii="宋体" w:hAnsi="宋体" w:eastAsia="宋体" w:cs="Times New Roman"/>
          <w:b/>
          <w:sz w:val="52"/>
          <w:szCs w:val="52"/>
          <w:highlight w:val="none"/>
        </w:rPr>
        <w:t>件</w:t>
      </w:r>
    </w:p>
    <w:p w14:paraId="0798D9D8">
      <w:pPr>
        <w:rPr>
          <w:rFonts w:hint="eastAsia"/>
        </w:rPr>
      </w:pPr>
    </w:p>
    <w:bookmarkEnd w:id="3"/>
    <w:bookmarkEnd w:id="4"/>
    <w:bookmarkEnd w:id="5"/>
    <w:p w14:paraId="75A9E8BD">
      <w:pPr>
        <w:rPr>
          <w:rFonts w:hint="eastAsia"/>
        </w:rPr>
      </w:pPr>
    </w:p>
    <w:p w14:paraId="3D7DDEA6">
      <w:pPr>
        <w:rPr>
          <w:rFonts w:hint="eastAsia"/>
        </w:rPr>
      </w:pPr>
    </w:p>
    <w:p w14:paraId="713E75BB">
      <w:pPr>
        <w:rPr>
          <w:rFonts w:hint="eastAsia"/>
        </w:rPr>
      </w:pPr>
    </w:p>
    <w:p w14:paraId="279723D2">
      <w:pPr>
        <w:rPr>
          <w:rFonts w:hint="eastAsia"/>
        </w:rPr>
      </w:pPr>
    </w:p>
    <w:p w14:paraId="7945893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sz w:val="36"/>
          <w:szCs w:val="36"/>
        </w:rPr>
      </w:pPr>
    </w:p>
    <w:p w14:paraId="32F230FA">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270933A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41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5月11日</w:t>
      </w:r>
    </w:p>
    <w:p w14:paraId="21CC1ECE">
      <w:pPr>
        <w:pStyle w:val="13"/>
        <w:shd w:val="clear"/>
        <w:tabs>
          <w:tab w:val="right" w:leader="dot" w:pos="9746"/>
        </w:tabs>
        <w:jc w:val="center"/>
        <w:rPr>
          <w:rStyle w:val="24"/>
          <w:rFonts w:hint="eastAsia" w:asciiTheme="minorEastAsia" w:hAnsiTheme="minorEastAsia" w:eastAsiaTheme="minorEastAsia" w:cstheme="minorEastAsia"/>
          <w:b/>
          <w:sz w:val="32"/>
          <w:szCs w:val="32"/>
          <w:highlight w:val="none"/>
          <w:lang w:val="en-US" w:eastAsia="zh-CN"/>
        </w:rPr>
      </w:pPr>
      <w:bookmarkStart w:id="6" w:name="_Toc9970"/>
      <w:bookmarkStart w:id="7" w:name="_Toc11124"/>
      <w:bookmarkStart w:id="8" w:name="_Toc356491305"/>
      <w:bookmarkStart w:id="9" w:name="_Toc40089788"/>
    </w:p>
    <w:p w14:paraId="4A4379B8">
      <w:pPr>
        <w:pStyle w:val="13"/>
        <w:shd w:val="clear"/>
        <w:tabs>
          <w:tab w:val="right" w:leader="dot" w:pos="9746"/>
        </w:tabs>
        <w:jc w:val="center"/>
        <w:rPr>
          <w:rStyle w:val="24"/>
          <w:rFonts w:hint="eastAsia" w:asciiTheme="minorEastAsia" w:hAnsiTheme="minorEastAsia" w:eastAsiaTheme="minorEastAsia" w:cstheme="minorEastAsia"/>
          <w:b/>
          <w:sz w:val="32"/>
          <w:szCs w:val="32"/>
          <w:highlight w:val="none"/>
          <w:lang w:val="en-US" w:eastAsia="zh-CN"/>
        </w:rPr>
      </w:pPr>
      <w:r>
        <w:rPr>
          <w:rStyle w:val="24"/>
          <w:rFonts w:hint="eastAsia" w:asciiTheme="minorEastAsia" w:hAnsiTheme="minorEastAsia" w:eastAsiaTheme="minorEastAsia" w:cstheme="minorEastAsia"/>
          <w:b/>
          <w:sz w:val="32"/>
          <w:szCs w:val="32"/>
          <w:highlight w:val="none"/>
          <w:lang w:val="en-US" w:eastAsia="zh-CN"/>
        </w:rPr>
        <w:t>目  录</w:t>
      </w:r>
    </w:p>
    <w:bookmarkEnd w:id="6"/>
    <w:bookmarkEnd w:id="7"/>
    <w:p w14:paraId="31B002C1">
      <w:pPr>
        <w:pStyle w:val="13"/>
        <w:tabs>
          <w:tab w:val="right" w:leader="dot" w:pos="9746"/>
        </w:tabs>
        <w:rPr>
          <w:rFonts w:hint="eastAsia" w:ascii="仿宋_GB2312" w:hAnsi="仿宋_GB2312" w:eastAsia="仿宋_GB2312" w:cs="仿宋_GB2312"/>
        </w:rPr>
      </w:pPr>
      <w:r>
        <w:rPr>
          <w:rStyle w:val="24"/>
          <w:rFonts w:hint="eastAsia" w:ascii="仿宋_GB2312" w:hAnsi="仿宋_GB2312" w:eastAsia="仿宋_GB2312" w:cs="仿宋_GB2312"/>
          <w:b/>
          <w:sz w:val="32"/>
          <w:szCs w:val="32"/>
          <w:highlight w:val="none"/>
        </w:rPr>
        <w:fldChar w:fldCharType="begin"/>
      </w:r>
      <w:r>
        <w:rPr>
          <w:rStyle w:val="24"/>
          <w:rFonts w:hint="eastAsia" w:ascii="仿宋_GB2312" w:hAnsi="仿宋_GB2312" w:eastAsia="仿宋_GB2312" w:cs="仿宋_GB2312"/>
          <w:b/>
          <w:sz w:val="32"/>
          <w:szCs w:val="32"/>
          <w:highlight w:val="none"/>
        </w:rPr>
        <w:instrText xml:space="preserve">TOC \o "1-2" \h \u </w:instrText>
      </w:r>
      <w:r>
        <w:rPr>
          <w:rStyle w:val="24"/>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szCs w:val="32"/>
          <w:highlight w:val="none"/>
        </w:rPr>
        <w:fldChar w:fldCharType="begin"/>
      </w:r>
      <w:r>
        <w:rPr>
          <w:rFonts w:hint="eastAsia" w:ascii="仿宋_GB2312" w:hAnsi="仿宋_GB2312" w:eastAsia="仿宋_GB2312" w:cs="仿宋_GB2312"/>
          <w:szCs w:val="32"/>
          <w:highlight w:val="none"/>
        </w:rPr>
        <w:instrText xml:space="preserve"> HYPERLINK \l _Toc11124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szCs w:val="32"/>
          <w:highlight w:val="none"/>
          <w:lang w:val="en-US" w:eastAsia="zh-CN"/>
        </w:rPr>
        <w:t>目  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_Toc11124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szCs w:val="32"/>
          <w:highlight w:val="none"/>
        </w:rPr>
        <w:fldChar w:fldCharType="end"/>
      </w:r>
    </w:p>
    <w:p w14:paraId="79B1988F">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_Toc24815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highlight w:val="none"/>
        </w:rPr>
        <w:t>第一部分 竞争性谈判公告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_Toc24815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6975275E">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_Toc12548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第二部分  开标、评标、定标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_Toc12548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6859B3A2">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_Toc7846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第三部分 授予合同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_Toc7846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51177466">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_Toc28109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highlight w:val="none"/>
        </w:rPr>
        <w:t xml:space="preserve">第四部分 </w:t>
      </w:r>
      <w:r>
        <w:rPr>
          <w:rFonts w:hint="eastAsia" w:ascii="仿宋_GB2312" w:hAnsi="仿宋_GB2312" w:eastAsia="仿宋_GB2312" w:cs="仿宋_GB2312"/>
          <w:highlight w:val="none"/>
          <w:lang w:val="en-US" w:eastAsia="zh-CN"/>
        </w:rPr>
        <w:t>项目需</w:t>
      </w:r>
      <w:r>
        <w:rPr>
          <w:rFonts w:hint="eastAsia" w:ascii="仿宋_GB2312" w:hAnsi="仿宋_GB2312" w:eastAsia="仿宋_GB2312" w:cs="仿宋_GB2312"/>
          <w:highlight w:val="none"/>
        </w:rPr>
        <w:t>求及说明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_Toc28109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3CEC0042">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_Toc25374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第五部分 报价文件格式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_Toc25374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- 27 -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4E5231E7">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_Toc6665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一、商务部分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_Toc6665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- 30 -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BC9A08B">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_Toc13087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6"/>
          <w:lang w:val="en-US" w:eastAsia="zh-CN"/>
        </w:rPr>
        <w:t>1.</w:t>
      </w:r>
      <w:r>
        <w:rPr>
          <w:rFonts w:hint="eastAsia" w:ascii="仿宋_GB2312" w:hAnsi="仿宋_GB2312" w:eastAsia="仿宋_GB2312" w:cs="仿宋_GB2312"/>
          <w:bCs/>
          <w:szCs w:val="36"/>
        </w:rPr>
        <w:t>附件1</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_Toc13087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- 30 -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571B6698">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_Toc26378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2.</w:t>
      </w:r>
      <w:r>
        <w:rPr>
          <w:rFonts w:hint="eastAsia" w:ascii="仿宋_GB2312" w:hAnsi="仿宋_GB2312" w:eastAsia="仿宋_GB2312" w:cs="仿宋_GB2312"/>
          <w:bCs/>
          <w:szCs w:val="36"/>
        </w:rPr>
        <w:t>附件2</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_Toc26378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B716D27">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_Toc25524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3.</w:t>
      </w:r>
      <w:r>
        <w:rPr>
          <w:rFonts w:hint="eastAsia" w:ascii="仿宋_GB2312" w:hAnsi="仿宋_GB2312" w:eastAsia="仿宋_GB2312" w:cs="仿宋_GB2312"/>
          <w:bCs/>
          <w:kern w:val="0"/>
          <w:szCs w:val="36"/>
          <w:lang w:val="en-US" w:eastAsia="zh-CN" w:bidi="ar-SA"/>
        </w:rPr>
        <w:t>附件3</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_Toc25524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- 32 -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6FF8BE7">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_Toc8872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4.</w:t>
      </w:r>
      <w:r>
        <w:rPr>
          <w:rFonts w:hint="eastAsia" w:ascii="仿宋_GB2312" w:hAnsi="仿宋_GB2312" w:eastAsia="仿宋_GB2312" w:cs="仿宋_GB2312"/>
          <w:bCs/>
          <w:kern w:val="0"/>
          <w:szCs w:val="36"/>
          <w:lang w:val="en-US" w:eastAsia="zh-CN" w:bidi="ar-SA"/>
        </w:rPr>
        <w:t>附件4</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_Toc8872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- 33 -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7508723F">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_Toc3171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二、 资信部分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3945A835">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_Toc16244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三、报价部分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_Toc16244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11368E4B">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_Toc19336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5.</w:t>
      </w:r>
      <w:r>
        <w:rPr>
          <w:rFonts w:hint="eastAsia" w:ascii="仿宋_GB2312" w:hAnsi="仿宋_GB2312" w:eastAsia="仿宋_GB2312" w:cs="仿宋_GB2312"/>
          <w:szCs w:val="36"/>
        </w:rPr>
        <w:t>附件</w:t>
      </w:r>
      <w:r>
        <w:rPr>
          <w:rFonts w:hint="eastAsia" w:ascii="仿宋_GB2312" w:hAnsi="仿宋_GB2312" w:eastAsia="仿宋_GB2312" w:cs="仿宋_GB2312"/>
          <w:szCs w:val="36"/>
          <w:lang w:val="en-US" w:eastAsia="zh-CN"/>
        </w:rPr>
        <w:t>5</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_Toc19336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1AADDDF">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_Toc13890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封套格式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_Toc13890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- 37 -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13EE26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end"/>
      </w:r>
      <w:bookmarkStart w:id="10" w:name="_Toc24815"/>
    </w:p>
    <w:p w14:paraId="031116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3C853D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5D01CC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649ED4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4298312B">
      <w:pPr>
        <w:pStyle w:val="2"/>
        <w:bidi w:val="0"/>
        <w:rPr>
          <w:rFonts w:hint="eastAsia" w:asciiTheme="minorEastAsia" w:hAnsiTheme="minorEastAsia" w:eastAsiaTheme="minorEastAsia" w:cstheme="minorEastAsia"/>
          <w:sz w:val="44"/>
          <w:szCs w:val="44"/>
          <w:highlight w:val="none"/>
        </w:rPr>
      </w:pPr>
      <w:r>
        <w:rPr>
          <w:rStyle w:val="24"/>
          <w:rFonts w:hint="eastAsia" w:asciiTheme="minorEastAsia" w:hAnsiTheme="minorEastAsia" w:eastAsiaTheme="minorEastAsia" w:cstheme="minorEastAsia"/>
          <w:b/>
          <w:sz w:val="44"/>
          <w:szCs w:val="44"/>
          <w:highlight w:val="none"/>
        </w:rPr>
        <w:t xml:space="preserve">第一部分 </w:t>
      </w:r>
      <w:bookmarkEnd w:id="8"/>
      <w:bookmarkEnd w:id="9"/>
      <w:r>
        <w:rPr>
          <w:rStyle w:val="24"/>
          <w:rFonts w:hint="eastAsia" w:asciiTheme="minorEastAsia" w:hAnsiTheme="minorEastAsia" w:eastAsiaTheme="minorEastAsia" w:cstheme="minorEastAsia"/>
          <w:b/>
          <w:sz w:val="44"/>
          <w:szCs w:val="44"/>
          <w:highlight w:val="none"/>
        </w:rPr>
        <w:t>竞争性</w:t>
      </w:r>
      <w:r>
        <w:rPr>
          <w:rStyle w:val="24"/>
          <w:rFonts w:hint="eastAsia" w:asciiTheme="minorEastAsia" w:hAnsiTheme="minorEastAsia" w:eastAsiaTheme="minorEastAsia" w:cstheme="minorEastAsia"/>
          <w:b/>
          <w:sz w:val="44"/>
          <w:szCs w:val="44"/>
          <w:highlight w:val="none"/>
          <w:lang w:eastAsia="zh-CN"/>
        </w:rPr>
        <w:t>磋商</w:t>
      </w:r>
      <w:r>
        <w:rPr>
          <w:rStyle w:val="24"/>
          <w:rFonts w:hint="eastAsia" w:asciiTheme="minorEastAsia" w:hAnsiTheme="minorEastAsia" w:eastAsiaTheme="minorEastAsia" w:cstheme="minorEastAsia"/>
          <w:b/>
          <w:sz w:val="44"/>
          <w:szCs w:val="44"/>
          <w:highlight w:val="none"/>
        </w:rPr>
        <w:t>公告</w:t>
      </w:r>
      <w:bookmarkEnd w:id="10"/>
    </w:p>
    <w:p w14:paraId="4685F4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bookmarkStart w:id="11" w:name="_Toc325582571"/>
      <w:bookmarkStart w:id="12" w:name="_Toc325582066"/>
      <w:bookmarkStart w:id="13" w:name="_Toc325620702"/>
    </w:p>
    <w:p w14:paraId="606201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b w:val="0"/>
          <w:bCs/>
          <w:color w:val="auto"/>
          <w:kern w:val="0"/>
          <w:sz w:val="32"/>
          <w:szCs w:val="32"/>
          <w:lang w:val="en-US" w:eastAsia="zh-CN"/>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386E684A">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leftChars="0" w:firstLine="640" w:firstLineChars="200"/>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海南卫生健康职业学院律师咨询服务项目</w:t>
      </w:r>
    </w:p>
    <w:p w14:paraId="04D8C490">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采购项目编号</w:t>
      </w:r>
    </w:p>
    <w:p w14:paraId="49C1BD73">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leftChars="0" w:firstLine="640" w:firstLineChars="200"/>
        <w:jc w:val="left"/>
        <w:textAlignment w:val="auto"/>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HNWJY-FW2026006</w:t>
      </w:r>
    </w:p>
    <w:p w14:paraId="60B7AA2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8"/>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7111"/>
        <w:gridCol w:w="2169"/>
      </w:tblGrid>
      <w:tr w14:paraId="0159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noWrap w:val="0"/>
            <w:vAlign w:val="center"/>
          </w:tcPr>
          <w:p w14:paraId="4A030D04">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w:t>
            </w:r>
          </w:p>
          <w:p w14:paraId="59F7D2D0">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名称</w:t>
            </w:r>
          </w:p>
        </w:tc>
        <w:tc>
          <w:tcPr>
            <w:tcW w:w="7111" w:type="dxa"/>
            <w:noWrap w:val="0"/>
            <w:vAlign w:val="center"/>
          </w:tcPr>
          <w:p w14:paraId="67D3C953">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投标人资格要求</w:t>
            </w:r>
          </w:p>
        </w:tc>
        <w:tc>
          <w:tcPr>
            <w:tcW w:w="2169" w:type="dxa"/>
            <w:noWrap w:val="0"/>
            <w:vAlign w:val="center"/>
          </w:tcPr>
          <w:p w14:paraId="2B3CC3E9">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56F9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6" w:hRule="atLeast"/>
          <w:jc w:val="center"/>
        </w:trPr>
        <w:tc>
          <w:tcPr>
            <w:tcW w:w="1378" w:type="dxa"/>
            <w:noWrap w:val="0"/>
            <w:vAlign w:val="center"/>
          </w:tcPr>
          <w:p w14:paraId="61953C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val="0"/>
                <w:bCs/>
                <w:color w:val="auto"/>
                <w:sz w:val="32"/>
                <w:szCs w:val="32"/>
                <w:lang w:val="en-US" w:eastAsia="zh-CN"/>
              </w:rPr>
            </w:pPr>
          </w:p>
          <w:p w14:paraId="2BD268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val="0"/>
                <w:bCs/>
                <w:color w:val="auto"/>
                <w:sz w:val="32"/>
                <w:szCs w:val="32"/>
                <w:lang w:val="en-US" w:eastAsia="zh-CN"/>
              </w:rPr>
            </w:pPr>
          </w:p>
          <w:p w14:paraId="25557BF4">
            <w:pPr>
              <w:keepNext w:val="0"/>
              <w:keepLines w:val="0"/>
              <w:pageBreakBefore w:val="0"/>
              <w:widowControl/>
              <w:numPr>
                <w:ilvl w:val="0"/>
                <w:numId w:val="0"/>
              </w:numPr>
              <w:shd w:val="clear" w:color="auto" w:fill="FFFFFF"/>
              <w:kinsoku/>
              <w:wordWrap/>
              <w:overflowPunct/>
              <w:topLinePunct w:val="0"/>
              <w:autoSpaceDE/>
              <w:autoSpaceDN/>
              <w:bidi w:val="0"/>
              <w:spacing w:line="560" w:lineRule="exact"/>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海南卫生健康职业学院律师咨询服务项目</w:t>
            </w:r>
          </w:p>
          <w:p w14:paraId="27E3603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ascii="仿宋" w:hAnsi="仿宋" w:eastAsia="仿宋" w:cs="仿宋"/>
                <w:b w:val="0"/>
                <w:bCs/>
                <w:color w:val="auto"/>
                <w:sz w:val="32"/>
                <w:szCs w:val="32"/>
              </w:rPr>
            </w:pPr>
          </w:p>
          <w:p w14:paraId="199CC2A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b w:val="0"/>
                <w:bCs/>
                <w:color w:val="auto"/>
                <w:sz w:val="32"/>
                <w:szCs w:val="32"/>
              </w:rPr>
            </w:pPr>
          </w:p>
          <w:p w14:paraId="0E5056FA">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b w:val="0"/>
                <w:bCs/>
                <w:color w:val="auto"/>
                <w:kern w:val="0"/>
                <w:sz w:val="32"/>
                <w:szCs w:val="32"/>
              </w:rPr>
            </w:pPr>
          </w:p>
        </w:tc>
        <w:tc>
          <w:tcPr>
            <w:tcW w:w="7111" w:type="dxa"/>
            <w:noWrap w:val="0"/>
            <w:vAlign w:val="center"/>
          </w:tcPr>
          <w:p w14:paraId="70619EFF">
            <w:pPr>
              <w:widowControl/>
              <w:numPr>
                <w:ilvl w:val="0"/>
                <w:numId w:val="0"/>
              </w:numPr>
              <w:shd w:val="clear" w:color="auto" w:fill="FFFFFF"/>
              <w:spacing w:line="440" w:lineRule="exact"/>
              <w:jc w:val="left"/>
              <w:rPr>
                <w:rFonts w:hint="eastAsia" w:ascii="仿宋" w:hAnsi="仿宋" w:eastAsia="仿宋" w:cs="仿宋"/>
                <w:b w:val="0"/>
                <w:bCs/>
                <w:color w:val="auto"/>
                <w:kern w:val="0"/>
                <w:sz w:val="32"/>
                <w:szCs w:val="32"/>
              </w:rPr>
            </w:pPr>
            <w:r>
              <w:rPr>
                <w:rFonts w:hint="eastAsia" w:ascii="仿宋" w:hAnsi="仿宋" w:eastAsia="仿宋" w:cs="仿宋"/>
                <w:sz w:val="32"/>
                <w:szCs w:val="32"/>
              </w:rPr>
              <w:t>1.符合《中华人民共和国政府采购法》第二十二条规定，在中国境内注册的具有独立法人资格或个体户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提供营业执照）</w:t>
            </w:r>
            <w:r>
              <w:rPr>
                <w:rFonts w:hint="eastAsia" w:ascii="仿宋" w:hAnsi="仿宋" w:eastAsia="仿宋" w:cs="仿宋"/>
                <w:b w:val="0"/>
                <w:bCs/>
                <w:color w:val="auto"/>
                <w:kern w:val="0"/>
                <w:sz w:val="32"/>
                <w:szCs w:val="32"/>
              </w:rPr>
              <w:t>；</w:t>
            </w:r>
          </w:p>
          <w:p w14:paraId="7A72341E">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2.</w:t>
            </w:r>
            <w:r>
              <w:rPr>
                <w:rFonts w:hint="eastAsia" w:ascii="仿宋" w:hAnsi="仿宋" w:eastAsia="仿宋" w:cs="仿宋"/>
                <w:b w:val="0"/>
                <w:bCs/>
                <w:color w:val="auto"/>
                <w:kern w:val="0"/>
                <w:sz w:val="32"/>
                <w:szCs w:val="32"/>
              </w:rPr>
              <w:t>在信用中国网(www.creditchina.gov.cn)未被列入政府采购严重违法失信名单、重大税收违法案件当事人名单、失信被惩戒对象和重点关注名单；提供以上对应名单的查询结果截图</w:t>
            </w:r>
            <w:r>
              <w:rPr>
                <w:rFonts w:hint="eastAsia" w:ascii="仿宋" w:hAnsi="仿宋" w:eastAsia="仿宋" w:cs="仿宋"/>
                <w:b w:val="0"/>
                <w:bCs/>
                <w:color w:val="auto"/>
                <w:kern w:val="0"/>
                <w:sz w:val="32"/>
                <w:szCs w:val="32"/>
                <w:lang w:eastAsia="zh-CN"/>
              </w:rPr>
              <w:t>，</w:t>
            </w:r>
          </w:p>
          <w:p w14:paraId="06C2087E">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3.</w:t>
            </w:r>
            <w:r>
              <w:rPr>
                <w:rFonts w:hint="eastAsia" w:ascii="仿宋" w:hAnsi="仿宋" w:eastAsia="仿宋" w:cs="仿宋"/>
                <w:b w:val="0"/>
                <w:bCs/>
                <w:color w:val="auto"/>
                <w:kern w:val="0"/>
                <w:sz w:val="32"/>
                <w:szCs w:val="32"/>
              </w:rPr>
              <w:t>未被列入全国律师执业诚信信息公示平台失信名单，或处于停止执业及以上行政处罚、行业惩戒期限内的查询结果截图</w:t>
            </w:r>
            <w:r>
              <w:rPr>
                <w:rFonts w:hint="eastAsia" w:ascii="仿宋" w:hAnsi="仿宋" w:eastAsia="仿宋" w:cs="仿宋"/>
                <w:b w:val="0"/>
                <w:bCs/>
                <w:color w:val="auto"/>
                <w:kern w:val="0"/>
                <w:sz w:val="32"/>
                <w:szCs w:val="32"/>
                <w:lang w:eastAsia="zh-CN"/>
              </w:rPr>
              <w:t>，</w:t>
            </w:r>
          </w:p>
          <w:p w14:paraId="0D9CD96B">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4.</w:t>
            </w:r>
            <w:r>
              <w:rPr>
                <w:rFonts w:hint="eastAsia" w:ascii="仿宋" w:hAnsi="仿宋" w:eastAsia="仿宋" w:cs="仿宋"/>
                <w:b w:val="0"/>
                <w:bCs/>
                <w:color w:val="auto"/>
                <w:kern w:val="0"/>
                <w:sz w:val="32"/>
                <w:szCs w:val="32"/>
              </w:rPr>
              <w:t>近三年内（成立时间不足三年的、自成立时间起），在经营活动中没有重大违法记录，提供声明函原件（</w:t>
            </w:r>
            <w:r>
              <w:rPr>
                <w:rFonts w:hint="eastAsia" w:ascii="仿宋" w:hAnsi="仿宋" w:eastAsia="仿宋" w:cs="仿宋"/>
                <w:b w:val="0"/>
                <w:bCs/>
                <w:color w:val="auto"/>
                <w:kern w:val="0"/>
                <w:sz w:val="32"/>
                <w:szCs w:val="32"/>
                <w:lang w:val="en-US" w:eastAsia="zh-CN"/>
              </w:rPr>
              <w:t>详见附件3</w:t>
            </w:r>
            <w:r>
              <w:rPr>
                <w:rFonts w:hint="eastAsia" w:ascii="仿宋" w:hAnsi="仿宋" w:eastAsia="仿宋" w:cs="仿宋"/>
                <w:b w:val="0"/>
                <w:bCs/>
                <w:color w:val="auto"/>
                <w:kern w:val="0"/>
                <w:sz w:val="32"/>
                <w:szCs w:val="32"/>
              </w:rPr>
              <w:t>）</w:t>
            </w:r>
          </w:p>
          <w:p w14:paraId="0D7DC976">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5.</w:t>
            </w:r>
            <w:r>
              <w:rPr>
                <w:rFonts w:hint="eastAsia" w:ascii="仿宋" w:hAnsi="仿宋" w:eastAsia="仿宋" w:cs="仿宋"/>
                <w:b w:val="0"/>
                <w:bCs/>
                <w:color w:val="auto"/>
                <w:kern w:val="0"/>
                <w:sz w:val="32"/>
                <w:szCs w:val="32"/>
                <w:lang w:eastAsia="zh-CN"/>
              </w:rPr>
              <w:t>投标人具备律师事务所执业许可证</w:t>
            </w:r>
            <w:r>
              <w:rPr>
                <w:rFonts w:hint="eastAsia" w:ascii="仿宋" w:hAnsi="仿宋" w:eastAsia="仿宋" w:cs="仿宋"/>
                <w:b w:val="0"/>
                <w:bCs/>
                <w:color w:val="auto"/>
                <w:kern w:val="0"/>
                <w:sz w:val="32"/>
                <w:szCs w:val="32"/>
              </w:rPr>
              <w:t>。</w:t>
            </w:r>
            <w:r>
              <w:rPr>
                <w:rFonts w:hint="eastAsia" w:ascii="仿宋" w:hAnsi="仿宋" w:eastAsia="仿宋" w:cs="仿宋"/>
                <w:b w:val="0"/>
                <w:bCs/>
                <w:color w:val="auto"/>
                <w:kern w:val="0"/>
                <w:sz w:val="32"/>
                <w:szCs w:val="32"/>
                <w:lang w:val="en-US" w:eastAsia="zh-CN"/>
              </w:rPr>
              <w:t xml:space="preserve"> </w:t>
            </w:r>
          </w:p>
          <w:p w14:paraId="3D0A8AAE">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6</w:t>
            </w:r>
            <w:r>
              <w:rPr>
                <w:rFonts w:hint="eastAsia" w:ascii="仿宋" w:hAnsi="仿宋" w:eastAsia="仿宋" w:cs="仿宋"/>
                <w:b w:val="0"/>
                <w:bCs/>
                <w:color w:val="auto"/>
                <w:kern w:val="0"/>
                <w:sz w:val="32"/>
                <w:szCs w:val="32"/>
              </w:rPr>
              <w:t>.本项目不接受联合体参与报价，成交后不允许转包</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提交承诺函。</w:t>
            </w:r>
          </w:p>
          <w:p w14:paraId="5E63B446">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rPr>
              <w:t>注：以上所有材料须加盖公章。</w:t>
            </w:r>
          </w:p>
        </w:tc>
        <w:tc>
          <w:tcPr>
            <w:tcW w:w="2169" w:type="dxa"/>
            <w:noWrap w:val="0"/>
            <w:vAlign w:val="center"/>
          </w:tcPr>
          <w:p w14:paraId="61AA5652">
            <w:pPr>
              <w:keepNext w:val="0"/>
              <w:keepLines w:val="0"/>
              <w:pageBreakBefore w:val="0"/>
              <w:widowControl w:val="0"/>
              <w:shd w:val="clear"/>
              <w:kinsoku/>
              <w:wordWrap/>
              <w:overflowPunct/>
              <w:topLinePunct w:val="0"/>
              <w:autoSpaceDE/>
              <w:autoSpaceDN/>
              <w:bidi w:val="0"/>
              <w:adjustRightInd w:val="0"/>
              <w:snapToGrid w:val="0"/>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25000元/年，3年75000元</w:t>
            </w:r>
          </w:p>
          <w:p w14:paraId="1C7F15B6">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b w:val="0"/>
                <w:bCs/>
                <w:color w:val="auto"/>
                <w:sz w:val="32"/>
                <w:szCs w:val="32"/>
                <w:lang w:val="en-US" w:eastAsia="zh-CN"/>
              </w:rPr>
            </w:pPr>
          </w:p>
        </w:tc>
      </w:tr>
    </w:tbl>
    <w:p w14:paraId="29ABBE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40480D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69F2420F">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报名时间：202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下午17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分（北京时间，法定节假日除外），逾期不再受理。</w:t>
      </w:r>
    </w:p>
    <w:p w14:paraId="620A471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81FC1F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采购文件获取方式：</w:t>
      </w:r>
      <w:r>
        <w:rPr>
          <w:rFonts w:hint="eastAsia" w:ascii="仿宋" w:hAnsi="仿宋" w:eastAsia="仿宋" w:cs="仿宋"/>
          <w:color w:val="auto"/>
          <w:sz w:val="32"/>
          <w:szCs w:val="32"/>
          <w:lang w:val="en-US" w:eastAsia="zh-CN"/>
        </w:rPr>
        <w:t>海南卫生健康职业学院官方</w:t>
      </w:r>
      <w:r>
        <w:rPr>
          <w:rFonts w:hint="eastAsia" w:ascii="仿宋" w:hAnsi="仿宋" w:eastAsia="仿宋" w:cs="仿宋"/>
          <w:color w:val="auto"/>
          <w:sz w:val="32"/>
          <w:szCs w:val="32"/>
        </w:rPr>
        <w:t>网站（https://www.hnhvc.edu.cn/1036/list.htm）自行下载。</w:t>
      </w:r>
    </w:p>
    <w:p w14:paraId="64682C8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递交报价文件时间及地点：</w:t>
      </w:r>
    </w:p>
    <w:p w14:paraId="25CDBD9F">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4.1 时间：报价文件递交截止时间202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分前（北京时间），逾期未提交报价文件者视为自动放弃本项目报价资格。</w:t>
      </w:r>
    </w:p>
    <w:p w14:paraId="37AC52BF">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p>
    <w:p w14:paraId="32735FB7">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5.开标时间及地点：</w:t>
      </w:r>
    </w:p>
    <w:p w14:paraId="596EAC03">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5.1 时间：2</w:t>
      </w:r>
      <w:r>
        <w:rPr>
          <w:rFonts w:hint="eastAsia" w:ascii="仿宋" w:hAnsi="仿宋" w:eastAsia="仿宋" w:cs="仿宋"/>
          <w:color w:val="auto"/>
          <w:sz w:val="32"/>
          <w:szCs w:val="32"/>
          <w:shd w:val="clear" w:color="auto" w:fill="auto"/>
          <w:lang w:val="en-US" w:eastAsia="zh-CN"/>
        </w:rPr>
        <w:t>026年5月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分前</w:t>
      </w:r>
      <w:r>
        <w:rPr>
          <w:rFonts w:hint="eastAsia" w:ascii="仿宋" w:hAnsi="仿宋" w:eastAsia="仿宋" w:cs="仿宋"/>
          <w:color w:val="auto"/>
          <w:sz w:val="32"/>
          <w:szCs w:val="32"/>
          <w:shd w:val="clear" w:color="auto" w:fill="auto"/>
        </w:rPr>
        <w:t>（北京时间）；</w:t>
      </w:r>
    </w:p>
    <w:p w14:paraId="665EECFE">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shd w:val="clear"/>
        </w:rPr>
        <w:t>。</w:t>
      </w:r>
    </w:p>
    <w:p w14:paraId="75DF377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报价要求及成交原则：</w:t>
      </w:r>
    </w:p>
    <w:p w14:paraId="09FED78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6.1报价的供应商向采购人做出一次性书面报价（单价、总价）（均按人民币进行报价）。</w:t>
      </w:r>
    </w:p>
    <w:p w14:paraId="4588BA6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6.2 成交原则：</w:t>
      </w:r>
      <w:r>
        <w:rPr>
          <w:rFonts w:hint="eastAsia" w:ascii="仿宋" w:hAnsi="仿宋" w:eastAsia="仿宋" w:cs="仿宋"/>
          <w:sz w:val="32"/>
          <w:szCs w:val="32"/>
        </w:rPr>
        <w:t>在符合本项目采购需求、质量和服务的前提下，综合得分最高的供应商为第一成交候选供应商,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7A5BDE43">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6.3</w:t>
      </w:r>
      <w:r>
        <w:rPr>
          <w:rFonts w:hint="eastAsia" w:ascii="仿宋" w:hAnsi="仿宋" w:eastAsia="仿宋" w:cs="仿宋"/>
          <w:sz w:val="32"/>
          <w:szCs w:val="32"/>
        </w:rPr>
        <w:t>若成交供应商在中标公告发布后，无正当理由放弃履行合同、未按规定时间签订合同或存在其他导致无法履约的情形，采购方有权取消其中标资格。届时，将按</w:t>
      </w:r>
      <w:r>
        <w:rPr>
          <w:rFonts w:hint="eastAsia" w:ascii="仿宋" w:hAnsi="仿宋" w:eastAsia="仿宋" w:cs="仿宋"/>
          <w:sz w:val="32"/>
          <w:szCs w:val="32"/>
          <w:lang w:eastAsia="zh-CN"/>
        </w:rPr>
        <w:t>中标</w:t>
      </w:r>
      <w:r>
        <w:rPr>
          <w:rFonts w:hint="eastAsia" w:ascii="仿宋" w:hAnsi="仿宋" w:eastAsia="仿宋" w:cs="仿宋"/>
          <w:sz w:val="32"/>
          <w:szCs w:val="32"/>
        </w:rPr>
        <w:t>顺序，由排名第二的候选供应商替补成为成交供应商（需满足本项目全部采购需求、质量及服务要求）；若排名第二的候选供应商同样无法履约，采购方可依次顺延替补或重新组织采购，具体按相关法律法规及</w:t>
      </w:r>
      <w:r>
        <w:rPr>
          <w:rFonts w:hint="eastAsia" w:ascii="仿宋" w:hAnsi="仿宋" w:eastAsia="仿宋" w:cs="仿宋"/>
          <w:sz w:val="32"/>
          <w:szCs w:val="32"/>
          <w:lang w:eastAsia="zh-CN"/>
        </w:rPr>
        <w:t>学院要求执行。</w:t>
      </w:r>
    </w:p>
    <w:p w14:paraId="2E63F9F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6.3供应商如对本项目报价，即不可撤回。否则，该供应商在今后一年内不得参与本单位的采购活动。</w:t>
      </w:r>
    </w:p>
    <w:p w14:paraId="0BB26C5E">
      <w:pPr>
        <w:keepNext w:val="0"/>
        <w:keepLines w:val="0"/>
        <w:pageBreakBefore w:val="0"/>
        <w:widowControl w:val="0"/>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报价文件编制要求：</w:t>
      </w:r>
    </w:p>
    <w:p w14:paraId="015B8C9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.1 本项目相关的资质证明材料；</w:t>
      </w:r>
    </w:p>
    <w:p w14:paraId="27B50A61">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.2 近三年内，在经营活动中没有重大违法记录的声明原件；</w:t>
      </w:r>
    </w:p>
    <w:p w14:paraId="61B2668A">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4EC3896E">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报价文件一式三份（包含相应材料，须胶装打印）电子文档1份（U盘</w:t>
      </w:r>
      <w:r>
        <w:rPr>
          <w:rFonts w:hint="eastAsia" w:ascii="仿宋" w:hAnsi="仿宋" w:eastAsia="仿宋" w:cs="仿宋"/>
          <w:color w:val="auto"/>
          <w:sz w:val="32"/>
          <w:szCs w:val="32"/>
          <w:lang w:val="en-US" w:eastAsia="zh-CN"/>
        </w:rPr>
        <w:t>或光盘</w:t>
      </w:r>
      <w:r>
        <w:rPr>
          <w:rFonts w:hint="eastAsia" w:ascii="仿宋" w:hAnsi="仿宋" w:eastAsia="仿宋" w:cs="仿宋"/>
          <w:color w:val="auto"/>
          <w:sz w:val="32"/>
          <w:szCs w:val="32"/>
        </w:rPr>
        <w:t>），其中正本壹份、副本贰份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正本、副本和电子文档一起密封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，“正本”和“副本”之间如有差异，以正本为准。在封面上注明项目名称、编号、盖章密封后递交采购人。</w:t>
      </w:r>
    </w:p>
    <w:p w14:paraId="764F7F0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52CD7B0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凌老师</w:t>
      </w:r>
    </w:p>
    <w:p w14:paraId="2FB5577B">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w:t>
      </w:r>
      <w:r>
        <w:rPr>
          <w:rFonts w:hint="eastAsia" w:ascii="仿宋" w:hAnsi="仿宋" w:eastAsia="仿宋" w:cs="仿宋"/>
          <w:sz w:val="32"/>
          <w:szCs w:val="32"/>
          <w:lang w:val="en-US" w:eastAsia="zh-CN"/>
        </w:rPr>
        <w:t>0898-68642247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0898-68662169</w:t>
      </w:r>
      <w:r>
        <w:rPr>
          <w:rFonts w:hint="eastAsia" w:ascii="仿宋" w:hAnsi="仿宋" w:eastAsia="仿宋" w:cs="仿宋"/>
          <w:sz w:val="32"/>
          <w:szCs w:val="32"/>
        </w:rPr>
        <w:t xml:space="preserve">   </w:t>
      </w:r>
    </w:p>
    <w:p w14:paraId="659C551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邮箱：hnwjy0898@163.com</w:t>
      </w:r>
    </w:p>
    <w:p w14:paraId="7D03D093">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海南卫生健康职业学院校长办公室</w:t>
      </w:r>
      <w:r>
        <w:rPr>
          <w:rFonts w:hint="eastAsia" w:ascii="仿宋" w:hAnsi="仿宋" w:eastAsia="仿宋" w:cs="仿宋"/>
          <w:sz w:val="32"/>
          <w:szCs w:val="32"/>
        </w:rPr>
        <w:t>(</w:t>
      </w:r>
      <w:r>
        <w:rPr>
          <w:rFonts w:hint="eastAsia" w:ascii="仿宋" w:hAnsi="仿宋" w:eastAsia="仿宋" w:cs="仿宋"/>
          <w:sz w:val="32"/>
          <w:szCs w:val="32"/>
          <w:lang w:val="en-US" w:eastAsia="zh-CN"/>
        </w:rPr>
        <w:t>海口市秀英区秀华路32号行政办公楼3楼305办公室</w:t>
      </w:r>
      <w:r>
        <w:rPr>
          <w:rFonts w:hint="eastAsia" w:ascii="仿宋" w:hAnsi="仿宋" w:eastAsia="仿宋" w:cs="仿宋"/>
          <w:sz w:val="32"/>
          <w:szCs w:val="32"/>
        </w:rPr>
        <w:t>)</w:t>
      </w:r>
    </w:p>
    <w:p w14:paraId="7031E97B">
      <w:pPr>
        <w:rPr>
          <w:rFonts w:hint="eastAsia" w:ascii="宋体" w:hAnsi="宋体" w:eastAsia="宋体" w:cs="宋体"/>
          <w:sz w:val="44"/>
          <w:szCs w:val="44"/>
        </w:rPr>
      </w:pPr>
      <w:bookmarkStart w:id="14" w:name="_Toc356491306"/>
      <w:r>
        <w:rPr>
          <w:rFonts w:hint="eastAsia"/>
        </w:rPr>
        <w:br w:type="page"/>
      </w:r>
      <w:bookmarkStart w:id="15" w:name="_Toc12548"/>
      <w:bookmarkStart w:id="16" w:name="_Toc29613"/>
      <w:bookmarkStart w:id="17" w:name="_Toc40089789"/>
    </w:p>
    <w:p w14:paraId="16293731">
      <w:pPr>
        <w:pStyle w:val="2"/>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sz w:val="44"/>
          <w:szCs w:val="44"/>
          <w:lang w:eastAsia="zh-CN"/>
        </w:rPr>
      </w:pPr>
      <w:r>
        <w:rPr>
          <w:rFonts w:hint="eastAsia" w:ascii="宋体" w:hAnsi="宋体" w:eastAsia="宋体" w:cs="宋体"/>
          <w:sz w:val="44"/>
          <w:szCs w:val="44"/>
        </w:rPr>
        <w:t xml:space="preserve">第二部分  </w:t>
      </w:r>
      <w:bookmarkEnd w:id="15"/>
      <w:r>
        <w:rPr>
          <w:rFonts w:hint="eastAsia" w:ascii="仿宋" w:hAnsi="仿宋" w:eastAsia="仿宋" w:cs="仿宋"/>
          <w:sz w:val="44"/>
          <w:szCs w:val="44"/>
          <w:lang w:eastAsia="zh-CN"/>
        </w:rPr>
        <w:t>供应商须知</w:t>
      </w:r>
    </w:p>
    <w:p w14:paraId="109E3147">
      <w:pPr>
        <w:adjustRightInd w:val="0"/>
        <w:snapToGrid w:val="0"/>
        <w:spacing w:line="560" w:lineRule="exact"/>
        <w:ind w:firstLine="640" w:firstLineChars="200"/>
        <w:rPr>
          <w:rFonts w:ascii="仿宋" w:hAnsi="仿宋" w:eastAsia="仿宋" w:cs="仿宋"/>
          <w:sz w:val="32"/>
          <w:szCs w:val="32"/>
        </w:rPr>
      </w:pPr>
      <w:bookmarkStart w:id="18" w:name="_Toc29040"/>
      <w:bookmarkStart w:id="19" w:name="_Toc325620714"/>
      <w:bookmarkStart w:id="20" w:name="_Toc332979555"/>
      <w:bookmarkStart w:id="21" w:name="_Toc18290"/>
      <w:bookmarkStart w:id="22" w:name="_Toc7846"/>
      <w:bookmarkStart w:id="23" w:name="_Toc332979561"/>
      <w:r>
        <w:rPr>
          <w:rFonts w:hint="eastAsia" w:ascii="仿宋" w:hAnsi="仿宋" w:eastAsia="仿宋" w:cs="仿宋"/>
          <w:sz w:val="32"/>
          <w:szCs w:val="32"/>
        </w:rPr>
        <w:t>一、开标</w:t>
      </w:r>
      <w:bookmarkEnd w:id="18"/>
      <w:bookmarkEnd w:id="19"/>
      <w:bookmarkEnd w:id="20"/>
    </w:p>
    <w:p w14:paraId="0A65418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5433BEA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69FB3DE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65D16E6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24FBF4D">
      <w:pPr>
        <w:adjustRightInd w:val="0"/>
        <w:snapToGrid w:val="0"/>
        <w:spacing w:line="560" w:lineRule="exact"/>
        <w:ind w:firstLine="640" w:firstLineChars="200"/>
        <w:rPr>
          <w:rFonts w:ascii="仿宋" w:hAnsi="仿宋" w:eastAsia="仿宋" w:cs="仿宋"/>
          <w:sz w:val="32"/>
          <w:szCs w:val="32"/>
        </w:rPr>
      </w:pPr>
      <w:bookmarkStart w:id="24" w:name="_Toc27176"/>
      <w:bookmarkStart w:id="25" w:name="_Toc332979556"/>
      <w:bookmarkStart w:id="26" w:name="_Toc325620715"/>
      <w:r>
        <w:rPr>
          <w:rFonts w:hint="eastAsia" w:ascii="仿宋" w:hAnsi="仿宋" w:eastAsia="仿宋" w:cs="仿宋"/>
          <w:sz w:val="32"/>
          <w:szCs w:val="32"/>
        </w:rPr>
        <w:t>二、</w:t>
      </w:r>
      <w:bookmarkEnd w:id="24"/>
      <w:bookmarkEnd w:id="25"/>
      <w:bookmarkEnd w:id="26"/>
      <w:r>
        <w:rPr>
          <w:rFonts w:hint="eastAsia" w:ascii="仿宋" w:hAnsi="仿宋" w:eastAsia="仿宋" w:cs="仿宋"/>
          <w:sz w:val="32"/>
          <w:szCs w:val="32"/>
        </w:rPr>
        <w:t>磋商小组</w:t>
      </w:r>
    </w:p>
    <w:p w14:paraId="008846A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本项目将根据项目特点组成磋商小组，其成员由学校推荐专家、采购人代表等组成，磋商小组负责对响应文件进行审查、质疑、评审，推荐成交候选供应商。</w:t>
      </w:r>
    </w:p>
    <w:p w14:paraId="2F3164ED">
      <w:pPr>
        <w:adjustRightInd w:val="0"/>
        <w:snapToGrid w:val="0"/>
        <w:spacing w:line="560" w:lineRule="exact"/>
        <w:ind w:firstLine="640" w:firstLineChars="200"/>
        <w:rPr>
          <w:rFonts w:ascii="仿宋" w:hAnsi="仿宋" w:eastAsia="仿宋" w:cs="仿宋"/>
          <w:sz w:val="32"/>
          <w:szCs w:val="32"/>
        </w:rPr>
      </w:pPr>
      <w:bookmarkStart w:id="27" w:name="_Toc27961"/>
      <w:bookmarkStart w:id="28" w:name="_Toc332979557"/>
      <w:bookmarkStart w:id="29" w:name="_Toc325620716"/>
      <w:r>
        <w:rPr>
          <w:rFonts w:hint="eastAsia" w:ascii="仿宋" w:hAnsi="仿宋" w:eastAsia="仿宋" w:cs="仿宋"/>
          <w:sz w:val="32"/>
          <w:szCs w:val="32"/>
        </w:rPr>
        <w:t>三、评审原则</w:t>
      </w:r>
      <w:bookmarkEnd w:id="27"/>
      <w:bookmarkEnd w:id="28"/>
      <w:bookmarkEnd w:id="29"/>
    </w:p>
    <w:p w14:paraId="200EE34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19AAF0F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48DEEBD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6A64A9A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14ECF67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280F8DF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53ECC0F6">
      <w:pPr>
        <w:adjustRightInd w:val="0"/>
        <w:snapToGrid w:val="0"/>
        <w:spacing w:line="560" w:lineRule="exact"/>
        <w:ind w:firstLine="640" w:firstLineChars="200"/>
        <w:rPr>
          <w:rFonts w:ascii="仿宋" w:hAnsi="仿宋" w:eastAsia="仿宋" w:cs="仿宋"/>
          <w:sz w:val="32"/>
          <w:szCs w:val="32"/>
        </w:rPr>
      </w:pPr>
      <w:bookmarkStart w:id="30" w:name="_Toc325620717"/>
      <w:bookmarkStart w:id="31" w:name="_Toc9800"/>
      <w:bookmarkStart w:id="32" w:name="_Toc332979558"/>
      <w:r>
        <w:rPr>
          <w:rFonts w:hint="eastAsia" w:ascii="仿宋" w:hAnsi="仿宋" w:eastAsia="仿宋" w:cs="仿宋"/>
          <w:sz w:val="32"/>
          <w:szCs w:val="32"/>
        </w:rPr>
        <w:t>四、</w:t>
      </w:r>
      <w:bookmarkEnd w:id="30"/>
      <w:bookmarkEnd w:id="31"/>
      <w:bookmarkEnd w:id="32"/>
      <w:r>
        <w:rPr>
          <w:rFonts w:hint="eastAsia" w:ascii="仿宋" w:hAnsi="仿宋" w:eastAsia="仿宋" w:cs="仿宋"/>
          <w:sz w:val="32"/>
          <w:szCs w:val="32"/>
        </w:rPr>
        <w:t>磋商程序</w:t>
      </w:r>
    </w:p>
    <w:p w14:paraId="16F6F068">
      <w:pPr>
        <w:adjustRightInd w:val="0"/>
        <w:snapToGrid w:val="0"/>
        <w:spacing w:line="560" w:lineRule="exact"/>
        <w:ind w:firstLine="640" w:firstLineChars="200"/>
        <w:rPr>
          <w:rFonts w:ascii="仿宋" w:hAnsi="仿宋" w:eastAsia="仿宋" w:cs="仿宋"/>
          <w:sz w:val="32"/>
          <w:szCs w:val="32"/>
        </w:rPr>
      </w:pPr>
      <w:bookmarkStart w:id="33" w:name="_Toc325620718"/>
      <w:r>
        <w:rPr>
          <w:rFonts w:hint="eastAsia" w:ascii="仿宋" w:hAnsi="仿宋" w:eastAsia="仿宋" w:cs="仿宋"/>
          <w:sz w:val="32"/>
          <w:szCs w:val="32"/>
        </w:rPr>
        <w:t>1.公开内容：采购人将对所有参与磋商的供应商的资料内容进行公开唱标（不包括报价）。</w:t>
      </w:r>
    </w:p>
    <w:p w14:paraId="5FC669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7498B3E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40AD1D9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5590FEE0">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258B96D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44AFEC0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2C7CFEE7">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2968D19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5F438C4A">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48F3D620">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1845F989">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7CF3A51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3863AB4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7E4138A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07123FB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389657B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73739F6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40E27AF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1FCDFCE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如出现供应商达不到法定数量、全部不符合磋商文件要求、串通报价、报价均超项目预算，导致磋商小组无法评审时，磋商小组有权停止本次磋商采购，否决所有供应商的报价，采购人有权改用其它采购方式进行采购。</w:t>
      </w:r>
    </w:p>
    <w:p w14:paraId="60E37637">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（3）禁止供应商相互串通报价：</w:t>
      </w:r>
    </w:p>
    <w:p w14:paraId="0FD3BCF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5829D3C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083DF7A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710F00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02B61D2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2BCAF21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668AB74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（4）有下列情形之一的，视为供应商相互串通报价：</w:t>
      </w:r>
    </w:p>
    <w:p w14:paraId="2F5D9AF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32BC21D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2D0EF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19DADC0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1EAEE83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4EDBACF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（5）弄虚作假的行为：</w:t>
      </w:r>
    </w:p>
    <w:p w14:paraId="5FEF13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7EB4AC08">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43C2FB7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796540F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16C5C3F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02F9261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3764C28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1B54E1C9">
      <w:pPr>
        <w:adjustRightInd w:val="0"/>
        <w:snapToGrid w:val="0"/>
        <w:spacing w:line="560" w:lineRule="exact"/>
        <w:ind w:firstLine="640" w:firstLineChars="200"/>
        <w:rPr>
          <w:rFonts w:ascii="仿宋" w:hAnsi="仿宋" w:eastAsia="仿宋" w:cs="仿宋"/>
          <w:sz w:val="32"/>
          <w:szCs w:val="32"/>
        </w:rPr>
      </w:pPr>
      <w:bookmarkStart w:id="34" w:name="_Toc332979559"/>
      <w:bookmarkStart w:id="35" w:name="_Toc22147"/>
      <w:r>
        <w:rPr>
          <w:rFonts w:hint="eastAsia" w:ascii="仿宋" w:hAnsi="仿宋" w:eastAsia="仿宋" w:cs="仿宋"/>
          <w:sz w:val="32"/>
          <w:szCs w:val="32"/>
        </w:rPr>
        <w:t>五、废标</w:t>
      </w:r>
      <w:bookmarkEnd w:id="33"/>
      <w:bookmarkEnd w:id="34"/>
      <w:bookmarkEnd w:id="35"/>
    </w:p>
    <w:p w14:paraId="1FFEF94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0994F92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1.符合专业条件的供应商或者对磋商文件作实质响应的供应商不足三家的；</w:t>
      </w:r>
    </w:p>
    <w:p w14:paraId="68E9FBC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29B2216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04B1723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1267743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5D8FA21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227CF2D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6F1EDC5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7614A035">
      <w:pPr>
        <w:adjustRightInd w:val="0"/>
        <w:snapToGrid w:val="0"/>
        <w:spacing w:line="560" w:lineRule="exact"/>
        <w:ind w:firstLine="640" w:firstLineChars="200"/>
        <w:rPr>
          <w:rFonts w:ascii="仿宋" w:hAnsi="仿宋" w:eastAsia="仿宋" w:cs="仿宋"/>
          <w:sz w:val="32"/>
          <w:szCs w:val="32"/>
        </w:rPr>
      </w:pPr>
      <w:bookmarkStart w:id="36" w:name="_Toc325620719"/>
      <w:bookmarkStart w:id="37" w:name="_Toc332979560"/>
      <w:bookmarkStart w:id="38" w:name="_Toc3341"/>
      <w:r>
        <w:rPr>
          <w:rFonts w:hint="eastAsia" w:ascii="仿宋" w:hAnsi="仿宋" w:eastAsia="仿宋" w:cs="仿宋"/>
          <w:sz w:val="32"/>
          <w:szCs w:val="32"/>
        </w:rPr>
        <w:t>六、中标通知书</w:t>
      </w:r>
      <w:bookmarkEnd w:id="36"/>
      <w:bookmarkEnd w:id="37"/>
      <w:bookmarkEnd w:id="38"/>
    </w:p>
    <w:p w14:paraId="5AAE132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113F231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084F50B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0FCB61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七、初步评审</w:t>
      </w:r>
    </w:p>
    <w:p w14:paraId="5F1E045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76DD115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八、决标办法</w:t>
      </w:r>
    </w:p>
    <w:p w14:paraId="57D53AF2">
      <w:pPr>
        <w:pStyle w:val="8"/>
        <w:spacing w:line="560" w:lineRule="exact"/>
        <w:ind w:firstLine="559"/>
        <w:rPr>
          <w:rFonts w:ascii="仿宋" w:hAnsi="仿宋" w:eastAsia="仿宋" w:cs="仿宋"/>
          <w:szCs w:val="32"/>
        </w:rPr>
      </w:pPr>
      <w:r>
        <w:rPr>
          <w:rFonts w:hint="eastAsia" w:ascii="仿宋" w:hAnsi="仿宋" w:eastAsia="仿宋" w:cs="仿宋"/>
          <w:szCs w:val="32"/>
        </w:rPr>
        <w:t>1.本项目为磋商项目，由磋商小组采用综合评分法对所有服务商的响应文件进行综合评分，综合得分最高的供应商为第一成交候选供应商，综合得分次高的供应商为第二成交候选供应商，以此类推。</w:t>
      </w:r>
    </w:p>
    <w:p w14:paraId="5B84F909">
      <w:pPr>
        <w:spacing w:line="560" w:lineRule="exact"/>
        <w:rPr>
          <w:sz w:val="32"/>
          <w:szCs w:val="32"/>
        </w:rPr>
        <w:sectPr>
          <w:footerReference r:id="rId9" w:type="default"/>
          <w:pgSz w:w="11910" w:h="16840"/>
          <w:pgMar w:top="1000" w:right="1160" w:bottom="840" w:left="1300" w:header="566" w:footer="654" w:gutter="0"/>
          <w:pgNumType w:start="40"/>
          <w:cols w:space="720" w:num="1"/>
        </w:sectPr>
      </w:pPr>
    </w:p>
    <w:p w14:paraId="2A37C555">
      <w:pPr>
        <w:pStyle w:val="2"/>
        <w:adjustRightInd w:val="0"/>
        <w:snapToGrid w:val="0"/>
        <w:spacing w:line="560" w:lineRule="exact"/>
        <w:rPr>
          <w:rFonts w:ascii="仿宋" w:hAnsi="仿宋" w:eastAsia="仿宋" w:cs="仿宋"/>
          <w:sz w:val="44"/>
        </w:rPr>
      </w:pPr>
      <w:bookmarkStart w:id="39" w:name="_Toc137754580"/>
      <w:r>
        <w:rPr>
          <w:rFonts w:hint="eastAsia" w:ascii="仿宋" w:hAnsi="仿宋" w:eastAsia="仿宋" w:cs="仿宋"/>
          <w:sz w:val="44"/>
        </w:rPr>
        <w:t>第三部分 评审办法</w:t>
      </w:r>
      <w:bookmarkEnd w:id="39"/>
    </w:p>
    <w:p w14:paraId="6887C5B8">
      <w:pPr>
        <w:rPr>
          <w:sz w:val="24"/>
          <w:szCs w:val="22"/>
        </w:rPr>
      </w:pPr>
    </w:p>
    <w:p w14:paraId="1C2EABF3">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12F3B3CD">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3DF89DF5">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227FE763">
      <w:pPr>
        <w:pStyle w:val="8"/>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4"/>
          <w:szCs w:val="32"/>
        </w:rPr>
        <w:t xml:space="preserve"> </w:t>
      </w:r>
      <w:r>
        <w:rPr>
          <w:rFonts w:hint="eastAsia" w:ascii="仿宋" w:hAnsi="仿宋" w:eastAsia="仿宋" w:cs="仿宋"/>
          <w:spacing w:val="-2"/>
          <w:szCs w:val="32"/>
        </w:rPr>
        <w:t>审，并进行技术和商务的评审打分。</w:t>
      </w:r>
    </w:p>
    <w:p w14:paraId="1FEE97EC">
      <w:pPr>
        <w:pStyle w:val="8"/>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71"/>
          <w:szCs w:val="32"/>
        </w:rPr>
        <w:t xml:space="preserve"> </w:t>
      </w:r>
      <w:r>
        <w:rPr>
          <w:rFonts w:hint="eastAsia" w:ascii="仿宋" w:hAnsi="仿宋" w:eastAsia="仿宋" w:cs="仿宋"/>
          <w:spacing w:val="-1"/>
          <w:szCs w:val="32"/>
        </w:rPr>
        <w:t>2）；</w:t>
      </w:r>
    </w:p>
    <w:p w14:paraId="1BCE4A1F">
      <w:pPr>
        <w:pStyle w:val="8"/>
        <w:adjustRightInd w:val="0"/>
        <w:snapToGrid w:val="0"/>
        <w:spacing w:line="560" w:lineRule="exact"/>
        <w:ind w:firstLine="380" w:firstLineChars="100"/>
        <w:jc w:val="left"/>
        <w:rPr>
          <w:rFonts w:ascii="仿宋" w:hAnsi="仿宋" w:eastAsia="仿宋" w:cs="仿宋"/>
          <w:szCs w:val="32"/>
        </w:rPr>
      </w:pPr>
      <w:r>
        <w:rPr>
          <w:rFonts w:hint="eastAsia" w:ascii="仿宋" w:hAnsi="仿宋" w:eastAsia="仿宋" w:cs="仿宋"/>
          <w:spacing w:val="30"/>
          <w:szCs w:val="32"/>
        </w:rPr>
        <w:t xml:space="preserve"> </w:t>
      </w:r>
      <w:r>
        <w:rPr>
          <w:rFonts w:hint="eastAsia" w:ascii="仿宋" w:hAnsi="仿宋" w:eastAsia="仿宋" w:cs="仿宋"/>
          <w:spacing w:val="2"/>
          <w:szCs w:val="32"/>
        </w:rPr>
        <w:t>（三）价格分统一采用低价优先法计算，将通过初步评审的所有供应商的投标价格，即满足竞争性磋商文件要求且价格最低的投标价为基准价，</w:t>
      </w:r>
      <w:r>
        <w:rPr>
          <w:rFonts w:hint="eastAsia" w:ascii="仿宋" w:hAnsi="仿宋" w:eastAsia="仿宋" w:cs="仿宋"/>
          <w:spacing w:val="-2"/>
          <w:szCs w:val="32"/>
        </w:rPr>
        <w:t>其价格分为满分。其他供应商的价格分统一按照下列公式计算：</w:t>
      </w:r>
    </w:p>
    <w:p w14:paraId="68C9B741">
      <w:pPr>
        <w:adjustRightInd w:val="0"/>
        <w:snapToGrid w:val="0"/>
        <w:spacing w:line="560" w:lineRule="exact"/>
        <w:jc w:val="left"/>
        <w:rPr>
          <w:rFonts w:ascii="仿宋" w:hAnsi="仿宋" w:eastAsia="仿宋" w:cs="仿宋"/>
          <w:b/>
          <w:spacing w:val="35"/>
          <w:w w:val="99"/>
          <w:sz w:val="32"/>
          <w:szCs w:val="32"/>
        </w:rPr>
      </w:pPr>
      <w:r>
        <w:rPr>
          <w:rFonts w:hint="eastAsia" w:ascii="仿宋" w:hAnsi="仿宋" w:eastAsia="仿宋" w:cs="仿宋"/>
          <w:b/>
          <w:spacing w:val="-1"/>
          <w:sz w:val="32"/>
          <w:szCs w:val="32"/>
        </w:rPr>
        <w:t>磋商报价得分=(基准价／最终报价)×价格权值×100</w:t>
      </w:r>
      <w:r>
        <w:rPr>
          <w:rFonts w:hint="eastAsia" w:ascii="仿宋" w:hAnsi="仿宋" w:eastAsia="仿宋" w:cs="仿宋"/>
          <w:b/>
          <w:spacing w:val="35"/>
          <w:w w:val="99"/>
          <w:sz w:val="32"/>
          <w:szCs w:val="32"/>
        </w:rPr>
        <w:t xml:space="preserve"> </w:t>
      </w:r>
    </w:p>
    <w:p w14:paraId="5D9CE1DE">
      <w:pPr>
        <w:adjustRightInd w:val="0"/>
        <w:snapToGrid w:val="0"/>
        <w:spacing w:line="560" w:lineRule="exact"/>
        <w:ind w:firstLine="948" w:firstLineChars="300"/>
        <w:jc w:val="left"/>
        <w:rPr>
          <w:rFonts w:ascii="黑体" w:hAnsi="黑体" w:eastAsia="黑体" w:cs="黑体"/>
          <w:sz w:val="32"/>
          <w:szCs w:val="32"/>
        </w:rPr>
      </w:pPr>
      <w:r>
        <w:rPr>
          <w:rFonts w:hint="eastAsia" w:ascii="黑体" w:hAnsi="黑体" w:eastAsia="黑体" w:cs="黑体"/>
          <w:spacing w:val="-2"/>
          <w:sz w:val="32"/>
          <w:szCs w:val="32"/>
        </w:rPr>
        <w:t>三、技术、商务及价格权重分配</w:t>
      </w:r>
    </w:p>
    <w:tbl>
      <w:tblPr>
        <w:tblStyle w:val="18"/>
        <w:tblW w:w="0" w:type="auto"/>
        <w:jc w:val="center"/>
        <w:tblLayout w:type="fixed"/>
        <w:tblCellMar>
          <w:top w:w="0" w:type="dxa"/>
          <w:left w:w="0" w:type="dxa"/>
          <w:bottom w:w="0" w:type="dxa"/>
          <w:right w:w="0" w:type="dxa"/>
        </w:tblCellMar>
      </w:tblPr>
      <w:tblGrid>
        <w:gridCol w:w="2490"/>
        <w:gridCol w:w="3660"/>
        <w:gridCol w:w="2925"/>
      </w:tblGrid>
      <w:tr w14:paraId="747DC6B7">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354762E1">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评分项目</w:t>
            </w:r>
          </w:p>
        </w:tc>
        <w:tc>
          <w:tcPr>
            <w:tcW w:w="3660" w:type="dxa"/>
            <w:tcBorders>
              <w:top w:val="single" w:color="000000" w:sz="4" w:space="0"/>
              <w:left w:val="single" w:color="000000" w:sz="4" w:space="0"/>
              <w:bottom w:val="single" w:color="000000" w:sz="4" w:space="0"/>
              <w:right w:val="single" w:color="000000" w:sz="4" w:space="0"/>
            </w:tcBorders>
          </w:tcPr>
          <w:p w14:paraId="1088A527">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2AD05575">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价格项</w:t>
            </w:r>
          </w:p>
        </w:tc>
      </w:tr>
      <w:tr w14:paraId="1C8B45A6">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68858D66">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rPr>
              <w:t>权值</w:t>
            </w:r>
          </w:p>
        </w:tc>
        <w:tc>
          <w:tcPr>
            <w:tcW w:w="3660" w:type="dxa"/>
            <w:tcBorders>
              <w:top w:val="single" w:color="000000" w:sz="4" w:space="0"/>
              <w:left w:val="single" w:color="000000" w:sz="4" w:space="0"/>
              <w:bottom w:val="single" w:color="000000" w:sz="4" w:space="0"/>
              <w:right w:val="single" w:color="000000" w:sz="4" w:space="0"/>
            </w:tcBorders>
          </w:tcPr>
          <w:p w14:paraId="25038147">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0%</w:t>
            </w:r>
          </w:p>
        </w:tc>
        <w:tc>
          <w:tcPr>
            <w:tcW w:w="2925" w:type="dxa"/>
            <w:tcBorders>
              <w:top w:val="single" w:color="000000" w:sz="4" w:space="0"/>
              <w:left w:val="single" w:color="000000" w:sz="4" w:space="0"/>
              <w:bottom w:val="single" w:color="000000" w:sz="4" w:space="0"/>
              <w:right w:val="single" w:color="000000" w:sz="4" w:space="0"/>
            </w:tcBorders>
          </w:tcPr>
          <w:p w14:paraId="645DBCC1">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lang w:val="en-US" w:eastAsia="zh-CN"/>
              </w:rPr>
              <w:t>1</w:t>
            </w:r>
            <w:r>
              <w:rPr>
                <w:rFonts w:hint="eastAsia" w:ascii="仿宋" w:hAnsi="仿宋" w:eastAsia="仿宋" w:cs="仿宋"/>
                <w:spacing w:val="-1"/>
                <w:sz w:val="32"/>
                <w:szCs w:val="32"/>
              </w:rPr>
              <w:t>0%</w:t>
            </w:r>
          </w:p>
        </w:tc>
      </w:tr>
    </w:tbl>
    <w:p w14:paraId="2C153403">
      <w:pPr>
        <w:pStyle w:val="8"/>
        <w:adjustRightInd w:val="0"/>
        <w:snapToGrid w:val="0"/>
        <w:spacing w:line="560" w:lineRule="exact"/>
        <w:ind w:firstLine="648" w:firstLineChars="200"/>
        <w:rPr>
          <w:rFonts w:ascii="仿宋" w:hAnsi="仿宋" w:eastAsia="仿宋" w:cs="仿宋"/>
          <w:szCs w:val="32"/>
        </w:rPr>
      </w:pPr>
      <w:r>
        <w:rPr>
          <w:rFonts w:hint="eastAsia" w:ascii="黑体" w:hAnsi="黑体" w:eastAsia="黑体" w:cs="黑体"/>
          <w:spacing w:val="2"/>
          <w:szCs w:val="32"/>
        </w:rPr>
        <w:t>四、综合评分及其统计：</w:t>
      </w:r>
      <w:r>
        <w:rPr>
          <w:rFonts w:hint="eastAsia" w:ascii="仿宋" w:hAnsi="仿宋" w:eastAsia="仿宋" w:cs="仿宋"/>
          <w:spacing w:val="2"/>
          <w:szCs w:val="32"/>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401B5CC0">
      <w:pPr>
        <w:spacing w:line="356" w:lineRule="auto"/>
      </w:pPr>
    </w:p>
    <w:p w14:paraId="23C5EF14">
      <w:pPr>
        <w:jc w:val="center"/>
        <w:rPr>
          <w:color w:val="000000"/>
          <w:sz w:val="32"/>
        </w:rPr>
      </w:pPr>
    </w:p>
    <w:p w14:paraId="4803CD30">
      <w:pPr>
        <w:jc w:val="center"/>
        <w:rPr>
          <w:color w:val="000000"/>
          <w:sz w:val="32"/>
        </w:rPr>
      </w:pPr>
    </w:p>
    <w:p w14:paraId="4CECADBA">
      <w:pPr>
        <w:jc w:val="center"/>
        <w:rPr>
          <w:color w:val="000000"/>
          <w:sz w:val="32"/>
        </w:rPr>
      </w:pPr>
    </w:p>
    <w:p w14:paraId="5373B711">
      <w:pPr>
        <w:jc w:val="center"/>
        <w:rPr>
          <w:color w:val="000000"/>
          <w:sz w:val="32"/>
        </w:rPr>
      </w:pPr>
    </w:p>
    <w:p w14:paraId="55761075">
      <w:pPr>
        <w:jc w:val="center"/>
        <w:rPr>
          <w:color w:val="000000"/>
          <w:sz w:val="32"/>
        </w:rPr>
      </w:pPr>
    </w:p>
    <w:p w14:paraId="1F7D4E7A">
      <w:pPr>
        <w:jc w:val="center"/>
        <w:rPr>
          <w:color w:val="000000"/>
          <w:sz w:val="32"/>
        </w:rPr>
      </w:pPr>
    </w:p>
    <w:p w14:paraId="2C22801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br w:type="page"/>
      </w:r>
    </w:p>
    <w:p w14:paraId="35FAA582">
      <w:pPr>
        <w:spacing w:after="0"/>
        <w:ind w:left="0" w:right="0"/>
        <w:jc w:val="center"/>
        <w:rPr>
          <w:color w:val="000000"/>
          <w:sz w:val="32"/>
        </w:rPr>
      </w:pPr>
      <w:r>
        <w:rPr>
          <w:rFonts w:hint="eastAsia"/>
          <w:color w:val="000000"/>
          <w:sz w:val="32"/>
          <w:lang w:eastAsia="zh-CN"/>
        </w:rPr>
        <w:t>附件</w:t>
      </w:r>
      <w:r>
        <w:rPr>
          <w:rFonts w:hint="eastAsia"/>
          <w:color w:val="000000"/>
          <w:sz w:val="32"/>
          <w:lang w:val="en-US" w:eastAsia="zh-CN"/>
        </w:rPr>
        <w:t>1</w:t>
      </w:r>
      <w:r>
        <w:rPr>
          <w:color w:val="000000"/>
          <w:sz w:val="32"/>
        </w:rPr>
        <w:t>初步审查表</w:t>
      </w:r>
    </w:p>
    <w:p w14:paraId="0D6179C0">
      <w:pPr>
        <w:spacing w:after="0"/>
        <w:ind w:left="0" w:right="0"/>
        <w:jc w:val="center"/>
        <w:rPr>
          <w:color w:val="000000"/>
          <w:sz w:val="32"/>
        </w:rPr>
      </w:pPr>
    </w:p>
    <w:p w14:paraId="3CC2FBC7">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leftChars="0" w:firstLine="640" w:firstLineChars="200"/>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color w:val="000000"/>
          <w:sz w:val="32"/>
          <w:szCs w:val="32"/>
        </w:rPr>
        <w:t>项目名称：</w:t>
      </w:r>
      <w:r>
        <w:rPr>
          <w:rFonts w:hint="eastAsia" w:ascii="仿宋" w:hAnsi="仿宋" w:eastAsia="仿宋" w:cs="仿宋"/>
          <w:b w:val="0"/>
          <w:bCs/>
          <w:color w:val="auto"/>
          <w:kern w:val="0"/>
          <w:sz w:val="32"/>
          <w:szCs w:val="32"/>
          <w:lang w:val="en-US" w:eastAsia="zh-CN"/>
        </w:rPr>
        <w:t>海南卫生健康职业学院律师咨询服务项目</w:t>
      </w:r>
    </w:p>
    <w:p w14:paraId="5BF368A0">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leftChars="0" w:firstLine="640" w:firstLineChars="200"/>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color w:val="000000"/>
          <w:sz w:val="32"/>
          <w:szCs w:val="32"/>
        </w:rPr>
        <w:t>项目编号：HNWJY-FW202600</w:t>
      </w:r>
      <w:r>
        <w:rPr>
          <w:rFonts w:hint="eastAsia" w:ascii="仿宋" w:hAnsi="仿宋" w:eastAsia="仿宋" w:cs="仿宋"/>
          <w:color w:val="000000"/>
          <w:sz w:val="32"/>
          <w:szCs w:val="32"/>
          <w:lang w:val="en-US" w:eastAsia="zh-CN"/>
        </w:rPr>
        <w:t>6</w:t>
      </w:r>
    </w:p>
    <w:p w14:paraId="1D385668">
      <w:pPr>
        <w:shd w:val="clear" w:color="auto" w:fill="FFFFFF"/>
        <w:ind w:firstLine="480"/>
        <w:rPr>
          <w:rFonts w:hint="eastAsia" w:ascii="仿宋" w:hAnsi="仿宋" w:eastAsia="仿宋" w:cs="仿宋"/>
          <w:color w:val="000000"/>
          <w:lang w:eastAsia="zh-CN"/>
        </w:rPr>
      </w:pPr>
    </w:p>
    <w:tbl>
      <w:tblPr>
        <w:tblStyle w:val="18"/>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88" w:type="dxa"/>
          <w:left w:w="107" w:type="dxa"/>
          <w:bottom w:w="0" w:type="dxa"/>
          <w:right w:w="11" w:type="dxa"/>
        </w:tblCellMar>
      </w:tblPr>
      <w:tblGrid>
        <w:gridCol w:w="709"/>
        <w:gridCol w:w="2127"/>
        <w:gridCol w:w="3827"/>
        <w:gridCol w:w="1134"/>
        <w:gridCol w:w="1134"/>
        <w:gridCol w:w="1134"/>
      </w:tblGrid>
      <w:tr w14:paraId="656E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FF7CDEF">
            <w:pPr>
              <w:spacing w:after="0" w:line="240" w:lineRule="auto"/>
              <w:ind w:left="0" w:right="0" w:firstLine="0"/>
              <w:rPr>
                <w:rFonts w:hint="eastAsia" w:ascii="仿宋" w:hAnsi="仿宋" w:eastAsia="仿宋" w:cs="仿宋"/>
                <w:color w:val="000000"/>
                <w:szCs w:val="24"/>
              </w:rPr>
            </w:pPr>
            <w:r>
              <w:rPr>
                <w:rFonts w:hint="eastAsia" w:ascii="仿宋" w:hAnsi="仿宋" w:eastAsia="仿宋" w:cs="仿宋"/>
                <w:color w:val="000000"/>
                <w:szCs w:val="24"/>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1AA7C309">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15987AB1">
            <w:pPr>
              <w:spacing w:after="0" w:line="240" w:lineRule="auto"/>
              <w:ind w:left="0" w:right="0" w:firstLine="0"/>
              <w:jc w:val="both"/>
              <w:rPr>
                <w:rFonts w:hint="eastAsia" w:ascii="仿宋" w:hAnsi="仿宋" w:eastAsia="仿宋" w:cs="仿宋"/>
                <w:color w:val="000000"/>
                <w:szCs w:val="24"/>
              </w:rPr>
            </w:pPr>
            <w:r>
              <w:rPr>
                <w:rFonts w:hint="eastAsia" w:ascii="仿宋" w:hAnsi="仿宋" w:eastAsia="仿宋" w:cs="仿宋"/>
                <w:color w:val="000000"/>
                <w:szCs w:val="24"/>
              </w:rPr>
              <w:t>评议内容（无效</w:t>
            </w:r>
            <w:r>
              <w:rPr>
                <w:rFonts w:hint="eastAsia" w:ascii="仿宋" w:hAnsi="仿宋" w:eastAsia="仿宋" w:cs="仿宋"/>
                <w:color w:val="000000"/>
                <w:szCs w:val="24"/>
                <w:lang w:eastAsia="zh-CN"/>
              </w:rPr>
              <w:t>磋商</w:t>
            </w:r>
            <w:r>
              <w:rPr>
                <w:rFonts w:hint="eastAsia" w:ascii="仿宋" w:hAnsi="仿宋" w:eastAsia="仿宋" w:cs="仿宋"/>
                <w:color w:val="000000"/>
                <w:szCs w:val="24"/>
              </w:rPr>
              <w:t>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53843903">
            <w:pPr>
              <w:spacing w:after="0" w:line="240" w:lineRule="auto"/>
              <w:ind w:left="0" w:right="0" w:firstLine="0"/>
              <w:rPr>
                <w:rFonts w:hint="eastAsia" w:ascii="仿宋" w:hAnsi="仿宋" w:eastAsia="仿宋" w:cs="仿宋"/>
                <w:color w:val="000000"/>
                <w:szCs w:val="24"/>
              </w:rPr>
            </w:pPr>
            <w:r>
              <w:rPr>
                <w:rFonts w:hint="eastAsia" w:ascii="仿宋" w:hAnsi="仿宋" w:eastAsia="仿宋" w:cs="仿宋"/>
                <w:color w:val="000000"/>
                <w:szCs w:val="24"/>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5386D913">
            <w:pPr>
              <w:spacing w:after="0" w:line="240" w:lineRule="auto"/>
              <w:ind w:left="0" w:right="0" w:firstLine="0"/>
              <w:jc w:val="both"/>
              <w:rPr>
                <w:rFonts w:hint="eastAsia" w:ascii="仿宋" w:hAnsi="仿宋" w:eastAsia="仿宋" w:cs="仿宋"/>
                <w:color w:val="000000"/>
                <w:szCs w:val="24"/>
              </w:rPr>
            </w:pPr>
            <w:r>
              <w:rPr>
                <w:rFonts w:hint="eastAsia" w:ascii="仿宋" w:hAnsi="仿宋" w:eastAsia="仿宋" w:cs="仿宋"/>
                <w:color w:val="000000"/>
                <w:szCs w:val="24"/>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1C3C0755">
            <w:pPr>
              <w:spacing w:after="0" w:line="240" w:lineRule="auto"/>
              <w:ind w:left="0" w:right="0" w:firstLine="0"/>
              <w:jc w:val="both"/>
              <w:rPr>
                <w:rFonts w:hint="eastAsia" w:ascii="仿宋" w:hAnsi="仿宋" w:eastAsia="仿宋" w:cs="仿宋"/>
                <w:color w:val="000000"/>
                <w:szCs w:val="24"/>
              </w:rPr>
            </w:pPr>
            <w:r>
              <w:rPr>
                <w:rFonts w:hint="eastAsia" w:ascii="仿宋" w:hAnsi="仿宋" w:eastAsia="仿宋" w:cs="仿宋"/>
                <w:color w:val="000000"/>
                <w:szCs w:val="24"/>
              </w:rPr>
              <w:t>服务商3</w:t>
            </w:r>
          </w:p>
        </w:tc>
      </w:tr>
      <w:tr w14:paraId="69B0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3AA2AE6">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65E8E8D5">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4EE1688F">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vAlign w:val="top"/>
          </w:tcPr>
          <w:p w14:paraId="2EEA545D">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6DFCA68D">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04080226">
            <w:pPr>
              <w:spacing w:after="0" w:line="240" w:lineRule="auto"/>
              <w:ind w:left="0" w:right="0" w:firstLine="0"/>
              <w:rPr>
                <w:rFonts w:hint="eastAsia" w:ascii="仿宋" w:hAnsi="仿宋" w:eastAsia="仿宋" w:cs="仿宋"/>
                <w:color w:val="000000"/>
                <w:szCs w:val="24"/>
              </w:rPr>
            </w:pPr>
          </w:p>
        </w:tc>
      </w:tr>
      <w:tr w14:paraId="6879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F83C601">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1FBF6538">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响应文件的有效</w:t>
            </w:r>
          </w:p>
          <w:p w14:paraId="352DC437">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4BD785A3">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是否符合</w:t>
            </w:r>
            <w:r>
              <w:rPr>
                <w:rFonts w:hint="eastAsia" w:ascii="仿宋" w:hAnsi="仿宋" w:eastAsia="仿宋" w:cs="仿宋"/>
                <w:color w:val="000000"/>
                <w:szCs w:val="24"/>
                <w:lang w:eastAsia="zh-CN"/>
              </w:rPr>
              <w:t>磋商</w:t>
            </w:r>
            <w:r>
              <w:rPr>
                <w:rFonts w:hint="eastAsia" w:ascii="仿宋" w:hAnsi="仿宋" w:eastAsia="仿宋" w:cs="仿宋"/>
                <w:color w:val="000000"/>
                <w:szCs w:val="24"/>
              </w:rPr>
              <w:t>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vAlign w:val="top"/>
          </w:tcPr>
          <w:p w14:paraId="6476255B">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364458CE">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4E1B5CDA">
            <w:pPr>
              <w:spacing w:after="0" w:line="240" w:lineRule="auto"/>
              <w:ind w:left="0" w:right="0" w:firstLine="0"/>
              <w:rPr>
                <w:rFonts w:hint="eastAsia" w:ascii="仿宋" w:hAnsi="仿宋" w:eastAsia="仿宋" w:cs="仿宋"/>
                <w:color w:val="000000"/>
                <w:szCs w:val="24"/>
              </w:rPr>
            </w:pPr>
          </w:p>
        </w:tc>
      </w:tr>
      <w:tr w14:paraId="0EF9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vAlign w:val="top"/>
          </w:tcPr>
          <w:p w14:paraId="7C67D45E">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3</w:t>
            </w:r>
          </w:p>
        </w:tc>
        <w:tc>
          <w:tcPr>
            <w:tcW w:w="2127" w:type="dxa"/>
            <w:tcBorders>
              <w:top w:val="single" w:color="000000" w:sz="4" w:space="0"/>
              <w:left w:val="single" w:color="000000" w:sz="4" w:space="0"/>
              <w:bottom w:val="single" w:color="000000" w:sz="4" w:space="0"/>
              <w:right w:val="single" w:color="000000" w:sz="4" w:space="0"/>
            </w:tcBorders>
            <w:vAlign w:val="top"/>
          </w:tcPr>
          <w:p w14:paraId="282DFD53">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lang w:eastAsia="zh-CN"/>
              </w:rPr>
              <w:t>磋商</w:t>
            </w:r>
            <w:r>
              <w:rPr>
                <w:rFonts w:hint="eastAsia" w:ascii="仿宋" w:hAnsi="仿宋" w:eastAsia="仿宋" w:cs="仿宋"/>
                <w:color w:val="000000"/>
                <w:szCs w:val="24"/>
              </w:rPr>
              <w:t>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3024D363">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是否满足</w:t>
            </w:r>
            <w:r>
              <w:rPr>
                <w:rFonts w:hint="eastAsia" w:ascii="仿宋" w:hAnsi="仿宋" w:eastAsia="仿宋" w:cs="仿宋"/>
                <w:color w:val="000000"/>
                <w:szCs w:val="24"/>
                <w:lang w:eastAsia="zh-CN"/>
              </w:rPr>
              <w:t>磋商</w:t>
            </w:r>
            <w:r>
              <w:rPr>
                <w:rFonts w:hint="eastAsia" w:ascii="仿宋" w:hAnsi="仿宋" w:eastAsia="仿宋" w:cs="仿宋"/>
                <w:color w:val="000000"/>
                <w:szCs w:val="24"/>
              </w:rPr>
              <w:t>文件要求</w:t>
            </w:r>
          </w:p>
        </w:tc>
        <w:tc>
          <w:tcPr>
            <w:tcW w:w="1134" w:type="dxa"/>
            <w:tcBorders>
              <w:top w:val="single" w:color="000000" w:sz="4" w:space="0"/>
              <w:left w:val="single" w:color="000000" w:sz="4" w:space="0"/>
              <w:bottom w:val="single" w:color="000000" w:sz="4" w:space="0"/>
              <w:right w:val="single" w:color="000000" w:sz="4" w:space="0"/>
            </w:tcBorders>
            <w:vAlign w:val="top"/>
          </w:tcPr>
          <w:p w14:paraId="3BE95AFB">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4438856E">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5F545C5D">
            <w:pPr>
              <w:spacing w:after="0" w:line="240" w:lineRule="auto"/>
              <w:ind w:left="0" w:right="0" w:firstLine="0"/>
              <w:rPr>
                <w:rFonts w:hint="eastAsia" w:ascii="仿宋" w:hAnsi="仿宋" w:eastAsia="仿宋" w:cs="仿宋"/>
                <w:color w:val="000000"/>
                <w:szCs w:val="24"/>
              </w:rPr>
            </w:pPr>
          </w:p>
        </w:tc>
      </w:tr>
      <w:tr w14:paraId="6FC4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vAlign w:val="top"/>
          </w:tcPr>
          <w:p w14:paraId="7DE71F19">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4</w:t>
            </w:r>
          </w:p>
        </w:tc>
        <w:tc>
          <w:tcPr>
            <w:tcW w:w="2127" w:type="dxa"/>
            <w:tcBorders>
              <w:top w:val="single" w:color="000000" w:sz="4" w:space="0"/>
              <w:left w:val="single" w:color="000000" w:sz="4" w:space="0"/>
              <w:bottom w:val="single" w:color="000000" w:sz="4" w:space="0"/>
              <w:right w:val="single" w:color="000000" w:sz="4" w:space="0"/>
            </w:tcBorders>
            <w:vAlign w:val="top"/>
          </w:tcPr>
          <w:p w14:paraId="3A813D08">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 xml:space="preserve">服务期限   </w:t>
            </w:r>
          </w:p>
        </w:tc>
        <w:tc>
          <w:tcPr>
            <w:tcW w:w="3827" w:type="dxa"/>
            <w:tcBorders>
              <w:top w:val="single" w:color="000000" w:sz="4" w:space="0"/>
              <w:left w:val="single" w:color="000000" w:sz="4" w:space="0"/>
              <w:bottom w:val="single" w:color="000000" w:sz="4" w:space="0"/>
              <w:right w:val="single" w:color="000000" w:sz="4" w:space="0"/>
            </w:tcBorders>
            <w:vAlign w:val="center"/>
          </w:tcPr>
          <w:p w14:paraId="7CFCCE4E">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是否满足</w:t>
            </w:r>
            <w:r>
              <w:rPr>
                <w:rFonts w:hint="eastAsia" w:ascii="仿宋" w:hAnsi="仿宋" w:eastAsia="仿宋" w:cs="仿宋"/>
                <w:color w:val="000000"/>
                <w:szCs w:val="24"/>
                <w:lang w:eastAsia="zh-CN"/>
              </w:rPr>
              <w:t>磋商</w:t>
            </w:r>
            <w:r>
              <w:rPr>
                <w:rFonts w:hint="eastAsia" w:ascii="仿宋" w:hAnsi="仿宋" w:eastAsia="仿宋" w:cs="仿宋"/>
                <w:color w:val="000000"/>
                <w:szCs w:val="24"/>
              </w:rPr>
              <w:t>文件要求</w:t>
            </w:r>
          </w:p>
        </w:tc>
        <w:tc>
          <w:tcPr>
            <w:tcW w:w="1134" w:type="dxa"/>
            <w:tcBorders>
              <w:top w:val="single" w:color="000000" w:sz="4" w:space="0"/>
              <w:left w:val="single" w:color="000000" w:sz="4" w:space="0"/>
              <w:bottom w:val="single" w:color="000000" w:sz="4" w:space="0"/>
              <w:right w:val="single" w:color="000000" w:sz="4" w:space="0"/>
            </w:tcBorders>
            <w:vAlign w:val="top"/>
          </w:tcPr>
          <w:p w14:paraId="4EB7A65D">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38AB700F">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573894BC">
            <w:pPr>
              <w:spacing w:after="0" w:line="240" w:lineRule="auto"/>
              <w:ind w:left="0" w:right="0" w:firstLine="0"/>
              <w:rPr>
                <w:rFonts w:hint="eastAsia" w:ascii="仿宋" w:hAnsi="仿宋" w:eastAsia="仿宋" w:cs="仿宋"/>
                <w:color w:val="000000"/>
                <w:szCs w:val="24"/>
              </w:rPr>
            </w:pPr>
          </w:p>
        </w:tc>
      </w:tr>
      <w:tr w14:paraId="6168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vAlign w:val="top"/>
          </w:tcPr>
          <w:p w14:paraId="6121F0E0">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5</w:t>
            </w:r>
          </w:p>
        </w:tc>
        <w:tc>
          <w:tcPr>
            <w:tcW w:w="2127" w:type="dxa"/>
            <w:tcBorders>
              <w:top w:val="single" w:color="000000" w:sz="4" w:space="0"/>
              <w:left w:val="single" w:color="000000" w:sz="4" w:space="0"/>
              <w:bottom w:val="single" w:color="000000" w:sz="4" w:space="0"/>
              <w:right w:val="single" w:color="000000" w:sz="4" w:space="0"/>
            </w:tcBorders>
            <w:vAlign w:val="top"/>
          </w:tcPr>
          <w:p w14:paraId="493FA064">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其它</w:t>
            </w:r>
          </w:p>
        </w:tc>
        <w:tc>
          <w:tcPr>
            <w:tcW w:w="3827" w:type="dxa"/>
            <w:tcBorders>
              <w:top w:val="single" w:color="000000" w:sz="4" w:space="0"/>
              <w:left w:val="single" w:color="000000" w:sz="4" w:space="0"/>
              <w:bottom w:val="single" w:color="000000" w:sz="4" w:space="0"/>
              <w:right w:val="single" w:color="000000" w:sz="4" w:space="0"/>
            </w:tcBorders>
            <w:vAlign w:val="top"/>
          </w:tcPr>
          <w:p w14:paraId="6BD5ACDE">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vAlign w:val="top"/>
          </w:tcPr>
          <w:p w14:paraId="02A655B9">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3AA2E2A4">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39C98B53">
            <w:pPr>
              <w:spacing w:after="0" w:line="240" w:lineRule="auto"/>
              <w:ind w:left="0" w:right="0" w:firstLine="0"/>
              <w:rPr>
                <w:rFonts w:hint="eastAsia" w:ascii="仿宋" w:hAnsi="仿宋" w:eastAsia="仿宋" w:cs="仿宋"/>
                <w:color w:val="000000"/>
                <w:szCs w:val="24"/>
              </w:rPr>
            </w:pPr>
          </w:p>
        </w:tc>
      </w:tr>
      <w:tr w14:paraId="24D2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vAlign w:val="top"/>
          </w:tcPr>
          <w:p w14:paraId="5721D0CD">
            <w:pPr>
              <w:spacing w:after="0" w:line="240" w:lineRule="auto"/>
              <w:ind w:left="0" w:right="0" w:firstLine="0"/>
              <w:rPr>
                <w:rFonts w:hint="eastAsia" w:ascii="仿宋" w:hAnsi="仿宋" w:eastAsia="仿宋" w:cs="仿宋"/>
                <w:color w:val="000000"/>
                <w:szCs w:val="24"/>
              </w:rPr>
            </w:pPr>
          </w:p>
        </w:tc>
        <w:tc>
          <w:tcPr>
            <w:tcW w:w="5954" w:type="dxa"/>
            <w:gridSpan w:val="2"/>
            <w:tcBorders>
              <w:top w:val="single" w:color="000000" w:sz="4" w:space="0"/>
              <w:left w:val="nil"/>
              <w:bottom w:val="single" w:color="000000" w:sz="4" w:space="0"/>
              <w:right w:val="single" w:color="000000" w:sz="4" w:space="0"/>
            </w:tcBorders>
            <w:vAlign w:val="center"/>
          </w:tcPr>
          <w:p w14:paraId="5FDCE530">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结</w:t>
            </w:r>
            <w:r>
              <w:rPr>
                <w:rFonts w:hint="eastAsia" w:ascii="仿宋" w:hAnsi="仿宋" w:eastAsia="仿宋" w:cs="仿宋"/>
                <w:color w:val="000000"/>
                <w:szCs w:val="24"/>
              </w:rPr>
              <w:tab/>
            </w:r>
            <w:r>
              <w:rPr>
                <w:rFonts w:hint="eastAsia" w:ascii="仿宋" w:hAnsi="仿宋" w:eastAsia="仿宋" w:cs="仿宋"/>
                <w:color w:val="000000"/>
                <w:szCs w:val="24"/>
              </w:rPr>
              <w:t>论</w:t>
            </w:r>
          </w:p>
        </w:tc>
        <w:tc>
          <w:tcPr>
            <w:tcW w:w="1134" w:type="dxa"/>
            <w:tcBorders>
              <w:top w:val="single" w:color="000000" w:sz="4" w:space="0"/>
              <w:left w:val="single" w:color="000000" w:sz="4" w:space="0"/>
              <w:bottom w:val="single" w:color="000000" w:sz="4" w:space="0"/>
              <w:right w:val="single" w:color="000000" w:sz="4" w:space="0"/>
            </w:tcBorders>
            <w:vAlign w:val="top"/>
          </w:tcPr>
          <w:p w14:paraId="7500A6B4">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2FC1C596">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031D3419">
            <w:pPr>
              <w:spacing w:after="0" w:line="240" w:lineRule="auto"/>
              <w:ind w:left="0" w:right="0" w:firstLine="0"/>
              <w:rPr>
                <w:rFonts w:hint="eastAsia" w:ascii="仿宋" w:hAnsi="仿宋" w:eastAsia="仿宋" w:cs="仿宋"/>
                <w:color w:val="000000"/>
                <w:szCs w:val="24"/>
              </w:rPr>
            </w:pPr>
          </w:p>
        </w:tc>
      </w:tr>
    </w:tbl>
    <w:p w14:paraId="2D8C3049">
      <w:pPr>
        <w:spacing w:after="0" w:line="360" w:lineRule="auto"/>
        <w:ind w:left="0" w:right="0" w:firstLine="0"/>
        <w:rPr>
          <w:rFonts w:hint="eastAsia" w:ascii="仿宋" w:hAnsi="仿宋" w:eastAsia="仿宋" w:cs="仿宋"/>
          <w:color w:val="000000"/>
        </w:rPr>
      </w:pPr>
      <w:r>
        <w:rPr>
          <w:rFonts w:hint="eastAsia" w:ascii="仿宋" w:hAnsi="仿宋" w:eastAsia="仿宋" w:cs="仿宋"/>
          <w:color w:val="000000"/>
        </w:rPr>
        <w:t>1.表中只需填写“√/通过”或“×/不通过”。</w:t>
      </w:r>
    </w:p>
    <w:p w14:paraId="6023B884">
      <w:pPr>
        <w:spacing w:after="0" w:line="360" w:lineRule="auto"/>
        <w:ind w:left="0" w:right="0" w:firstLine="0"/>
        <w:rPr>
          <w:rFonts w:hint="eastAsia" w:ascii="仿宋" w:hAnsi="仿宋" w:eastAsia="仿宋" w:cs="仿宋"/>
          <w:color w:val="000000"/>
        </w:rPr>
      </w:pPr>
      <w:r>
        <w:rPr>
          <w:rFonts w:hint="eastAsia" w:ascii="仿宋" w:hAnsi="仿宋" w:eastAsia="仿宋" w:cs="仿宋"/>
          <w:color w:val="000000"/>
        </w:rPr>
        <w:t>2.在结论中按“一项否决”的原则，只有全部是√/通过的，填写“合格”；只要其中有一项是×/不通过的，填写“不合格”。</w:t>
      </w:r>
    </w:p>
    <w:p w14:paraId="079F0833">
      <w:pPr>
        <w:spacing w:after="0" w:line="360" w:lineRule="auto"/>
        <w:ind w:left="10" w:right="0" w:hangingChars="4"/>
        <w:rPr>
          <w:rFonts w:hint="eastAsia" w:ascii="仿宋" w:hAnsi="仿宋" w:eastAsia="仿宋" w:cs="仿宋"/>
          <w:color w:val="000000"/>
        </w:rPr>
      </w:pPr>
      <w:r>
        <w:rPr>
          <w:rFonts w:hint="eastAsia" w:ascii="仿宋" w:hAnsi="仿宋" w:eastAsia="仿宋" w:cs="仿宋"/>
          <w:color w:val="000000"/>
        </w:rPr>
        <w:t>3.结论是合格的，才能进入下一轮；不合格的被淘汰。</w:t>
      </w:r>
    </w:p>
    <w:p w14:paraId="01DA78B1">
      <w:pPr>
        <w:spacing w:after="0" w:line="360" w:lineRule="auto"/>
        <w:ind w:left="10" w:right="0" w:hangingChars="4"/>
        <w:rPr>
          <w:rFonts w:hint="eastAsia" w:ascii="仿宋" w:hAnsi="仿宋" w:eastAsia="仿宋" w:cs="仿宋"/>
          <w:color w:val="000000"/>
        </w:rPr>
      </w:pPr>
    </w:p>
    <w:p w14:paraId="2875ECF5">
      <w:pPr>
        <w:spacing w:after="0" w:line="360" w:lineRule="auto"/>
        <w:ind w:left="10" w:right="0" w:hangingChars="4"/>
        <w:rPr>
          <w:rFonts w:hint="eastAsia" w:ascii="仿宋" w:hAnsi="仿宋" w:eastAsia="仿宋" w:cs="仿宋"/>
          <w:color w:val="000000"/>
        </w:rPr>
      </w:pPr>
      <w:r>
        <w:rPr>
          <w:rFonts w:hint="eastAsia" w:ascii="仿宋" w:hAnsi="仿宋" w:eastAsia="仿宋" w:cs="仿宋"/>
          <w:color w:val="000000"/>
        </w:rPr>
        <w:t>评委签字：</w:t>
      </w:r>
      <w:r>
        <w:rPr>
          <w:rFonts w:hint="eastAsia" w:ascii="仿宋" w:hAnsi="仿宋" w:eastAsia="仿宋" w:cs="仿宋"/>
          <w:color w:val="000000"/>
        </w:rPr>
        <w:tab/>
      </w:r>
    </w:p>
    <w:p w14:paraId="467ADDE9">
      <w:pPr>
        <w:spacing w:after="0" w:line="360" w:lineRule="auto"/>
        <w:ind w:left="10" w:right="0" w:hangingChars="4"/>
        <w:rPr>
          <w:rFonts w:hint="eastAsia" w:ascii="仿宋" w:hAnsi="仿宋" w:eastAsia="仿宋" w:cs="仿宋"/>
          <w:color w:val="000000"/>
        </w:rPr>
      </w:pPr>
    </w:p>
    <w:p w14:paraId="0F1C2440">
      <w:pPr>
        <w:spacing w:after="0" w:line="360" w:lineRule="auto"/>
        <w:ind w:left="10" w:right="0" w:hangingChars="4"/>
        <w:rPr>
          <w:rFonts w:hint="eastAsia" w:ascii="仿宋" w:hAnsi="仿宋" w:eastAsia="仿宋" w:cs="仿宋"/>
          <w:color w:val="000000"/>
        </w:rPr>
      </w:pPr>
      <w:r>
        <w:rPr>
          <w:rFonts w:hint="eastAsia" w:ascii="仿宋" w:hAnsi="仿宋" w:eastAsia="仿宋" w:cs="仿宋"/>
          <w:color w:val="000000"/>
        </w:rPr>
        <w:t>日期：</w:t>
      </w:r>
    </w:p>
    <w:p w14:paraId="787C50D1">
      <w:pPr>
        <w:spacing w:after="0"/>
        <w:ind w:left="0" w:right="0" w:firstLine="0"/>
        <w:rPr>
          <w:b/>
          <w:color w:val="000000"/>
          <w:sz w:val="32"/>
        </w:rPr>
      </w:pPr>
      <w:r>
        <w:rPr>
          <w:b/>
          <w:color w:val="000000"/>
          <w:sz w:val="32"/>
        </w:rPr>
        <w:br w:type="page"/>
      </w:r>
    </w:p>
    <w:p w14:paraId="06B7489F">
      <w:pPr>
        <w:widowControl w:val="0"/>
        <w:spacing w:after="0" w:line="276" w:lineRule="auto"/>
        <w:ind w:left="0" w:right="0" w:firstLine="0"/>
        <w:jc w:val="center"/>
        <w:rPr>
          <w:rFonts w:hint="eastAsia" w:cs="Times New Roman"/>
          <w:b/>
          <w:color w:val="000000"/>
          <w:position w:val="2"/>
          <w:sz w:val="32"/>
          <w:szCs w:val="32"/>
        </w:rPr>
      </w:pPr>
      <w:r>
        <w:rPr>
          <w:rFonts w:hint="eastAsia" w:cs="Times New Roman"/>
          <w:b/>
          <w:color w:val="000000"/>
          <w:position w:val="2"/>
          <w:sz w:val="32"/>
          <w:szCs w:val="32"/>
          <w:lang w:eastAsia="zh-CN"/>
        </w:rPr>
        <w:t>附件</w:t>
      </w:r>
      <w:r>
        <w:rPr>
          <w:rFonts w:hint="eastAsia" w:cs="Times New Roman"/>
          <w:b/>
          <w:color w:val="000000"/>
          <w:position w:val="2"/>
          <w:sz w:val="32"/>
          <w:szCs w:val="32"/>
          <w:lang w:val="en-US" w:eastAsia="zh-CN"/>
        </w:rPr>
        <w:t>2</w:t>
      </w:r>
      <w:r>
        <w:rPr>
          <w:rFonts w:hint="eastAsia" w:cs="Times New Roman"/>
          <w:b/>
          <w:color w:val="000000"/>
          <w:position w:val="2"/>
          <w:sz w:val="32"/>
          <w:szCs w:val="32"/>
        </w:rPr>
        <w:t>评分细则表</w:t>
      </w:r>
    </w:p>
    <w:p w14:paraId="2ED0B0B9">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leftChars="0" w:firstLine="560" w:firstLineChars="200"/>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color w:val="000000"/>
        </w:rPr>
        <w:t>项目名称：</w:t>
      </w:r>
      <w:r>
        <w:rPr>
          <w:rFonts w:hint="eastAsia" w:ascii="仿宋" w:hAnsi="仿宋" w:eastAsia="仿宋" w:cs="仿宋"/>
          <w:b w:val="0"/>
          <w:bCs/>
          <w:color w:val="auto"/>
          <w:kern w:val="0"/>
          <w:sz w:val="32"/>
          <w:szCs w:val="32"/>
          <w:lang w:val="en-US" w:eastAsia="zh-CN"/>
        </w:rPr>
        <w:t>海南卫生健康职业学院律师咨询服务项目</w:t>
      </w:r>
    </w:p>
    <w:p w14:paraId="41CD23F8">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leftChars="0" w:firstLine="560" w:firstLineChars="200"/>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color w:val="000000"/>
        </w:rPr>
        <w:t>项目编号：HNWJY-FW202600</w:t>
      </w:r>
      <w:r>
        <w:rPr>
          <w:rFonts w:hint="eastAsia" w:ascii="仿宋" w:hAnsi="仿宋" w:eastAsia="仿宋" w:cs="仿宋"/>
          <w:color w:val="000000"/>
          <w:lang w:val="en-US" w:eastAsia="zh-CN"/>
        </w:rPr>
        <w:t>6</w:t>
      </w:r>
    </w:p>
    <w:p w14:paraId="6966799C">
      <w:pPr>
        <w:widowControl w:val="0"/>
        <w:spacing w:after="0" w:line="276" w:lineRule="auto"/>
        <w:ind w:left="0" w:right="0" w:firstLine="0"/>
        <w:jc w:val="center"/>
        <w:rPr>
          <w:rFonts w:hint="eastAsia" w:cs="Times New Roman"/>
          <w:b/>
          <w:color w:val="000000"/>
          <w:position w:val="2"/>
          <w:sz w:val="32"/>
          <w:szCs w:val="32"/>
        </w:rPr>
      </w:pPr>
    </w:p>
    <w:tbl>
      <w:tblPr>
        <w:tblStyle w:val="18"/>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72"/>
        <w:gridCol w:w="7132"/>
        <w:gridCol w:w="840"/>
      </w:tblGrid>
      <w:tr w14:paraId="5B67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top"/>
          </w:tcPr>
          <w:p w14:paraId="56FA6514">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both"/>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序号</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F0FF91C">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both"/>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评审因素</w:t>
            </w:r>
          </w:p>
        </w:tc>
        <w:tc>
          <w:tcPr>
            <w:tcW w:w="7132" w:type="dxa"/>
            <w:tcBorders>
              <w:top w:val="single" w:color="auto" w:sz="4" w:space="0"/>
              <w:left w:val="single" w:color="auto" w:sz="4" w:space="0"/>
              <w:bottom w:val="single" w:color="auto" w:sz="4" w:space="0"/>
              <w:right w:val="single" w:color="auto" w:sz="4" w:space="0"/>
            </w:tcBorders>
            <w:noWrap w:val="0"/>
            <w:vAlign w:val="top"/>
          </w:tcPr>
          <w:p w14:paraId="3D98E5D5">
            <w:pPr>
              <w:pStyle w:val="34"/>
              <w:keepNext w:val="0"/>
              <w:keepLines w:val="0"/>
              <w:pageBreakBefore w:val="0"/>
              <w:widowControl/>
              <w:kinsoku/>
              <w:wordWrap/>
              <w:overflowPunct/>
              <w:topLinePunct w:val="0"/>
              <w:autoSpaceDE/>
              <w:autoSpaceDN/>
              <w:bidi w:val="0"/>
              <w:adjustRightInd w:val="0"/>
              <w:snapToGrid w:val="0"/>
              <w:spacing w:before="0" w:after="0" w:line="360" w:lineRule="exact"/>
              <w:ind w:left="0" w:leftChars="0" w:right="0" w:firstLine="562" w:firstLineChars="200"/>
              <w:jc w:val="center"/>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评审标准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90FD6CE">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both"/>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分值</w:t>
            </w:r>
          </w:p>
        </w:tc>
      </w:tr>
      <w:tr w14:paraId="30CF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3877CFE3">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2D41A7C">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企业</w:t>
            </w:r>
            <w:r>
              <w:rPr>
                <w:rFonts w:hint="eastAsia" w:ascii="仿宋" w:hAnsi="仿宋" w:eastAsia="仿宋" w:cs="仿宋"/>
                <w:color w:val="000000"/>
                <w:sz w:val="28"/>
                <w:szCs w:val="28"/>
                <w:lang w:eastAsia="zh-CN"/>
              </w:rPr>
              <w:t>经验</w:t>
            </w:r>
          </w:p>
        </w:tc>
        <w:tc>
          <w:tcPr>
            <w:tcW w:w="7132" w:type="dxa"/>
            <w:tcBorders>
              <w:top w:val="single" w:color="auto" w:sz="4" w:space="0"/>
              <w:left w:val="single" w:color="auto" w:sz="4" w:space="0"/>
              <w:bottom w:val="single" w:color="auto" w:sz="4" w:space="0"/>
              <w:right w:val="single" w:color="auto" w:sz="4" w:space="0"/>
            </w:tcBorders>
            <w:noWrap w:val="0"/>
            <w:vAlign w:val="top"/>
          </w:tcPr>
          <w:p w14:paraId="27F027BB">
            <w:pPr>
              <w:pStyle w:val="34"/>
              <w:keepNext w:val="0"/>
              <w:keepLines w:val="0"/>
              <w:pageBreakBefore w:val="0"/>
              <w:widowControl/>
              <w:kinsoku/>
              <w:wordWrap/>
              <w:overflowPunct/>
              <w:topLinePunct w:val="0"/>
              <w:autoSpaceDE/>
              <w:autoSpaceDN/>
              <w:bidi w:val="0"/>
              <w:adjustRightInd w:val="0"/>
              <w:snapToGrid w:val="0"/>
              <w:spacing w:before="0" w:after="0" w:line="360" w:lineRule="exact"/>
              <w:ind w:left="0" w:leftChars="0" w:right="0" w:firstLine="560" w:firstLineChars="200"/>
              <w:jc w:val="both"/>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具备同类服务案例（提供合同，每例得5分，最高</w:t>
            </w: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分</w:t>
            </w:r>
            <w:r>
              <w:rPr>
                <w:rFonts w:hint="eastAsia" w:ascii="仿宋" w:hAnsi="仿宋" w:eastAsia="仿宋" w:cs="仿宋"/>
                <w:color w:val="000000"/>
                <w:sz w:val="28"/>
                <w:szCs w:val="28"/>
                <w:lang w:eastAsia="zh-CN"/>
              </w:rPr>
              <w:t>）</w:t>
            </w:r>
          </w:p>
          <w:p w14:paraId="5CD22916">
            <w:pPr>
              <w:pStyle w:val="34"/>
              <w:keepNext w:val="0"/>
              <w:keepLines w:val="0"/>
              <w:pageBreakBefore w:val="0"/>
              <w:widowControl/>
              <w:kinsoku/>
              <w:wordWrap/>
              <w:overflowPunct/>
              <w:topLinePunct w:val="0"/>
              <w:autoSpaceDE/>
              <w:autoSpaceDN/>
              <w:bidi w:val="0"/>
              <w:adjustRightInd w:val="0"/>
              <w:snapToGrid w:val="0"/>
              <w:spacing w:before="0" w:after="0" w:line="360" w:lineRule="exact"/>
              <w:ind w:left="0" w:leftChars="0" w:right="0" w:rightChars="0" w:firstLine="560" w:firstLineChars="20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注：提供合同有效关键页复印件并加盖服务商公章，相同项目不重复计算。</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1DF13BB">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w:t>
            </w:r>
          </w:p>
        </w:tc>
      </w:tr>
      <w:tr w14:paraId="2335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0F106587">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85AD160">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服务方案完整性</w:t>
            </w:r>
          </w:p>
        </w:tc>
        <w:tc>
          <w:tcPr>
            <w:tcW w:w="7132" w:type="dxa"/>
            <w:tcBorders>
              <w:top w:val="single" w:color="auto" w:sz="4" w:space="0"/>
              <w:left w:val="single" w:color="auto" w:sz="4" w:space="0"/>
              <w:bottom w:val="single" w:color="auto" w:sz="4" w:space="0"/>
              <w:right w:val="single" w:color="auto" w:sz="4" w:space="0"/>
            </w:tcBorders>
            <w:noWrap w:val="0"/>
            <w:vAlign w:val="top"/>
          </w:tcPr>
          <w:p w14:paraId="4CFB48CC">
            <w:pPr>
              <w:pStyle w:val="34"/>
              <w:keepNext w:val="0"/>
              <w:keepLines w:val="0"/>
              <w:pageBreakBefore w:val="0"/>
              <w:widowControl/>
              <w:kinsoku/>
              <w:wordWrap/>
              <w:overflowPunct/>
              <w:topLinePunct w:val="0"/>
              <w:autoSpaceDE/>
              <w:autoSpaceDN/>
              <w:bidi w:val="0"/>
              <w:adjustRightInd w:val="0"/>
              <w:snapToGrid w:val="0"/>
              <w:spacing w:before="0" w:after="0" w:line="360" w:lineRule="exact"/>
              <w:ind w:left="0" w:leftChars="0" w:right="0" w:rightChars="0" w:firstLine="560" w:firstLineChars="20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根据服务方案中对本单位法律风险防范、日常法律咨询、合同审查等服务内容的规划，全面、合理、可操作性强得</w:t>
            </w: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分；一般得</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分；较差得</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2FB9A7D">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w:t>
            </w:r>
          </w:p>
        </w:tc>
      </w:tr>
      <w:tr w14:paraId="7757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5DF2B10A">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F1B095E">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服务团队配置</w:t>
            </w:r>
          </w:p>
        </w:tc>
        <w:tc>
          <w:tcPr>
            <w:tcW w:w="7132" w:type="dxa"/>
            <w:tcBorders>
              <w:top w:val="single" w:color="auto" w:sz="4" w:space="0"/>
              <w:left w:val="single" w:color="auto" w:sz="4" w:space="0"/>
              <w:bottom w:val="single" w:color="auto" w:sz="4" w:space="0"/>
              <w:right w:val="single" w:color="auto" w:sz="4" w:space="0"/>
            </w:tcBorders>
            <w:noWrap w:val="0"/>
            <w:vAlign w:val="top"/>
          </w:tcPr>
          <w:p w14:paraId="148E3136">
            <w:pPr>
              <w:pStyle w:val="34"/>
              <w:keepNext w:val="0"/>
              <w:keepLines w:val="0"/>
              <w:pageBreakBefore w:val="0"/>
              <w:widowControl/>
              <w:numPr>
                <w:ilvl w:val="0"/>
                <w:numId w:val="3"/>
              </w:numPr>
              <w:kinsoku/>
              <w:wordWrap/>
              <w:overflowPunct/>
              <w:topLinePunct w:val="0"/>
              <w:autoSpaceDE/>
              <w:autoSpaceDN/>
              <w:bidi w:val="0"/>
              <w:adjustRightInd w:val="0"/>
              <w:snapToGrid w:val="0"/>
              <w:spacing w:before="0" w:after="0" w:line="360" w:lineRule="exact"/>
              <w:ind w:right="0"/>
              <w:jc w:val="left"/>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拟派的律师顾问</w:t>
            </w:r>
            <w:r>
              <w:rPr>
                <w:rFonts w:hint="eastAsia" w:ascii="仿宋" w:hAnsi="仿宋" w:eastAsia="仿宋" w:cs="仿宋"/>
                <w:color w:val="000000"/>
                <w:sz w:val="28"/>
                <w:szCs w:val="28"/>
              </w:rPr>
              <w:t>具备3年以上服务经验（</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分）；</w:t>
            </w:r>
          </w:p>
          <w:p w14:paraId="64BC357F">
            <w:pPr>
              <w:pStyle w:val="34"/>
              <w:keepNext w:val="0"/>
              <w:keepLines w:val="0"/>
              <w:pageBreakBefore w:val="0"/>
              <w:widowControl/>
              <w:numPr>
                <w:ilvl w:val="0"/>
                <w:numId w:val="3"/>
              </w:numPr>
              <w:kinsoku/>
              <w:wordWrap/>
              <w:overflowPunct/>
              <w:topLinePunct w:val="0"/>
              <w:autoSpaceDE/>
              <w:autoSpaceDN/>
              <w:bidi w:val="0"/>
              <w:adjustRightInd w:val="0"/>
              <w:snapToGrid w:val="0"/>
              <w:spacing w:before="0" w:after="0" w:line="360" w:lineRule="exact"/>
              <w:ind w:left="0" w:leftChars="0" w:right="0" w:rightChars="0" w:firstLine="0" w:firstLineChars="0"/>
              <w:jc w:val="left"/>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团队中含合伙人律师每名得3</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分，最高得</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分。</w:t>
            </w:r>
          </w:p>
          <w:p w14:paraId="04AD6CB2">
            <w:pPr>
              <w:pStyle w:val="34"/>
              <w:keepNext w:val="0"/>
              <w:keepLines w:val="0"/>
              <w:pageBreakBefore w:val="0"/>
              <w:widowControl/>
              <w:numPr>
                <w:ilvl w:val="0"/>
                <w:numId w:val="3"/>
              </w:numPr>
              <w:kinsoku/>
              <w:wordWrap/>
              <w:overflowPunct/>
              <w:topLinePunct w:val="0"/>
              <w:autoSpaceDE/>
              <w:autoSpaceDN/>
              <w:bidi w:val="0"/>
              <w:adjustRightInd w:val="0"/>
              <w:snapToGrid w:val="0"/>
              <w:spacing w:before="0" w:after="0" w:line="360" w:lineRule="exact"/>
              <w:ind w:left="0" w:leftChars="0" w:right="0" w:rightChars="0" w:firstLine="0" w:firstLineChars="0"/>
              <w:jc w:val="left"/>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团队中</w:t>
            </w:r>
            <w:r>
              <w:rPr>
                <w:rFonts w:hint="eastAsia" w:ascii="仿宋" w:hAnsi="仿宋" w:eastAsia="仿宋" w:cs="仿宋"/>
                <w:color w:val="000000"/>
                <w:sz w:val="28"/>
                <w:szCs w:val="28"/>
                <w:lang w:eastAsia="zh-CN"/>
              </w:rPr>
              <w:t>含</w:t>
            </w:r>
            <w:r>
              <w:rPr>
                <w:rFonts w:hint="eastAsia" w:ascii="仿宋" w:hAnsi="仿宋" w:eastAsia="仿宋" w:cs="仿宋"/>
                <w:color w:val="000000"/>
                <w:sz w:val="28"/>
                <w:szCs w:val="28"/>
              </w:rPr>
              <w:t>律师</w:t>
            </w:r>
            <w:r>
              <w:rPr>
                <w:rFonts w:hint="eastAsia" w:ascii="仿宋" w:hAnsi="仿宋" w:eastAsia="仿宋" w:cs="仿宋"/>
                <w:color w:val="000000"/>
                <w:sz w:val="28"/>
                <w:szCs w:val="28"/>
                <w:lang w:eastAsia="zh-CN"/>
              </w:rPr>
              <w:t>证书</w:t>
            </w:r>
            <w:r>
              <w:rPr>
                <w:rFonts w:hint="eastAsia" w:ascii="仿宋" w:hAnsi="仿宋" w:eastAsia="仿宋" w:cs="仿宋"/>
                <w:color w:val="000000"/>
                <w:sz w:val="28"/>
                <w:szCs w:val="28"/>
              </w:rPr>
              <w:t>每名得</w:t>
            </w:r>
            <w:r>
              <w:rPr>
                <w:rFonts w:hint="eastAsia" w:ascii="仿宋" w:hAnsi="仿宋" w:eastAsia="仿宋" w:cs="仿宋"/>
                <w:color w:val="000000"/>
                <w:sz w:val="28"/>
                <w:szCs w:val="28"/>
                <w:lang w:val="en-US" w:eastAsia="zh-CN"/>
              </w:rPr>
              <w:t>3.5</w:t>
            </w:r>
            <w:r>
              <w:rPr>
                <w:rFonts w:hint="eastAsia" w:ascii="仿宋" w:hAnsi="仿宋" w:eastAsia="仿宋" w:cs="仿宋"/>
                <w:color w:val="000000"/>
                <w:sz w:val="28"/>
                <w:szCs w:val="28"/>
              </w:rPr>
              <w:t>分，最高得</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分</w:t>
            </w:r>
            <w:r>
              <w:rPr>
                <w:rFonts w:hint="eastAsia" w:ascii="仿宋" w:hAnsi="仿宋" w:eastAsia="仿宋" w:cs="仿宋"/>
                <w:color w:val="000000"/>
                <w:sz w:val="28"/>
                <w:szCs w:val="28"/>
                <w:lang w:eastAsia="zh-CN"/>
              </w:rPr>
              <w:t>。</w:t>
            </w:r>
          </w:p>
          <w:p w14:paraId="5839D47D">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left="0" w:leftChars="0" w:right="0" w:rightChars="0" w:firstLine="0" w:firstLine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须提供该人员合同证明、2026年1月至今任意一个月在本单位缴纳社保的证明及证书复印件加盖公章（退休人员可以提供退休证明），未提供不得分。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A875D41">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w:t>
            </w:r>
          </w:p>
        </w:tc>
      </w:tr>
      <w:tr w14:paraId="76FE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003FBE78">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61C4287">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售后服务</w:t>
            </w:r>
            <w:r>
              <w:rPr>
                <w:rFonts w:hint="eastAsia" w:ascii="仿宋" w:hAnsi="仿宋" w:eastAsia="仿宋" w:cs="仿宋"/>
                <w:color w:val="000000"/>
                <w:sz w:val="28"/>
                <w:szCs w:val="28"/>
                <w:lang w:eastAsia="zh-CN"/>
              </w:rPr>
              <w:t>方案</w:t>
            </w:r>
          </w:p>
        </w:tc>
        <w:tc>
          <w:tcPr>
            <w:tcW w:w="7132" w:type="dxa"/>
            <w:tcBorders>
              <w:top w:val="single" w:color="auto" w:sz="4" w:space="0"/>
              <w:left w:val="single" w:color="auto" w:sz="4" w:space="0"/>
              <w:bottom w:val="single" w:color="auto" w:sz="4" w:space="0"/>
              <w:right w:val="single" w:color="auto" w:sz="4" w:space="0"/>
            </w:tcBorders>
            <w:noWrap w:val="0"/>
            <w:vAlign w:val="top"/>
          </w:tcPr>
          <w:p w14:paraId="60A170D6">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left"/>
              <w:outlineLvl w:val="9"/>
              <w:rPr>
                <w:rFonts w:hint="eastAsia" w:ascii="仿宋" w:hAnsi="仿宋" w:eastAsia="仿宋" w:cs="仿宋"/>
                <w:color w:val="000000"/>
                <w:sz w:val="28"/>
                <w:szCs w:val="28"/>
                <w:lang w:val="zh-TW" w:eastAsia="zh-TW"/>
              </w:rPr>
            </w:pPr>
            <w:r>
              <w:rPr>
                <w:rFonts w:hint="eastAsia" w:ascii="仿宋" w:hAnsi="仿宋" w:eastAsia="仿宋" w:cs="仿宋"/>
                <w:color w:val="000000"/>
                <w:sz w:val="28"/>
                <w:szCs w:val="28"/>
                <w:lang w:val="zh-TW" w:eastAsia="zh-TW"/>
              </w:rPr>
              <w:t>根据供应商针对本项目提供的售后服务方案</w:t>
            </w:r>
            <w:r>
              <w:rPr>
                <w:rFonts w:hint="eastAsia" w:ascii="仿宋" w:hAnsi="仿宋" w:eastAsia="仿宋" w:cs="仿宋"/>
                <w:color w:val="000000"/>
                <w:sz w:val="28"/>
                <w:szCs w:val="28"/>
                <w:lang w:val="zh-TW"/>
              </w:rPr>
              <w:t>（</w:t>
            </w:r>
            <w:r>
              <w:rPr>
                <w:rFonts w:hint="eastAsia" w:ascii="仿宋" w:hAnsi="仿宋" w:eastAsia="仿宋" w:cs="仿宋"/>
                <w:color w:val="000000"/>
                <w:sz w:val="28"/>
                <w:szCs w:val="28"/>
                <w:lang w:val="zh-TW" w:eastAsia="zh-TW"/>
              </w:rPr>
              <w:t>包括</w:t>
            </w:r>
            <w:r>
              <w:rPr>
                <w:rFonts w:hint="eastAsia" w:ascii="仿宋" w:hAnsi="仿宋" w:eastAsia="仿宋" w:cs="仿宋"/>
                <w:color w:val="000000"/>
                <w:sz w:val="28"/>
                <w:szCs w:val="28"/>
              </w:rPr>
              <w:t>但不限于</w:t>
            </w:r>
            <w:r>
              <w:rPr>
                <w:rFonts w:hint="eastAsia" w:ascii="仿宋" w:hAnsi="仿宋" w:eastAsia="仿宋" w:cs="仿宋"/>
                <w:color w:val="000000"/>
                <w:sz w:val="28"/>
                <w:szCs w:val="28"/>
                <w:lang w:val="zh-TW" w:eastAsia="zh-TW"/>
              </w:rPr>
              <w:t>服务水平承诺（包括</w:t>
            </w:r>
            <w:r>
              <w:rPr>
                <w:rFonts w:hint="eastAsia" w:ascii="仿宋" w:hAnsi="仿宋" w:eastAsia="仿宋" w:cs="仿宋"/>
                <w:color w:val="000000"/>
                <w:sz w:val="28"/>
                <w:szCs w:val="28"/>
                <w:lang w:val="zh-TW" w:eastAsia="zh-CN"/>
              </w:rPr>
              <w:t>回复</w:t>
            </w:r>
            <w:r>
              <w:rPr>
                <w:rFonts w:hint="eastAsia" w:ascii="仿宋" w:hAnsi="仿宋" w:eastAsia="仿宋" w:cs="仿宋"/>
                <w:color w:val="000000"/>
                <w:sz w:val="28"/>
                <w:szCs w:val="28"/>
                <w:lang w:val="zh-TW" w:eastAsia="zh-TW"/>
              </w:rPr>
              <w:t>时间）、服务级别、支持方式等</w:t>
            </w:r>
            <w:r>
              <w:rPr>
                <w:rFonts w:hint="eastAsia" w:ascii="仿宋" w:hAnsi="仿宋" w:eastAsia="仿宋" w:cs="仿宋"/>
                <w:color w:val="000000"/>
                <w:sz w:val="28"/>
                <w:szCs w:val="28"/>
                <w:lang w:val="zh-TW"/>
              </w:rPr>
              <w:t>）</w:t>
            </w:r>
            <w:r>
              <w:rPr>
                <w:rFonts w:hint="eastAsia" w:ascii="仿宋" w:hAnsi="仿宋" w:eastAsia="仿宋" w:cs="仿宋"/>
                <w:color w:val="000000"/>
                <w:sz w:val="28"/>
                <w:szCs w:val="28"/>
                <w:lang w:val="zh-TW" w:eastAsia="zh-TW"/>
              </w:rPr>
              <w:t>进行综合评审：</w:t>
            </w:r>
          </w:p>
          <w:p w14:paraId="0268533C">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left"/>
              <w:outlineLvl w:val="9"/>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1.内容完整，科学合理、详细具体、有针对性、可行性强的，得</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lang w:val="zh-CN"/>
              </w:rPr>
              <w:t xml:space="preserve">分； </w:t>
            </w:r>
          </w:p>
          <w:p w14:paraId="38BE7D52">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left"/>
              <w:outlineLvl w:val="9"/>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2.内容完整，科学合理、有一定针对性、具有可行性的，得</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lang w:val="zh-CN"/>
              </w:rPr>
              <w:t xml:space="preserve">分； </w:t>
            </w:r>
          </w:p>
          <w:p w14:paraId="301C70D6">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left"/>
              <w:outlineLvl w:val="9"/>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3.内容基本完整，基本合理、无针对性、基本可行性的，得</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lang w:val="zh-CN"/>
              </w:rPr>
              <w:t>分；</w:t>
            </w:r>
          </w:p>
          <w:p w14:paraId="65166197">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left"/>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zh-CN"/>
              </w:rPr>
              <w:t>4.内容不完整，不合理，表述混乱、缺乏可行性的，得0分。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F83316F">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w:t>
            </w:r>
          </w:p>
        </w:tc>
      </w:tr>
      <w:tr w14:paraId="287D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7F5C5B99">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622B4ED">
            <w:pPr>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both"/>
              <w:textAlignment w:val="center"/>
              <w:outlineLvl w:val="9"/>
              <w:rPr>
                <w:rFonts w:hint="eastAsia" w:ascii="仿宋" w:hAnsi="仿宋" w:eastAsia="仿宋" w:cs="仿宋"/>
                <w:kern w:val="0"/>
                <w:sz w:val="28"/>
                <w:szCs w:val="28"/>
              </w:rPr>
            </w:pPr>
            <w:r>
              <w:rPr>
                <w:rFonts w:hint="eastAsia" w:ascii="仿宋" w:hAnsi="仿宋" w:eastAsia="仿宋" w:cs="仿宋"/>
                <w:bCs w:val="0"/>
                <w:color w:val="000000"/>
                <w:kern w:val="0"/>
                <w:sz w:val="28"/>
                <w:szCs w:val="28"/>
                <w:lang w:val="en-US" w:eastAsia="zh-CN" w:bidi="ar-SA"/>
              </w:rPr>
              <w:t>报价合理性</w:t>
            </w:r>
          </w:p>
        </w:tc>
        <w:tc>
          <w:tcPr>
            <w:tcW w:w="7132" w:type="dxa"/>
            <w:tcBorders>
              <w:top w:val="single" w:color="auto" w:sz="4" w:space="0"/>
              <w:left w:val="single" w:color="auto" w:sz="4" w:space="0"/>
              <w:bottom w:val="single" w:color="auto" w:sz="4" w:space="0"/>
              <w:right w:val="single" w:color="auto" w:sz="4" w:space="0"/>
            </w:tcBorders>
            <w:noWrap w:val="0"/>
            <w:vAlign w:val="top"/>
          </w:tcPr>
          <w:p w14:paraId="74E6686F">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left"/>
              <w:outlineLvl w:val="9"/>
              <w:rPr>
                <w:rFonts w:hint="eastAsia" w:ascii="仿宋" w:hAnsi="仿宋" w:eastAsia="仿宋" w:cs="仿宋"/>
                <w:kern w:val="0"/>
                <w:sz w:val="28"/>
                <w:szCs w:val="28"/>
              </w:rPr>
            </w:pPr>
            <w:r>
              <w:rPr>
                <w:rFonts w:hint="eastAsia" w:ascii="仿宋" w:hAnsi="仿宋" w:eastAsia="仿宋" w:cs="仿宋"/>
                <w:color w:val="000000"/>
                <w:sz w:val="28"/>
                <w:szCs w:val="28"/>
                <w:lang w:val="zh-CN"/>
              </w:rPr>
              <w:t>满足竞争性磋商文件要求且投标价格最低的投标报价 为评标基准价，投标报价得分统一按照下列公式计算： 磋商报价得分=(基准价／最后磋商报价)×价格权值× 100。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885B7FF">
            <w:pPr>
              <w:pStyle w:val="34"/>
              <w:keepNext w:val="0"/>
              <w:keepLines w:val="0"/>
              <w:pageBreakBefore w:val="0"/>
              <w:widowControl/>
              <w:tabs>
                <w:tab w:val="left" w:pos="414"/>
              </w:tabs>
              <w:kinsoku/>
              <w:wordWrap/>
              <w:overflowPunct/>
              <w:topLinePunct w:val="0"/>
              <w:autoSpaceDE/>
              <w:autoSpaceDN/>
              <w:bidi w:val="0"/>
              <w:adjustRightInd w:val="0"/>
              <w:snapToGrid w:val="0"/>
              <w:spacing w:before="0" w:after="0" w:line="360" w:lineRule="exact"/>
              <w:ind w:right="0" w:rightChars="0"/>
              <w:jc w:val="both"/>
              <w:outlineLvl w:val="9"/>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w:t>
            </w:r>
          </w:p>
        </w:tc>
      </w:tr>
    </w:tbl>
    <w:p w14:paraId="17497205">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r>
        <w:rPr>
          <w:rFonts w:hint="eastAsia" w:ascii="宋体" w:hAnsi="宋体" w:eastAsia="宋体" w:cs="宋体"/>
          <w:sz w:val="44"/>
          <w:szCs w:val="44"/>
        </w:rPr>
        <w:t>第</w:t>
      </w:r>
      <w:r>
        <w:rPr>
          <w:rFonts w:hint="eastAsia" w:hAnsi="宋体" w:cs="宋体"/>
          <w:sz w:val="44"/>
          <w:szCs w:val="44"/>
          <w:lang w:eastAsia="zh-CN"/>
        </w:rPr>
        <w:t>四</w:t>
      </w:r>
      <w:r>
        <w:rPr>
          <w:rFonts w:hint="eastAsia" w:ascii="宋体" w:hAnsi="宋体" w:eastAsia="宋体" w:cs="宋体"/>
          <w:sz w:val="44"/>
          <w:szCs w:val="44"/>
        </w:rPr>
        <w:t>部分 授予合同</w:t>
      </w:r>
      <w:bookmarkEnd w:id="21"/>
      <w:bookmarkEnd w:id="22"/>
      <w:bookmarkEnd w:id="23"/>
    </w:p>
    <w:p w14:paraId="70C6C9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0" w:name="_Toc332979562"/>
      <w:bookmarkStart w:id="41" w:name="_Toc8997"/>
      <w:bookmarkStart w:id="42" w:name="_Toc325620721"/>
    </w:p>
    <w:p w14:paraId="69CE2E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一、签订合同</w:t>
      </w:r>
      <w:bookmarkEnd w:id="40"/>
      <w:bookmarkEnd w:id="41"/>
      <w:bookmarkEnd w:id="42"/>
    </w:p>
    <w:p w14:paraId="1D34EC5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评审工作结束后，采购人向成交供应商签发《中标通知书》，在</w:t>
      </w:r>
      <w:r>
        <w:rPr>
          <w:rFonts w:hint="eastAsia" w:ascii="仿宋" w:hAnsi="仿宋" w:eastAsia="仿宋" w:cs="仿宋"/>
          <w:sz w:val="32"/>
          <w:szCs w:val="32"/>
          <w:lang w:val="en-US" w:eastAsia="zh-CN"/>
        </w:rPr>
        <w:t>7个工作日</w:t>
      </w:r>
      <w:r>
        <w:rPr>
          <w:rFonts w:hint="eastAsia" w:ascii="仿宋" w:hAnsi="仿宋" w:eastAsia="仿宋" w:cs="仿宋"/>
          <w:sz w:val="32"/>
          <w:szCs w:val="32"/>
        </w:rPr>
        <w:t>内，由采购人和成交供应商签订合同。合同签订的内容不能超出</w:t>
      </w:r>
      <w:r>
        <w:rPr>
          <w:rFonts w:hint="eastAsia" w:ascii="仿宋" w:hAnsi="仿宋" w:eastAsia="仿宋" w:cs="仿宋"/>
          <w:sz w:val="32"/>
          <w:szCs w:val="32"/>
          <w:lang w:eastAsia="zh-CN"/>
        </w:rPr>
        <w:t>谈判</w:t>
      </w:r>
      <w:r>
        <w:rPr>
          <w:rFonts w:hint="eastAsia" w:ascii="仿宋" w:hAnsi="仿宋" w:eastAsia="仿宋" w:cs="仿宋"/>
          <w:sz w:val="32"/>
          <w:szCs w:val="32"/>
        </w:rPr>
        <w:t>文件和响应文件的实质性内容。</w:t>
      </w:r>
    </w:p>
    <w:p w14:paraId="632D2FA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.谈判</w:t>
      </w:r>
      <w:r>
        <w:rPr>
          <w:rFonts w:hint="eastAsia" w:ascii="仿宋" w:hAnsi="仿宋" w:eastAsia="仿宋" w:cs="仿宋"/>
          <w:sz w:val="32"/>
          <w:szCs w:val="32"/>
        </w:rPr>
        <w:t>文件、采购人的报价文件及评审过程中有关澄清文件等均</w:t>
      </w:r>
      <w:r>
        <w:rPr>
          <w:rFonts w:hint="eastAsia" w:ascii="仿宋" w:hAnsi="仿宋" w:eastAsia="仿宋" w:cs="仿宋"/>
          <w:sz w:val="32"/>
          <w:szCs w:val="32"/>
          <w:lang w:val="en-US" w:eastAsia="zh-CN"/>
        </w:rPr>
        <w:t>可</w:t>
      </w:r>
      <w:r>
        <w:rPr>
          <w:rFonts w:hint="eastAsia" w:ascii="仿宋" w:hAnsi="仿宋" w:eastAsia="仿宋" w:cs="仿宋"/>
          <w:sz w:val="32"/>
          <w:szCs w:val="32"/>
        </w:rPr>
        <w:t>为合同附件。</w:t>
      </w:r>
    </w:p>
    <w:p w14:paraId="457D25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3" w:name="_Toc325620722"/>
      <w:bookmarkStart w:id="44" w:name="_Toc332979563"/>
      <w:bookmarkStart w:id="45" w:name="_Toc16534"/>
      <w:r>
        <w:rPr>
          <w:rFonts w:hint="eastAsia" w:ascii="黑体" w:hAnsi="黑体" w:eastAsia="黑体" w:cs="黑体"/>
          <w:sz w:val="32"/>
          <w:szCs w:val="32"/>
        </w:rPr>
        <w:t>二、合同格式</w:t>
      </w:r>
      <w:bookmarkEnd w:id="43"/>
      <w:bookmarkEnd w:id="44"/>
      <w:bookmarkEnd w:id="45"/>
    </w:p>
    <w:p w14:paraId="2DE174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详见附件</w:t>
      </w:r>
    </w:p>
    <w:p w14:paraId="2649DEE8">
      <w:pPr>
        <w:rPr>
          <w:rFonts w:hint="eastAsia" w:ascii="仿宋_GB2312" w:hAnsi="仿宋_GB2312" w:eastAsia="仿宋_GB2312" w:cs="仿宋_GB2312"/>
        </w:rPr>
      </w:pPr>
    </w:p>
    <w:p w14:paraId="155B485C">
      <w:pPr>
        <w:rPr>
          <w:rFonts w:hint="eastAsia" w:ascii="仿宋_GB2312" w:hAnsi="仿宋_GB2312" w:eastAsia="仿宋_GB2312" w:cs="仿宋_GB2312"/>
        </w:rPr>
      </w:pPr>
    </w:p>
    <w:p w14:paraId="1FAE6E38">
      <w:pPr>
        <w:rPr>
          <w:rFonts w:hint="eastAsia" w:ascii="仿宋_GB2312" w:hAnsi="仿宋_GB2312" w:eastAsia="仿宋_GB2312" w:cs="仿宋_GB2312"/>
        </w:rPr>
      </w:pPr>
    </w:p>
    <w:bookmarkEnd w:id="11"/>
    <w:bookmarkEnd w:id="12"/>
    <w:bookmarkEnd w:id="13"/>
    <w:bookmarkEnd w:id="14"/>
    <w:bookmarkEnd w:id="16"/>
    <w:bookmarkEnd w:id="17"/>
    <w:p w14:paraId="04A62F06">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0E0BCFD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24727B45">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0C3FBB09">
      <w:pPr>
        <w:keepNext w:val="0"/>
        <w:keepLines w:val="0"/>
        <w:pageBreakBefore w:val="0"/>
        <w:pBdr>
          <w:top w:val="none" w:color="auto" w:sz="0" w:space="0"/>
          <w:left w:val="none" w:color="auto" w:sz="0" w:space="0"/>
          <w:bottom w:val="none" w:color="auto" w:sz="0" w:space="0"/>
          <w:right w:val="none" w:color="auto" w:sz="0" w:space="0"/>
        </w:pBdr>
        <w:shd w:val="clear"/>
        <w:kinsoku/>
        <w:wordWrap/>
        <w:overflowPunct/>
        <w:topLinePunct w:val="0"/>
        <w:bidi w:val="0"/>
        <w:adjustRightInd w:val="0"/>
        <w:snapToGrid w:val="0"/>
        <w:spacing w:line="560" w:lineRule="exact"/>
        <w:ind w:left="0" w:leftChars="0" w:right="0" w:firstLine="883" w:firstLineChars="200"/>
        <w:jc w:val="both"/>
        <w:textAlignment w:val="auto"/>
        <w:rPr>
          <w:rFonts w:hint="eastAsia" w:asciiTheme="majorEastAsia" w:hAnsiTheme="majorEastAsia" w:eastAsiaTheme="majorEastAsia" w:cstheme="majorEastAsia"/>
          <w:b/>
          <w:bCs w:val="0"/>
          <w:color w:val="auto"/>
          <w:sz w:val="44"/>
          <w:szCs w:val="44"/>
          <w:lang w:val="en-US" w:eastAsia="zh-CN"/>
        </w:rPr>
      </w:pPr>
      <w:r>
        <w:rPr>
          <w:rFonts w:hint="eastAsia" w:asciiTheme="majorEastAsia" w:hAnsiTheme="majorEastAsia" w:eastAsiaTheme="majorEastAsia" w:cstheme="majorEastAsia"/>
          <w:b/>
          <w:bCs w:val="0"/>
          <w:color w:val="auto"/>
          <w:sz w:val="44"/>
          <w:szCs w:val="44"/>
          <w:lang w:val="en-US" w:eastAsia="zh-CN"/>
        </w:rPr>
        <w:t>附件</w:t>
      </w:r>
    </w:p>
    <w:p w14:paraId="636D2809">
      <w:pPr>
        <w:keepNext w:val="0"/>
        <w:keepLines w:val="0"/>
        <w:pageBreakBefore w:val="0"/>
        <w:kinsoku/>
        <w:wordWrap/>
        <w:overflowPunct/>
        <w:topLinePunct w:val="0"/>
        <w:bidi w:val="0"/>
        <w:adjustRightInd w:val="0"/>
        <w:snapToGrid w:val="0"/>
        <w:spacing w:line="560" w:lineRule="exact"/>
        <w:ind w:left="0" w:leftChars="0" w:right="0" w:firstLine="883" w:firstLineChars="200"/>
        <w:jc w:val="center"/>
        <w:textAlignment w:val="auto"/>
        <w:rPr>
          <w:rFonts w:hint="eastAsia" w:asciiTheme="majorEastAsia" w:hAnsiTheme="majorEastAsia" w:eastAsiaTheme="majorEastAsia" w:cstheme="majorEastAsia"/>
          <w:b/>
          <w:color w:val="auto"/>
          <w:sz w:val="44"/>
          <w:szCs w:val="44"/>
          <w:lang w:val="en-US" w:eastAsia="zh-CN"/>
        </w:rPr>
      </w:pPr>
      <w:r>
        <w:rPr>
          <w:rFonts w:hint="eastAsia" w:asciiTheme="majorEastAsia" w:hAnsiTheme="majorEastAsia" w:eastAsiaTheme="majorEastAsia" w:cstheme="majorEastAsia"/>
          <w:b/>
          <w:color w:val="auto"/>
          <w:sz w:val="44"/>
          <w:szCs w:val="44"/>
          <w:lang w:val="en-US" w:eastAsia="zh-CN"/>
        </w:rPr>
        <w:t>海南卫生健康职业学院律师咨询服务</w:t>
      </w:r>
    </w:p>
    <w:p w14:paraId="214E65C6">
      <w:pPr>
        <w:keepNext w:val="0"/>
        <w:keepLines w:val="0"/>
        <w:pageBreakBefore w:val="0"/>
        <w:kinsoku/>
        <w:wordWrap/>
        <w:overflowPunct/>
        <w:topLinePunct w:val="0"/>
        <w:bidi w:val="0"/>
        <w:adjustRightInd w:val="0"/>
        <w:snapToGrid w:val="0"/>
        <w:spacing w:line="560" w:lineRule="exact"/>
        <w:ind w:left="0" w:leftChars="0" w:right="0" w:firstLine="883" w:firstLineChars="200"/>
        <w:jc w:val="center"/>
        <w:textAlignment w:val="auto"/>
        <w:rPr>
          <w:rFonts w:hint="eastAsia" w:asciiTheme="majorEastAsia" w:hAnsiTheme="majorEastAsia" w:eastAsiaTheme="majorEastAsia" w:cstheme="majorEastAsia"/>
          <w:b/>
          <w:color w:val="auto"/>
          <w:sz w:val="44"/>
          <w:szCs w:val="44"/>
          <w:lang w:val="en-US" w:eastAsia="zh-CN"/>
        </w:rPr>
      </w:pPr>
      <w:r>
        <w:rPr>
          <w:rFonts w:hint="eastAsia" w:asciiTheme="majorEastAsia" w:hAnsiTheme="majorEastAsia" w:eastAsiaTheme="majorEastAsia" w:cstheme="majorEastAsia"/>
          <w:b/>
          <w:color w:val="auto"/>
          <w:sz w:val="44"/>
          <w:szCs w:val="44"/>
          <w:lang w:val="en-US" w:eastAsia="zh-CN"/>
        </w:rPr>
        <w:t>项目</w:t>
      </w:r>
    </w:p>
    <w:p w14:paraId="087FA162">
      <w:pPr>
        <w:pStyle w:val="8"/>
        <w:keepNext w:val="0"/>
        <w:keepLines w:val="0"/>
        <w:pageBreakBefore w:val="0"/>
        <w:widowControl w:val="0"/>
        <w:kinsoku/>
        <w:wordWrap/>
        <w:overflowPunct/>
        <w:topLinePunct w:val="0"/>
        <w:autoSpaceDE/>
        <w:autoSpaceDN/>
        <w:bidi w:val="0"/>
        <w:adjustRightInd w:val="0"/>
        <w:snapToGrid w:val="0"/>
        <w:spacing w:line="560" w:lineRule="exact"/>
        <w:ind w:left="0" w:right="0" w:firstLine="680" w:firstLineChars="200"/>
        <w:textAlignment w:val="auto"/>
        <w:rPr>
          <w:spacing w:val="20"/>
          <w:sz w:val="30"/>
          <w:szCs w:val="30"/>
        </w:rPr>
      </w:pPr>
    </w:p>
    <w:p w14:paraId="4683049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聘请方(甲方):</w:t>
      </w:r>
    </w:p>
    <w:p w14:paraId="1F74023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受聘方(乙方):</w:t>
      </w:r>
    </w:p>
    <w:p w14:paraId="5834589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p>
    <w:p w14:paraId="66154AA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根据中华人民共和国《民法典》、《律师法》及其他有关法律的规定，甲方因业务发展和维护自身合法权益的需要，聘请乙方律师作为常年法律顾问。双方按 照诚实信用原则，经协商一致，立此合同，共同遵守。</w:t>
      </w:r>
    </w:p>
    <w:p w14:paraId="7867267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乙方的服务范围</w:t>
      </w:r>
    </w:p>
    <w:p w14:paraId="09522C2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(一)协助甲方处理日常法律事务，包括应甲方要求：</w:t>
      </w:r>
    </w:p>
    <w:p w14:paraId="73C9991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1、解答法律咨询、依法提供意见与建议，必要时出具律师意见书；</w:t>
      </w:r>
    </w:p>
    <w:p w14:paraId="49DF3B5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2、协助甲方起草、修改、审查合同、章程等法律文件，为甲方防范或减少 纠纷的发生；</w:t>
      </w:r>
    </w:p>
    <w:p w14:paraId="1CA61AC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3、协助甲方起草、修改、审查内部规章制度，并就甲方的内部管理提供法 律咨询服务，增强甲方内部管理的规范性和可操作性；</w:t>
      </w:r>
    </w:p>
    <w:p w14:paraId="49E9C2F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4、就甲方已经面临或者可能发生的纠纷，进行法律论证，提出解决方案， 发表律师意见或出具律师函；</w:t>
      </w:r>
    </w:p>
    <w:p w14:paraId="2E69C34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5、协助甲方进行职工法制培训，讲授法律实务知识；</w:t>
      </w:r>
    </w:p>
    <w:p w14:paraId="7BE3D45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6、办理双方商定的其他法律事务。</w:t>
      </w:r>
    </w:p>
    <w:p w14:paraId="14BE0E7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(二)上述服务范围不包括甲方的子公司、异地分支机构和其他关联企业的 法律事务；如果甲方需要，双方另行协商与签约。</w:t>
      </w:r>
    </w:p>
    <w:p w14:paraId="43DCFE4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(三)上述服务范围不包括甲方涉及民事、行政、刑事等必须进入诉讼或者 行政复议、仲裁等程序的代理事务，也不包括甲方涉及长期投资、融资、企业改 制、重组、购并、破产、股票发行、上市及其他重大项目、合同的谈判、论证等 专项代理事务；如甲方需要，双方另行协商与签约。</w:t>
      </w:r>
    </w:p>
    <w:p w14:paraId="0FEB3F5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甲方的权利和义务</w:t>
      </w:r>
    </w:p>
    <w:p w14:paraId="589D8A0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(一)甲方应当真实、客观、全面地向乙方提供与常年法律顾问业务有关的 各种文件、资料，并介绍有关情况；除紧急事务外，甲方应当提前向常年法律顾 问通报，以保证其有合理的准备时间。</w:t>
      </w:r>
    </w:p>
    <w:p w14:paraId="5DCEB6A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(二)甲方应当为常年法律顾问办理法律事务提出明确具体、合法合理的要求；不得要求常年法律顾问进行违法或者有违律师执业规范的活动。</w:t>
      </w:r>
    </w:p>
    <w:p w14:paraId="6D22017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(三)甲方应当依约按时、足额地向乙方支付法律顾问费和差旅费等。</w:t>
      </w:r>
    </w:p>
    <w:p w14:paraId="1AAB741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(四)甲方有责任对本合同第一条的有关法律服务事务作出独立的判断和决 策，甲方根据常年法律顾问提供的意见、建议、方案所作出的决定，以及因甲方 错过各种法定时效而导致的损失，非因常年法律顾问错误运用法律造成的，由甲 方自行承担。</w:t>
      </w:r>
    </w:p>
    <w:p w14:paraId="21BCBC1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(五)甲方有权要求乙方及时更换在服务过程中工作不负责任、或不适合办 理甲方委托的法律事务的乙方律师担任常年法律顾问，但甲方提出此要求的理由 应充分、合理。</w:t>
      </w:r>
    </w:p>
    <w:p w14:paraId="6E464CD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乙方的权利和义务</w:t>
      </w:r>
    </w:p>
    <w:p w14:paraId="08DC182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(一)乙方指派</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律师作为甲方常年法律顾问。乙方指派的律师因故不能履行职务时，由乙方另行指派律师，经甲方确认后，继续完成本合同约定的法 律顾问工作。</w:t>
      </w:r>
    </w:p>
    <w:p w14:paraId="2DA9D58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(二)常年法律顾问应当依法依理、勤勉尽责地完成第一条第(一)项做列 的法律事务，切实维护甲方的合法权益。</w:t>
      </w:r>
    </w:p>
    <w:p w14:paraId="77E6A3E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(三)常年法律顾问应当在获得甲方提供的相关文件资料及其他必须的工作 条件后，及时完成服务工作，并应甲方要求通报工作进程。</w:t>
      </w:r>
    </w:p>
    <w:p w14:paraId="4F722D4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(四)常年法律顾问对获知的甲方商业秘密或个人隐私负有保密责任，非因 法律规定或者甲方同意，不得向任何第三方披露。但以下内容除外：</w:t>
      </w:r>
    </w:p>
    <w:p w14:paraId="4DC3C11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1、刑事犯罪证据；2、可以公开查询或取得的信息和资料；3、为履行本合 同所约定的服务必须进行的工作。</w:t>
      </w:r>
    </w:p>
    <w:p w14:paraId="485F403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(五)如甲方隐瞒有关法律顾问事务的真实情况或要求乙方律师从事违反法 律或律师执业规范的活动，乙方有权拒绝。</w:t>
      </w:r>
    </w:p>
    <w:p w14:paraId="12AC5AD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本合同生效后，甲乙双方均可依法解除合同。因解除合同给对方造 成损失的，除不可归责于解除合同一方的事由外，应当赔偿对方因此发生的损失。</w:t>
      </w:r>
    </w:p>
    <w:p w14:paraId="6159E33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聘请期限与服务方式</w:t>
      </w:r>
    </w:p>
    <w:p w14:paraId="07494DA6">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宋体"/>
          <w:bCs/>
          <w:color w:val="auto"/>
          <w:kern w:val="0"/>
          <w:sz w:val="32"/>
          <w:szCs w:val="32"/>
          <w:lang w:val="en-US" w:eastAsia="zh-CN" w:bidi="ar-SA"/>
        </w:rPr>
      </w:pPr>
      <w:r>
        <w:rPr>
          <w:rFonts w:hint="eastAsia" w:ascii="仿宋" w:hAnsi="仿宋" w:eastAsia="仿宋" w:cs="仿宋"/>
          <w:sz w:val="32"/>
          <w:szCs w:val="32"/>
        </w:rPr>
        <w:t>聘请期限：自202 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日起至 202年月日止，共1个工作年 度。</w:t>
      </w:r>
      <w:r>
        <w:rPr>
          <w:rFonts w:hint="eastAsia" w:ascii="仿宋" w:hAnsi="仿宋" w:eastAsia="仿宋" w:cs="宋体"/>
          <w:bCs/>
          <w:color w:val="auto"/>
          <w:kern w:val="0"/>
          <w:sz w:val="32"/>
          <w:szCs w:val="32"/>
          <w:lang w:val="en-US" w:eastAsia="zh-CN" w:bidi="ar-SA"/>
        </w:rPr>
        <w:t>顾问服务聘期为3年，首期合同期限为1年，首期服务期满前30日内，甲方将根据乙方在首期服务期间的工作表现、服务质量、</w:t>
      </w:r>
      <w:r>
        <w:rPr>
          <w:rFonts w:hint="eastAsia" w:ascii="仿宋" w:hAnsi="仿宋" w:eastAsia="仿宋" w:cs="Times New Roman"/>
          <w:color w:val="auto"/>
          <w:sz w:val="32"/>
          <w:szCs w:val="32"/>
          <w:shd w:val="clear" w:color="auto" w:fill="FFFFFF"/>
          <w:lang w:val="en-US" w:eastAsia="zh-CN"/>
        </w:rPr>
        <w:t>应答速度</w:t>
      </w:r>
      <w:r>
        <w:rPr>
          <w:rFonts w:hint="eastAsia" w:ascii="仿宋" w:hAnsi="仿宋" w:eastAsia="仿宋" w:cs="宋体"/>
          <w:bCs/>
          <w:color w:val="auto"/>
          <w:kern w:val="0"/>
          <w:sz w:val="32"/>
          <w:szCs w:val="32"/>
          <w:lang w:val="en-US" w:eastAsia="zh-CN" w:bidi="ar-SA"/>
        </w:rPr>
        <w:t>及合同履行情况等进行综合评价。若评价合格，双方可协商签订第二年服务合同；若评价未达甲方要求，甲方有权终止合作，不再续签第二年合同。第三年合同的签订，将参照第二年的评价流程及结果执行。</w:t>
      </w:r>
    </w:p>
    <w:p w14:paraId="7F783F5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服务方式：甲方日常法律事务通过电话、微信或电子邮箱往来处理；如因法 律服务需要，需律师到工作现场，一般情况下能随叫随到。</w:t>
      </w:r>
    </w:p>
    <w:p w14:paraId="04B4D06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费用的确定与支付</w:t>
      </w:r>
    </w:p>
    <w:p w14:paraId="7411408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drawing>
          <wp:anchor distT="0" distB="0" distL="0" distR="0" simplePos="0" relativeHeight="251663360" behindDoc="0" locked="0" layoutInCell="1" allowOverlap="1">
            <wp:simplePos x="0" y="0"/>
            <wp:positionH relativeFrom="column">
              <wp:posOffset>6863715</wp:posOffset>
            </wp:positionH>
            <wp:positionV relativeFrom="paragraph">
              <wp:posOffset>326390</wp:posOffset>
            </wp:positionV>
            <wp:extent cx="469900" cy="1504950"/>
            <wp:effectExtent l="0" t="0" r="635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469922" cy="1504993"/>
                    </a:xfrm>
                    <a:prstGeom prst="rect">
                      <a:avLst/>
                    </a:prstGeom>
                  </pic:spPr>
                </pic:pic>
              </a:graphicData>
            </a:graphic>
          </wp:anchor>
        </w:drawing>
      </w:r>
      <w:r>
        <w:rPr>
          <w:rFonts w:hint="eastAsia" w:ascii="仿宋" w:hAnsi="仿宋" w:eastAsia="仿宋" w:cs="仿宋"/>
          <w:sz w:val="32"/>
          <w:szCs w:val="32"/>
        </w:rPr>
        <w:t>(一)收费依据：国家和海南省律师服务收费的现行有效规定。</w:t>
      </w:r>
    </w:p>
    <w:p w14:paraId="2EE4243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(二)法律顾问费：每个工作年度为人民币贰万伍仟元整。 付费时间为下列第1种。</w:t>
      </w:r>
    </w:p>
    <w:p w14:paraId="0F565B5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1、甲方应于每一个工作年度</w:t>
      </w:r>
      <w:r>
        <w:rPr>
          <w:rFonts w:hint="eastAsia" w:ascii="仿宋" w:hAnsi="仿宋" w:eastAsia="仿宋" w:cs="仿宋"/>
          <w:sz w:val="32"/>
          <w:szCs w:val="32"/>
          <w:lang w:eastAsia="zh-CN"/>
        </w:rPr>
        <w:t>初期</w:t>
      </w:r>
      <w:r>
        <w:rPr>
          <w:rFonts w:hint="eastAsia" w:ascii="仿宋" w:hAnsi="仿宋" w:eastAsia="仿宋" w:cs="仿宋"/>
          <w:sz w:val="32"/>
          <w:szCs w:val="32"/>
        </w:rPr>
        <w:t>， 一次性向乙方支付该年度 50%法律顾问费即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元；半年后再支付该年度剩余法律顾问费即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元。</w:t>
      </w:r>
    </w:p>
    <w:p w14:paraId="718CEB0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2、双方约定：</w:t>
      </w:r>
    </w:p>
    <w:p w14:paraId="57111F0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drawing>
          <wp:anchor distT="0" distB="0" distL="0" distR="0" simplePos="0" relativeHeight="251664384" behindDoc="0" locked="0" layoutInCell="1" allowOverlap="1">
            <wp:simplePos x="0" y="0"/>
            <wp:positionH relativeFrom="column">
              <wp:posOffset>7124065</wp:posOffset>
            </wp:positionH>
            <wp:positionV relativeFrom="paragraph">
              <wp:posOffset>1129030</wp:posOffset>
            </wp:positionV>
            <wp:extent cx="247650" cy="1282700"/>
            <wp:effectExtent l="0" t="0" r="0" b="1270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247639" cy="1282662"/>
                    </a:xfrm>
                    <a:prstGeom prst="rect">
                      <a:avLst/>
                    </a:prstGeom>
                  </pic:spPr>
                </pic:pic>
              </a:graphicData>
            </a:graphic>
          </wp:anchor>
        </w:drawing>
      </w:r>
      <w:r>
        <w:rPr>
          <w:rFonts w:hint="eastAsia" w:ascii="仿宋" w:hAnsi="仿宋" w:eastAsia="仿宋" w:cs="仿宋"/>
          <w:sz w:val="32"/>
          <w:szCs w:val="32"/>
        </w:rPr>
        <w:t>无论选择上述何种付费时间支付法律顾问费，甲方均应以现金或转账方式直 接向乙方支付并索取有效发票；向常年法律顾问本人或其他个人支付的，乙方均 不予认可。本合同落款处的账户为收费账户。</w:t>
      </w:r>
    </w:p>
    <w:p w14:paraId="2701A77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(三)常年法律顾问在完成甲方的法律事务过程中发生的鉴定费、评估费、公证费、公告费、查档费等费用，由甲方另行按有关规定支付。</w:t>
      </w:r>
    </w:p>
    <w:p w14:paraId="40685E8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(四)差旅费：常年法律顾问异地办理甲方的法律事务，由乙方向甲方提出差旅费概算，经甲方认可后预收，事后由甲方按有关规定据实报销。</w:t>
      </w:r>
    </w:p>
    <w:p w14:paraId="253606C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(五)甲方就第一条第(二)(三)项所列的法律事务委托乙方办理，应另 行签约与支付律师服务费，乙方应给予优惠。</w:t>
      </w:r>
    </w:p>
    <w:p w14:paraId="573B4BC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第七条甲方确认下列通讯地址及联系人是乙方受聘完成甲方常年法律顾 问工作向甲方履行通知义务的通讯地址及联系人：</w:t>
      </w:r>
    </w:p>
    <w:p w14:paraId="754C0AB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海口市秀英区秀华路32号，电话：68662562。</w:t>
      </w:r>
    </w:p>
    <w:p w14:paraId="720BC06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如果甲方变更通讯地址或联系人，需提前七日书面通知乙方。</w:t>
      </w:r>
    </w:p>
    <w:p w14:paraId="3CBA090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第八条因履行本合同发生争议，双方应友好协商；协商不成的，可选择下 列第2种方式解决。</w:t>
      </w:r>
    </w:p>
    <w:p w14:paraId="7200016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1、提交海南仲裁委员会仲裁；</w:t>
      </w:r>
    </w:p>
    <w:p w14:paraId="05BAFAE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2、向人民法院提起诉讼。</w:t>
      </w:r>
    </w:p>
    <w:p w14:paraId="53E11E8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drawing>
          <wp:anchor distT="0" distB="0" distL="0" distR="0" simplePos="0" relativeHeight="251665408" behindDoc="0" locked="0" layoutInCell="1" allowOverlap="1">
            <wp:simplePos x="0" y="0"/>
            <wp:positionH relativeFrom="column">
              <wp:posOffset>6756400</wp:posOffset>
            </wp:positionH>
            <wp:positionV relativeFrom="paragraph">
              <wp:posOffset>466725</wp:posOffset>
            </wp:positionV>
            <wp:extent cx="476250" cy="127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7"/>
                    <a:stretch>
                      <a:fillRect/>
                    </a:stretch>
                  </pic:blipFill>
                  <pic:spPr>
                    <a:xfrm>
                      <a:off x="0" y="0"/>
                      <a:ext cx="476181" cy="1276337"/>
                    </a:xfrm>
                    <a:prstGeom prst="rect">
                      <a:avLst/>
                    </a:prstGeom>
                  </pic:spPr>
                </pic:pic>
              </a:graphicData>
            </a:graphic>
          </wp:anchor>
        </w:drawing>
      </w:r>
      <w:r>
        <w:rPr>
          <w:rFonts w:hint="eastAsia" w:ascii="仿宋" w:hAnsi="仿宋" w:eastAsia="仿宋" w:cs="仿宋"/>
          <w:sz w:val="32"/>
          <w:szCs w:val="32"/>
        </w:rPr>
        <w:t>第九条  本合同一式两份，双方各执一份，自双方签字盖章之日起生效。</w:t>
      </w:r>
    </w:p>
    <w:p w14:paraId="307232D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甲方承诺：已认真审阅本合同所有格式条款并完全了解其详尽内容； 本合同所有条款均属双方平等且完全协商一致而达成。</w:t>
      </w:r>
    </w:p>
    <w:p w14:paraId="49EBE29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未尽事宜，双方可在本条另行特别约定：</w:t>
      </w:r>
    </w:p>
    <w:p w14:paraId="0DD1C798">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kern w:val="2"/>
          <w:sz w:val="32"/>
          <w:szCs w:val="32"/>
          <w:lang w:val="en-US" w:eastAsia="zh-CN" w:bidi="zh-CN"/>
        </w:rPr>
      </w:pPr>
    </w:p>
    <w:p w14:paraId="4DEEAF9E">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kern w:val="2"/>
          <w:sz w:val="32"/>
          <w:szCs w:val="32"/>
          <w:lang w:val="en-US" w:eastAsia="zh-CN" w:bidi="zh-CN"/>
        </w:rPr>
      </w:pPr>
      <w:r>
        <w:rPr>
          <w:rFonts w:hint="eastAsia" w:ascii="仿宋" w:hAnsi="仿宋" w:eastAsia="仿宋" w:cs="仿宋"/>
          <w:kern w:val="2"/>
          <w:sz w:val="32"/>
          <w:szCs w:val="32"/>
          <w:lang w:val="en-US" w:eastAsia="zh-CN" w:bidi="zh-CN"/>
        </w:rPr>
        <w:t>甲方(盖章):                   乙方(盖章):</w:t>
      </w:r>
    </w:p>
    <w:p w14:paraId="2E14A982">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zh-CN"/>
        </w:rPr>
      </w:pPr>
    </w:p>
    <w:p w14:paraId="62411510">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zh-CN"/>
        </w:rPr>
      </w:pPr>
      <w:r>
        <w:rPr>
          <w:rFonts w:hint="eastAsia" w:ascii="仿宋" w:hAnsi="仿宋" w:eastAsia="仿宋" w:cs="仿宋"/>
          <w:kern w:val="2"/>
          <w:sz w:val="32"/>
          <w:szCs w:val="32"/>
          <w:lang w:val="en-US" w:eastAsia="zh-CN" w:bidi="zh-CN"/>
        </w:rPr>
        <w:t>代表签名:                     代表签名:</w:t>
      </w:r>
    </w:p>
    <w:p w14:paraId="3B1F8D4C">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zh-CN"/>
        </w:rPr>
      </w:pPr>
    </w:p>
    <w:p w14:paraId="5054117C">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zh-CN"/>
        </w:rPr>
      </w:pPr>
      <w:r>
        <w:rPr>
          <w:rFonts w:hint="eastAsia" w:ascii="仿宋" w:hAnsi="仿宋" w:eastAsia="仿宋" w:cs="仿宋"/>
          <w:kern w:val="2"/>
          <w:sz w:val="32"/>
          <w:szCs w:val="32"/>
          <w:lang w:val="en-US" w:eastAsia="zh-CN" w:bidi="zh-CN"/>
        </w:rPr>
        <w:t>日期:    年  月  日          日期:   年  月  日</w:t>
      </w:r>
    </w:p>
    <w:p w14:paraId="27AAD0E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p>
    <w:p w14:paraId="3E70538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p>
    <w:p w14:paraId="462B42AE">
      <w:pPr>
        <w:keepNext w:val="0"/>
        <w:keepLines w:val="0"/>
        <w:pageBreakBefore w:val="0"/>
        <w:kinsoku/>
        <w:wordWrap/>
        <w:overflowPunct/>
        <w:topLinePunct w:val="0"/>
        <w:bidi w:val="0"/>
        <w:adjustRightInd w:val="0"/>
        <w:snapToGrid w:val="0"/>
        <w:spacing w:line="560" w:lineRule="exact"/>
        <w:ind w:left="0" w:leftChars="0" w:right="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 xml:space="preserve">      </w:t>
      </w:r>
    </w:p>
    <w:p w14:paraId="293CFACA">
      <w:pPr>
        <w:pStyle w:val="2"/>
        <w:pageBreakBefore w:val="0"/>
        <w:kinsoku/>
        <w:wordWrap/>
        <w:overflowPunct/>
        <w:topLinePunct w:val="0"/>
        <w:autoSpaceDE/>
        <w:autoSpaceDN/>
        <w:bidi w:val="0"/>
        <w:adjustRightInd w:val="0"/>
        <w:snapToGrid w:val="0"/>
        <w:spacing w:line="560" w:lineRule="exact"/>
        <w:ind w:left="0" w:leftChars="0"/>
        <w:rPr>
          <w:rFonts w:hint="eastAsia" w:ascii="黑体" w:hAnsi="黑体" w:eastAsia="黑体" w:cs="黑体"/>
          <w:color w:val="FF0000"/>
          <w:sz w:val="32"/>
          <w:szCs w:val="32"/>
          <w:lang w:val="en-US" w:eastAsia="zh-CN"/>
        </w:rPr>
      </w:pPr>
      <w:bookmarkStart w:id="46" w:name="_Toc356491327"/>
      <w:bookmarkStart w:id="47" w:name="_Toc356490388"/>
      <w:bookmarkStart w:id="48" w:name="_Toc325620723"/>
      <w:bookmarkStart w:id="49" w:name="_Toc40089798"/>
      <w:bookmarkStart w:id="50" w:name="_Toc28109"/>
      <w:bookmarkStart w:id="51" w:name="_Toc905"/>
      <w:r>
        <w:rPr>
          <w:rFonts w:hint="eastAsia" w:ascii="宋体" w:hAnsi="宋体" w:eastAsia="宋体" w:cs="宋体"/>
          <w:sz w:val="44"/>
          <w:szCs w:val="44"/>
          <w:lang w:val="en-US" w:eastAsia="zh-CN"/>
        </w:rPr>
        <w:t>第</w:t>
      </w:r>
      <w:r>
        <w:rPr>
          <w:rFonts w:hint="eastAsia" w:hAnsi="宋体" w:cs="宋体"/>
          <w:sz w:val="44"/>
          <w:szCs w:val="44"/>
          <w:lang w:val="en-US" w:eastAsia="zh-CN"/>
        </w:rPr>
        <w:t>五</w:t>
      </w:r>
      <w:r>
        <w:rPr>
          <w:rFonts w:hint="eastAsia" w:ascii="宋体" w:hAnsi="宋体" w:eastAsia="宋体" w:cs="宋体"/>
          <w:sz w:val="44"/>
          <w:szCs w:val="44"/>
          <w:lang w:val="en-US" w:eastAsia="zh-CN"/>
        </w:rPr>
        <w:t xml:space="preserve">部分 </w:t>
      </w:r>
      <w:bookmarkEnd w:id="46"/>
      <w:bookmarkEnd w:id="47"/>
      <w:bookmarkEnd w:id="48"/>
      <w:r>
        <w:rPr>
          <w:rFonts w:hint="eastAsia" w:ascii="宋体" w:hAnsi="宋体" w:eastAsia="宋体" w:cs="宋体"/>
          <w:sz w:val="44"/>
          <w:szCs w:val="44"/>
          <w:lang w:val="en-US" w:eastAsia="zh-CN"/>
        </w:rPr>
        <w:t>项目需求及说明</w:t>
      </w:r>
      <w:bookmarkEnd w:id="49"/>
      <w:bookmarkEnd w:id="50"/>
      <w:bookmarkEnd w:id="51"/>
      <w:bookmarkStart w:id="52" w:name="_Toc425948677"/>
    </w:p>
    <w:p w14:paraId="24E861D1">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14:paraId="59C0CC3C">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leftChars="0" w:firstLine="640" w:firstLineChars="200"/>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color w:val="auto"/>
          <w:sz w:val="32"/>
          <w:szCs w:val="32"/>
          <w:lang w:val="en-US" w:eastAsia="zh-CN"/>
        </w:rPr>
        <w:t>1.采购项目名称：</w:t>
      </w:r>
      <w:r>
        <w:rPr>
          <w:rFonts w:hint="eastAsia" w:ascii="仿宋" w:hAnsi="仿宋" w:eastAsia="仿宋" w:cs="仿宋"/>
          <w:b w:val="0"/>
          <w:bCs/>
          <w:color w:val="auto"/>
          <w:kern w:val="0"/>
          <w:sz w:val="32"/>
          <w:szCs w:val="32"/>
          <w:lang w:val="en-US" w:eastAsia="zh-CN"/>
        </w:rPr>
        <w:t>海南卫生健康职业学院律师咨询服务项目</w:t>
      </w:r>
    </w:p>
    <w:p w14:paraId="02868FFB">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leftChars="0" w:firstLine="640" w:firstLineChars="200"/>
        <w:jc w:val="left"/>
        <w:textAlignment w:val="auto"/>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2.采购项目编号：HNWJY-FW2026008</w:t>
      </w:r>
    </w:p>
    <w:p w14:paraId="4CDD03E7">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bCs/>
          <w:color w:val="auto"/>
          <w:kern w:val="2"/>
          <w:sz w:val="32"/>
          <w:szCs w:val="32"/>
          <w:lang w:val="en-US" w:eastAsia="zh-CN" w:bidi="ar-SA"/>
        </w:rPr>
        <w:t>3.项目预算：</w:t>
      </w:r>
      <w:r>
        <w:rPr>
          <w:rFonts w:hint="eastAsia" w:ascii="仿宋" w:hAnsi="仿宋" w:eastAsia="仿宋" w:cs="仿宋"/>
          <w:color w:val="auto"/>
          <w:sz w:val="32"/>
          <w:szCs w:val="32"/>
          <w:lang w:val="en-US" w:eastAsia="zh-CN"/>
        </w:rPr>
        <w:t>25000.00元/年，3年75000.00元</w:t>
      </w:r>
    </w:p>
    <w:p w14:paraId="4F5F0E3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二、商务需求</w:t>
      </w:r>
    </w:p>
    <w:p w14:paraId="4EBA158E">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1.服务期限：三年。</w:t>
      </w:r>
    </w:p>
    <w:p w14:paraId="45936011">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color w:val="auto"/>
          <w:sz w:val="32"/>
          <w:szCs w:val="32"/>
          <w:lang w:val="en-US" w:eastAsia="zh-CN"/>
        </w:rPr>
        <w:t>2.付款方式：根据合同要求</w:t>
      </w:r>
      <w:r>
        <w:rPr>
          <w:rFonts w:hint="eastAsia" w:ascii="仿宋" w:hAnsi="仿宋" w:eastAsia="仿宋" w:cs="仿宋"/>
          <w:bCs/>
          <w:color w:val="auto"/>
          <w:kern w:val="2"/>
          <w:sz w:val="32"/>
          <w:szCs w:val="32"/>
          <w:lang w:val="en-US" w:eastAsia="zh-CN" w:bidi="ar-SA"/>
        </w:rPr>
        <w:t>。</w:t>
      </w:r>
    </w:p>
    <w:p w14:paraId="6A7431C0">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3.法律顾问的聘用条件</w:t>
      </w:r>
    </w:p>
    <w:p w14:paraId="236A61F4">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olor w:val="auto"/>
          <w:sz w:val="32"/>
          <w:szCs w:val="32"/>
          <w:shd w:val="clear" w:color="auto" w:fill="FFFFFF"/>
          <w:lang w:eastAsia="zh-CN"/>
        </w:rPr>
      </w:pPr>
      <w:r>
        <w:rPr>
          <w:rFonts w:hint="eastAsia" w:ascii="仿宋" w:hAnsi="仿宋" w:eastAsia="仿宋" w:cs="仿宋"/>
          <w:color w:val="auto"/>
          <w:sz w:val="32"/>
          <w:szCs w:val="32"/>
          <w:lang w:val="en-US" w:eastAsia="zh-CN"/>
        </w:rPr>
        <w:t>3.1</w:t>
      </w:r>
      <w:r>
        <w:rPr>
          <w:rFonts w:hint="eastAsia" w:ascii="仿宋" w:hAnsi="仿宋" w:eastAsia="仿宋"/>
          <w:color w:val="auto"/>
          <w:sz w:val="32"/>
          <w:szCs w:val="32"/>
          <w:shd w:val="clear" w:color="auto" w:fill="FFFFFF"/>
        </w:rPr>
        <w:t>具有中华人民共和国国籍</w:t>
      </w:r>
      <w:r>
        <w:rPr>
          <w:rFonts w:hint="eastAsia" w:ascii="仿宋" w:hAnsi="仿宋" w:eastAsia="仿宋"/>
          <w:color w:val="auto"/>
          <w:sz w:val="32"/>
          <w:szCs w:val="32"/>
          <w:shd w:val="clear" w:color="auto" w:fill="FFFFFF"/>
          <w:lang w:eastAsia="zh-CN"/>
        </w:rPr>
        <w:t>；</w:t>
      </w:r>
    </w:p>
    <w:p w14:paraId="47E36709">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宋体"/>
          <w:color w:val="auto"/>
          <w:kern w:val="0"/>
          <w:sz w:val="32"/>
          <w:szCs w:val="32"/>
          <w:lang w:eastAsia="zh-CN"/>
        </w:rPr>
      </w:pPr>
      <w:r>
        <w:rPr>
          <w:rFonts w:hint="eastAsia" w:ascii="仿宋" w:hAnsi="仿宋" w:eastAsia="仿宋"/>
          <w:color w:val="auto"/>
          <w:sz w:val="32"/>
          <w:szCs w:val="32"/>
          <w:shd w:val="clear" w:color="auto" w:fill="FFFFFF"/>
          <w:lang w:val="en-US" w:eastAsia="zh-CN"/>
        </w:rPr>
        <w:t>3.2</w:t>
      </w:r>
      <w:r>
        <w:rPr>
          <w:rFonts w:hint="eastAsia" w:ascii="仿宋" w:hAnsi="仿宋" w:eastAsia="仿宋" w:cs="宋体"/>
          <w:color w:val="auto"/>
          <w:kern w:val="0"/>
          <w:sz w:val="32"/>
          <w:szCs w:val="32"/>
        </w:rPr>
        <w:t>政治素质高，拥护党的理论和路线方针政策</w:t>
      </w:r>
      <w:r>
        <w:rPr>
          <w:rFonts w:hint="eastAsia" w:ascii="仿宋" w:hAnsi="仿宋" w:eastAsia="仿宋" w:cs="宋体"/>
          <w:color w:val="auto"/>
          <w:kern w:val="0"/>
          <w:sz w:val="32"/>
          <w:szCs w:val="32"/>
          <w:lang w:eastAsia="zh-CN"/>
        </w:rPr>
        <w:t>；</w:t>
      </w:r>
    </w:p>
    <w:p w14:paraId="00520EFF">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3.3</w:t>
      </w:r>
      <w:r>
        <w:rPr>
          <w:rFonts w:hint="eastAsia" w:ascii="仿宋" w:hAnsi="仿宋" w:eastAsia="仿宋"/>
          <w:color w:val="auto"/>
          <w:sz w:val="32"/>
          <w:szCs w:val="32"/>
          <w:shd w:val="clear" w:color="auto" w:fill="FFFFFF"/>
        </w:rPr>
        <w:t>忠于宪法、遵守法律、具有良好的职业道德，未曾受过刑事处罚和纪律处分</w:t>
      </w:r>
      <w:r>
        <w:rPr>
          <w:rFonts w:hint="eastAsia" w:ascii="仿宋" w:hAnsi="仿宋" w:eastAsia="仿宋" w:cs="宋体"/>
          <w:color w:val="auto"/>
          <w:kern w:val="0"/>
          <w:sz w:val="32"/>
          <w:szCs w:val="32"/>
        </w:rPr>
        <w:t>；</w:t>
      </w:r>
    </w:p>
    <w:p w14:paraId="7B3193E6">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olor w:val="auto"/>
          <w:sz w:val="32"/>
          <w:szCs w:val="32"/>
          <w:shd w:val="clear" w:color="auto" w:fill="FFFFFF"/>
        </w:rPr>
      </w:pPr>
      <w:r>
        <w:rPr>
          <w:rFonts w:hint="eastAsia" w:ascii="仿宋" w:hAnsi="仿宋" w:eastAsia="仿宋" w:cs="宋体"/>
          <w:color w:val="auto"/>
          <w:kern w:val="0"/>
          <w:sz w:val="32"/>
          <w:szCs w:val="32"/>
          <w:lang w:val="en-US" w:eastAsia="zh-CN"/>
        </w:rPr>
        <w:t>3.4</w:t>
      </w:r>
      <w:r>
        <w:rPr>
          <w:rFonts w:hint="eastAsia" w:ascii="仿宋" w:hAnsi="仿宋" w:eastAsia="仿宋"/>
          <w:color w:val="auto"/>
          <w:sz w:val="32"/>
          <w:szCs w:val="32"/>
          <w:shd w:val="clear" w:color="auto" w:fill="FFFFFF"/>
        </w:rPr>
        <w:t>熟悉教育法律法规、相关教育政策和学校管理；</w:t>
      </w:r>
    </w:p>
    <w:p w14:paraId="41BC61F8">
      <w:pPr>
        <w:widowControl/>
        <w:shd w:val="clear" w:color="auto" w:fill="FFFFFF"/>
        <w:spacing w:line="560" w:lineRule="exact"/>
        <w:ind w:firstLine="615"/>
        <w:jc w:val="left"/>
        <w:rPr>
          <w:rFonts w:hint="eastAsia" w:ascii="仿宋" w:hAnsi="仿宋" w:eastAsia="仿宋" w:cs="Times New Roman"/>
          <w:color w:val="auto"/>
          <w:sz w:val="32"/>
          <w:szCs w:val="32"/>
          <w:shd w:val="clear" w:color="auto" w:fill="FFFFFF"/>
          <w:lang w:eastAsia="zh-CN"/>
        </w:rPr>
      </w:pPr>
      <w:r>
        <w:rPr>
          <w:rFonts w:hint="eastAsia" w:ascii="仿宋" w:hAnsi="仿宋" w:eastAsia="仿宋"/>
          <w:color w:val="auto"/>
          <w:sz w:val="32"/>
          <w:szCs w:val="32"/>
          <w:shd w:val="clear" w:color="auto" w:fill="FFFFFF"/>
          <w:lang w:val="en-US" w:eastAsia="zh-CN"/>
        </w:rPr>
        <w:t>3.5</w:t>
      </w:r>
      <w:r>
        <w:rPr>
          <w:rFonts w:hint="eastAsia" w:ascii="仿宋" w:hAnsi="仿宋" w:eastAsia="仿宋"/>
          <w:color w:val="auto"/>
          <w:sz w:val="32"/>
          <w:szCs w:val="32"/>
          <w:shd w:val="clear" w:color="auto" w:fill="FFFFFF"/>
        </w:rPr>
        <w:t>在海南省连续注册执业5年以上，</w:t>
      </w:r>
      <w:r>
        <w:rPr>
          <w:rFonts w:hint="eastAsia" w:ascii="仿宋" w:hAnsi="仿宋" w:eastAsia="仿宋" w:cs="宋体"/>
          <w:color w:val="auto"/>
          <w:kern w:val="0"/>
          <w:sz w:val="32"/>
          <w:szCs w:val="32"/>
        </w:rPr>
        <w:t>专业能力较强，</w:t>
      </w:r>
      <w:r>
        <w:rPr>
          <w:rFonts w:hint="eastAsia" w:ascii="仿宋" w:hAnsi="仿宋" w:eastAsia="仿宋"/>
          <w:color w:val="auto"/>
          <w:sz w:val="32"/>
          <w:szCs w:val="32"/>
          <w:shd w:val="clear" w:color="auto" w:fill="FFFFFF"/>
        </w:rPr>
        <w:t>其所在律师事务所近5年内未受过司法行政部门或律师协会的行业</w:t>
      </w:r>
      <w:r>
        <w:rPr>
          <w:rFonts w:hint="eastAsia" w:ascii="仿宋" w:hAnsi="仿宋" w:eastAsia="仿宋" w:cs="Times New Roman"/>
          <w:color w:val="auto"/>
          <w:sz w:val="32"/>
          <w:szCs w:val="32"/>
          <w:shd w:val="clear" w:color="auto" w:fill="FFFFFF"/>
        </w:rPr>
        <w:t>处分。</w:t>
      </w:r>
      <w:r>
        <w:rPr>
          <w:rFonts w:hint="eastAsia" w:ascii="仿宋" w:hAnsi="仿宋" w:eastAsia="仿宋" w:cs="Times New Roman"/>
          <w:color w:val="auto"/>
          <w:sz w:val="32"/>
          <w:szCs w:val="32"/>
          <w:shd w:val="clear" w:color="auto" w:fill="FFFFFF"/>
          <w:lang w:eastAsia="zh-CN"/>
        </w:rPr>
        <w:t>（提供承诺函，承诺函自拟）</w:t>
      </w:r>
    </w:p>
    <w:p w14:paraId="3A47AA62">
      <w:pPr>
        <w:widowControl/>
        <w:shd w:val="clear" w:color="auto" w:fill="FFFFFF"/>
        <w:spacing w:line="560" w:lineRule="exact"/>
        <w:ind w:firstLine="615"/>
        <w:jc w:val="left"/>
        <w:rPr>
          <w:rFonts w:hint="eastAsia" w:ascii="仿宋" w:hAnsi="仿宋" w:eastAsia="仿宋" w:cs="Times New Roman"/>
          <w:color w:val="auto"/>
          <w:sz w:val="32"/>
          <w:szCs w:val="32"/>
          <w:shd w:val="clear" w:color="auto" w:fill="FFFFFF"/>
          <w:lang w:val="en-US" w:eastAsia="zh-CN"/>
        </w:rPr>
      </w:pPr>
      <w:r>
        <w:rPr>
          <w:rFonts w:hint="eastAsia" w:ascii="仿宋" w:hAnsi="仿宋" w:eastAsia="仿宋" w:cs="Times New Roman"/>
          <w:color w:val="auto"/>
          <w:sz w:val="32"/>
          <w:szCs w:val="32"/>
          <w:shd w:val="clear" w:color="auto" w:fill="FFFFFF"/>
          <w:lang w:val="en-US" w:eastAsia="zh-CN"/>
        </w:rPr>
        <w:t>3.6顾问服务聘期为3年，首期合同期限为1年，首期服务期满前30日内，甲方将根据乙方在首期服务期间的工作表现、服务质量、应答速度及合同履行情况等进行综合评价。若评价合格，双方可协商签订第二年服务合同；若评价未达甲方要求，甲方有权终止合作，不再续签第二年合同。第三年合同的签订，将参照第二年的评价流程及结果执行。</w:t>
      </w:r>
    </w:p>
    <w:p w14:paraId="2368393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宋体"/>
          <w:bCs/>
          <w:color w:val="auto"/>
          <w:kern w:val="0"/>
          <w:sz w:val="32"/>
          <w:szCs w:val="32"/>
          <w:lang w:val="en-US" w:eastAsia="zh-CN" w:bidi="ar-SA"/>
        </w:rPr>
        <w:t>4.</w:t>
      </w:r>
      <w:r>
        <w:rPr>
          <w:rFonts w:hint="eastAsia" w:ascii="仿宋" w:hAnsi="仿宋" w:eastAsia="仿宋" w:cs="仿宋"/>
          <w:bCs/>
          <w:color w:val="auto"/>
          <w:kern w:val="2"/>
          <w:sz w:val="32"/>
          <w:szCs w:val="32"/>
          <w:lang w:val="en-US" w:eastAsia="zh-CN" w:bidi="ar-SA"/>
        </w:rPr>
        <w:t>服务内容：</w:t>
      </w:r>
    </w:p>
    <w:p w14:paraId="507903C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4.1</w:t>
      </w:r>
      <w:r>
        <w:rPr>
          <w:rFonts w:hint="eastAsia" w:ascii="仿宋" w:hAnsi="仿宋" w:eastAsia="仿宋" w:cs="仿宋"/>
          <w:sz w:val="32"/>
          <w:szCs w:val="32"/>
        </w:rPr>
        <w:t>解答法律咨询、依法提供意见与建议，必要时出具律师意见书；</w:t>
      </w:r>
    </w:p>
    <w:p w14:paraId="21C896B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4.2</w:t>
      </w:r>
      <w:r>
        <w:rPr>
          <w:rFonts w:hint="eastAsia" w:ascii="仿宋" w:hAnsi="仿宋" w:eastAsia="仿宋" w:cs="仿宋"/>
          <w:sz w:val="32"/>
          <w:szCs w:val="32"/>
        </w:rPr>
        <w:t>协助甲方起草、修改、审查合同、章程等法律文件，为甲方防范或减少纠纷的发生；</w:t>
      </w:r>
      <w:bookmarkStart w:id="101" w:name="_GoBack"/>
      <w:bookmarkEnd w:id="101"/>
    </w:p>
    <w:p w14:paraId="57D9C80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4.3</w:t>
      </w:r>
      <w:r>
        <w:rPr>
          <w:rFonts w:hint="eastAsia" w:ascii="仿宋" w:hAnsi="仿宋" w:eastAsia="仿宋" w:cs="仿宋"/>
          <w:sz w:val="32"/>
          <w:szCs w:val="32"/>
        </w:rPr>
        <w:t>协助甲方起草、修改、审查内部规章制度，并就甲方的内部管理提供法律咨询服务，增强甲方内部管理的规范性和可操作性；</w:t>
      </w:r>
    </w:p>
    <w:p w14:paraId="0AC15BF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4.4</w:t>
      </w:r>
      <w:r>
        <w:rPr>
          <w:rFonts w:hint="eastAsia" w:ascii="仿宋" w:hAnsi="仿宋" w:eastAsia="仿宋" w:cs="仿宋"/>
          <w:sz w:val="32"/>
          <w:szCs w:val="32"/>
        </w:rPr>
        <w:t>就甲方已经面临或者可能发生的纠纷，进行法律论证，提出解决方案，发表律师意见或出具律师函；</w:t>
      </w:r>
    </w:p>
    <w:p w14:paraId="2793C2F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olor w:val="auto"/>
          <w:sz w:val="32"/>
          <w:szCs w:val="32"/>
          <w:shd w:val="clear" w:color="auto" w:fill="FFFFFF"/>
        </w:rPr>
      </w:pPr>
      <w:r>
        <w:rPr>
          <w:rFonts w:hint="eastAsia" w:ascii="仿宋" w:hAnsi="仿宋" w:eastAsia="仿宋" w:cs="仿宋"/>
          <w:sz w:val="32"/>
          <w:szCs w:val="32"/>
          <w:lang w:val="en-US" w:eastAsia="zh-CN"/>
        </w:rPr>
        <w:t>4.5</w:t>
      </w:r>
      <w:r>
        <w:rPr>
          <w:rFonts w:hint="eastAsia" w:ascii="仿宋" w:hAnsi="仿宋" w:eastAsia="仿宋"/>
          <w:color w:val="auto"/>
          <w:sz w:val="32"/>
          <w:szCs w:val="32"/>
          <w:shd w:val="clear" w:color="auto" w:fill="FFFFFF"/>
        </w:rPr>
        <w:t>研究学校依法治校制度建设重大问题，提出意见和建议;</w:t>
      </w:r>
    </w:p>
    <w:p w14:paraId="5CCF93F0">
      <w:pPr>
        <w:widowControl/>
        <w:shd w:val="clear" w:color="auto" w:fill="FFFFFF"/>
        <w:spacing w:line="560" w:lineRule="exact"/>
        <w:ind w:firstLine="630"/>
        <w:jc w:val="left"/>
        <w:rPr>
          <w:rFonts w:hint="eastAsia"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lang w:val="en-US" w:eastAsia="zh-CN"/>
        </w:rPr>
        <w:t>4.6</w:t>
      </w:r>
      <w:r>
        <w:rPr>
          <w:rFonts w:hint="eastAsia" w:ascii="仿宋" w:hAnsi="仿宋" w:eastAsia="仿宋"/>
          <w:color w:val="auto"/>
          <w:sz w:val="32"/>
          <w:szCs w:val="32"/>
          <w:shd w:val="clear" w:color="auto" w:fill="FFFFFF"/>
        </w:rPr>
        <w:t>参与学校重大决策研究，提出法律论证、审核意见;</w:t>
      </w:r>
    </w:p>
    <w:p w14:paraId="67606D7A">
      <w:pPr>
        <w:widowControl/>
        <w:shd w:val="clear" w:color="auto" w:fill="FFFFFF"/>
        <w:spacing w:line="560" w:lineRule="exact"/>
        <w:ind w:firstLine="630"/>
        <w:jc w:val="left"/>
        <w:rPr>
          <w:rFonts w:hint="eastAsia"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lang w:val="en-US" w:eastAsia="zh-CN"/>
        </w:rPr>
        <w:t>4.7</w:t>
      </w:r>
      <w:r>
        <w:rPr>
          <w:rFonts w:hint="eastAsia" w:ascii="仿宋" w:hAnsi="仿宋" w:eastAsia="仿宋"/>
          <w:color w:val="auto"/>
          <w:sz w:val="32"/>
          <w:szCs w:val="32"/>
          <w:shd w:val="clear" w:color="auto" w:fill="FFFFFF"/>
        </w:rPr>
        <w:t>参与规范性文件合法性审查，提出法律意见;</w:t>
      </w:r>
    </w:p>
    <w:p w14:paraId="0AAE87A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lang w:val="en-US" w:eastAsia="zh-CN"/>
        </w:rPr>
        <w:t>4.8</w:t>
      </w:r>
      <w:r>
        <w:rPr>
          <w:rFonts w:hint="eastAsia" w:ascii="仿宋" w:hAnsi="仿宋" w:eastAsia="仿宋"/>
          <w:color w:val="auto"/>
          <w:sz w:val="32"/>
          <w:szCs w:val="32"/>
          <w:shd w:val="clear" w:color="auto" w:fill="FFFFFF"/>
        </w:rPr>
        <w:t>参与重大合同、协议的谈判及其他重大法律事务的办理，起草文本或提出法律意见;</w:t>
      </w:r>
    </w:p>
    <w:p w14:paraId="472BCE40">
      <w:pPr>
        <w:widowControl/>
        <w:shd w:val="clear" w:color="auto" w:fill="FFFFFF"/>
        <w:spacing w:line="560" w:lineRule="exact"/>
        <w:ind w:firstLine="630"/>
        <w:jc w:val="left"/>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lang w:val="en-US" w:eastAsia="zh-CN"/>
        </w:rPr>
        <w:t>4.9</w:t>
      </w:r>
      <w:r>
        <w:rPr>
          <w:rFonts w:hint="eastAsia" w:ascii="仿宋" w:hAnsi="仿宋" w:eastAsia="仿宋"/>
          <w:color w:val="auto"/>
          <w:sz w:val="32"/>
          <w:szCs w:val="32"/>
          <w:shd w:val="clear" w:color="auto" w:fill="FFFFFF"/>
        </w:rPr>
        <w:t>参与突发事件应对处置，提出法律处理意见、建议;</w:t>
      </w:r>
    </w:p>
    <w:p w14:paraId="7CB15EC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lang w:val="en-US" w:eastAsia="zh-CN"/>
        </w:rPr>
        <w:t>4.10</w:t>
      </w:r>
      <w:r>
        <w:rPr>
          <w:rFonts w:hint="eastAsia" w:ascii="仿宋" w:hAnsi="仿宋" w:eastAsia="仿宋"/>
          <w:color w:val="auto"/>
          <w:sz w:val="32"/>
          <w:szCs w:val="32"/>
          <w:shd w:val="clear" w:color="auto" w:fill="FFFFFF"/>
        </w:rPr>
        <w:t>参与行政复议、诉讼、仲裁、执行等案件的办理;</w:t>
      </w:r>
    </w:p>
    <w:p w14:paraId="6B0FA10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default" w:ascii="仿宋" w:hAnsi="仿宋" w:eastAsia="仿宋"/>
          <w:color w:val="auto"/>
          <w:sz w:val="32"/>
          <w:szCs w:val="32"/>
          <w:shd w:val="clear" w:color="auto" w:fill="FFFFFF"/>
          <w:lang w:val="en-US" w:eastAsia="zh-CN"/>
        </w:rPr>
      </w:pPr>
      <w:r>
        <w:rPr>
          <w:rFonts w:hint="eastAsia" w:ascii="仿宋" w:hAnsi="仿宋" w:eastAsia="仿宋"/>
          <w:color w:val="auto"/>
          <w:sz w:val="32"/>
          <w:szCs w:val="32"/>
          <w:shd w:val="clear" w:color="auto" w:fill="FFFFFF"/>
          <w:lang w:val="en-US" w:eastAsia="zh-CN"/>
        </w:rPr>
        <w:t>4.11</w:t>
      </w:r>
      <w:r>
        <w:rPr>
          <w:rFonts w:hint="eastAsia" w:ascii="仿宋" w:hAnsi="仿宋" w:eastAsia="仿宋"/>
          <w:color w:val="auto"/>
          <w:sz w:val="32"/>
          <w:szCs w:val="32"/>
          <w:shd w:val="clear" w:color="auto" w:fill="FFFFFF"/>
        </w:rPr>
        <w:t>参与重大事项社会稳定风险的分析与评估;</w:t>
      </w:r>
    </w:p>
    <w:p w14:paraId="22F090A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4.12</w:t>
      </w:r>
      <w:r>
        <w:rPr>
          <w:rFonts w:hint="eastAsia" w:ascii="仿宋" w:hAnsi="仿宋" w:eastAsia="仿宋" w:cs="仿宋"/>
          <w:sz w:val="32"/>
          <w:szCs w:val="32"/>
        </w:rPr>
        <w:t>协助甲方进行职工法制培训，讲授法律实务知识；</w:t>
      </w:r>
    </w:p>
    <w:p w14:paraId="74CEE68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4.13</w:t>
      </w:r>
      <w:r>
        <w:rPr>
          <w:rFonts w:hint="eastAsia" w:ascii="仿宋" w:hAnsi="仿宋" w:eastAsia="仿宋" w:cs="仿宋"/>
          <w:sz w:val="32"/>
          <w:szCs w:val="32"/>
        </w:rPr>
        <w:t>办理双方商定的其他法律事务。</w:t>
      </w:r>
    </w:p>
    <w:p w14:paraId="314EDAC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default" w:ascii="仿宋" w:hAnsi="仿宋" w:eastAsia="仿宋" w:cs="仿宋"/>
          <w:bCs/>
          <w:color w:val="auto"/>
          <w:kern w:val="2"/>
          <w:sz w:val="32"/>
          <w:szCs w:val="32"/>
          <w:lang w:val="en-US" w:eastAsia="zh-CN" w:bidi="ar-SA"/>
        </w:rPr>
      </w:pPr>
      <w:r>
        <w:rPr>
          <w:rFonts w:hint="eastAsia" w:ascii="仿宋" w:hAnsi="仿宋" w:eastAsia="仿宋" w:cs="仿宋"/>
          <w:sz w:val="32"/>
          <w:szCs w:val="32"/>
          <w:lang w:val="en-US" w:eastAsia="zh-CN"/>
        </w:rPr>
        <w:t>5.</w:t>
      </w:r>
      <w:r>
        <w:rPr>
          <w:rFonts w:hint="eastAsia" w:ascii="仿宋" w:hAnsi="仿宋" w:eastAsia="仿宋" w:cs="仿宋"/>
          <w:sz w:val="32"/>
          <w:szCs w:val="32"/>
        </w:rPr>
        <w:t>本地化服务能力：须在服务所在地（如海南省海口市）有固定执业场所，或承诺中标后在服务期内设立固定服务对接点；具备完善的响应机制，承诺常规咨询4小时内响应、紧急事项2小时内到场处置，保障年度服务的及时性。</w:t>
      </w:r>
      <w:r>
        <w:rPr>
          <w:rFonts w:hint="eastAsia" w:ascii="仿宋" w:hAnsi="仿宋" w:eastAsia="仿宋" w:cs="仿宋"/>
          <w:sz w:val="32"/>
          <w:szCs w:val="32"/>
          <w:lang w:eastAsia="zh-CN"/>
        </w:rPr>
        <w:t>（提供承诺函）</w:t>
      </w:r>
      <w:bookmarkStart w:id="53" w:name="_Toc40089799"/>
      <w:bookmarkStart w:id="54" w:name="_Toc21799"/>
    </w:p>
    <w:p w14:paraId="39E9D7DE">
      <w:pPr>
        <w:pStyle w:val="2"/>
        <w:rPr>
          <w:rFonts w:hint="eastAsia" w:hAnsi="宋体" w:cs="宋体"/>
          <w:color w:val="auto"/>
          <w:sz w:val="44"/>
          <w:szCs w:val="44"/>
        </w:rPr>
      </w:pPr>
      <w:bookmarkStart w:id="55" w:name="_Toc25374"/>
      <w:r>
        <w:rPr>
          <w:rFonts w:hint="eastAsia" w:hAnsi="宋体" w:cs="宋体"/>
          <w:color w:val="auto"/>
          <w:sz w:val="44"/>
          <w:szCs w:val="44"/>
        </w:rPr>
        <w:t>第</w:t>
      </w:r>
      <w:r>
        <w:rPr>
          <w:rFonts w:hint="eastAsia" w:hAnsi="宋体" w:cs="宋体"/>
          <w:color w:val="auto"/>
          <w:sz w:val="44"/>
          <w:szCs w:val="44"/>
          <w:lang w:eastAsia="zh-CN"/>
        </w:rPr>
        <w:t>六</w:t>
      </w:r>
      <w:r>
        <w:rPr>
          <w:rFonts w:hint="eastAsia" w:hAnsi="宋体" w:cs="宋体"/>
          <w:color w:val="auto"/>
          <w:sz w:val="44"/>
          <w:szCs w:val="44"/>
        </w:rPr>
        <w:t>部分 报价文件格式</w:t>
      </w:r>
      <w:bookmarkEnd w:id="52"/>
      <w:bookmarkEnd w:id="53"/>
      <w:bookmarkEnd w:id="54"/>
      <w:bookmarkEnd w:id="55"/>
    </w:p>
    <w:p w14:paraId="41C71F98">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p>
    <w:p w14:paraId="46938CA9">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05D48D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★投标函（详见附件1）</w:t>
      </w:r>
    </w:p>
    <w:p w14:paraId="5A8604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★如为授权代表签字，提供法定代表人授权书（详见附件2）</w:t>
      </w:r>
    </w:p>
    <w:p w14:paraId="397CCA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★近三年内，在经营活动中没有重大违法记录的声明（详见附件3）</w:t>
      </w:r>
    </w:p>
    <w:p w14:paraId="6C3E8D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★商务响应表（详见附件4）</w:t>
      </w:r>
    </w:p>
    <w:p w14:paraId="099397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3D79E7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★提供投标人</w:t>
      </w:r>
      <w:r>
        <w:rPr>
          <w:rFonts w:hint="eastAsia" w:ascii="仿宋" w:hAnsi="仿宋" w:eastAsia="仿宋" w:cs="仿宋"/>
          <w:color w:val="auto"/>
          <w:sz w:val="32"/>
          <w:szCs w:val="32"/>
          <w:lang w:val="en-US" w:eastAsia="zh-CN"/>
        </w:rPr>
        <w:t>资格要求里的</w:t>
      </w:r>
      <w:r>
        <w:rPr>
          <w:rFonts w:hint="eastAsia" w:ascii="仿宋" w:hAnsi="仿宋" w:eastAsia="仿宋" w:cs="仿宋"/>
          <w:color w:val="auto"/>
          <w:sz w:val="32"/>
          <w:szCs w:val="32"/>
        </w:rPr>
        <w:t>证明材料复印件</w:t>
      </w:r>
    </w:p>
    <w:p w14:paraId="287FDA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三、技术部分</w:t>
      </w:r>
    </w:p>
    <w:p w14:paraId="502C34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对本项目的技术服务类总体要求的理解（如有）</w:t>
      </w:r>
    </w:p>
    <w:p w14:paraId="177334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项目总体架构及技术解决方案、技术保证措施、供货方案等（如有）</w:t>
      </w:r>
    </w:p>
    <w:p w14:paraId="3B71D9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投标货物产品图片等证明货物的合格性和符合</w:t>
      </w:r>
      <w:r>
        <w:rPr>
          <w:rFonts w:hint="eastAsia" w:ascii="仿宋" w:hAnsi="仿宋" w:eastAsia="仿宋" w:cs="仿宋"/>
          <w:color w:val="auto"/>
          <w:sz w:val="32"/>
          <w:szCs w:val="32"/>
          <w:lang w:eastAsia="zh-CN"/>
        </w:rPr>
        <w:t>谈判</w:t>
      </w:r>
      <w:r>
        <w:rPr>
          <w:rFonts w:hint="eastAsia" w:ascii="仿宋" w:hAnsi="仿宋" w:eastAsia="仿宋" w:cs="仿宋"/>
          <w:color w:val="auto"/>
          <w:sz w:val="32"/>
          <w:szCs w:val="32"/>
        </w:rPr>
        <w:t>文件规定的技术资料</w:t>
      </w:r>
      <w:r>
        <w:rPr>
          <w:rFonts w:hint="eastAsia" w:ascii="仿宋" w:hAnsi="仿宋" w:eastAsia="仿宋" w:cs="仿宋"/>
          <w:color w:val="auto"/>
          <w:sz w:val="32"/>
          <w:szCs w:val="32"/>
          <w:lang w:eastAsia="zh-CN"/>
        </w:rPr>
        <w:t>。</w:t>
      </w:r>
    </w:p>
    <w:p w14:paraId="230327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供应商或制造商在采购人所属地区的售后服务维修机构数量及分布情况（如有）</w:t>
      </w:r>
      <w:r>
        <w:rPr>
          <w:rFonts w:hint="eastAsia" w:ascii="仿宋" w:hAnsi="仿宋" w:eastAsia="仿宋" w:cs="仿宋"/>
          <w:color w:val="auto"/>
          <w:sz w:val="32"/>
          <w:szCs w:val="32"/>
          <w:lang w:eastAsia="zh-CN"/>
        </w:rPr>
        <w:t>。</w:t>
      </w:r>
    </w:p>
    <w:p w14:paraId="168505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技术服务、技术培训、售后服务的内容和措施（如有）</w:t>
      </w:r>
      <w:r>
        <w:rPr>
          <w:rFonts w:hint="eastAsia" w:ascii="仿宋" w:hAnsi="仿宋" w:eastAsia="仿宋" w:cs="仿宋"/>
          <w:color w:val="auto"/>
          <w:sz w:val="32"/>
          <w:szCs w:val="32"/>
          <w:lang w:eastAsia="zh-CN"/>
        </w:rPr>
        <w:t>。</w:t>
      </w:r>
    </w:p>
    <w:p w14:paraId="485DB7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供应商同类项目实施情况一览表并提供能证明其业绩属实的合同复印件</w:t>
      </w:r>
      <w:r>
        <w:rPr>
          <w:rFonts w:hint="eastAsia" w:ascii="仿宋" w:hAnsi="仿宋" w:eastAsia="仿宋" w:cs="仿宋"/>
          <w:color w:val="auto"/>
          <w:sz w:val="32"/>
          <w:szCs w:val="32"/>
          <w:lang w:eastAsia="zh-CN"/>
        </w:rPr>
        <w:t>。</w:t>
      </w:r>
    </w:p>
    <w:p w14:paraId="0819B8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选配件、专用耗材、售后服务优惠表（如有）</w:t>
      </w:r>
      <w:r>
        <w:rPr>
          <w:rFonts w:hint="eastAsia" w:ascii="仿宋" w:hAnsi="仿宋" w:eastAsia="仿宋" w:cs="仿宋"/>
          <w:color w:val="auto"/>
          <w:sz w:val="32"/>
          <w:szCs w:val="32"/>
          <w:lang w:eastAsia="zh-CN"/>
        </w:rPr>
        <w:t>。</w:t>
      </w:r>
    </w:p>
    <w:p w14:paraId="5F5001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.谈判</w:t>
      </w:r>
      <w:r>
        <w:rPr>
          <w:rFonts w:hint="eastAsia" w:ascii="仿宋" w:hAnsi="仿宋" w:eastAsia="仿宋" w:cs="仿宋"/>
          <w:color w:val="auto"/>
          <w:sz w:val="32"/>
          <w:szCs w:val="32"/>
        </w:rPr>
        <w:t>文件规定或供应商认为其它应介绍或提交的资料和文件</w:t>
      </w:r>
      <w:r>
        <w:rPr>
          <w:rFonts w:hint="eastAsia" w:ascii="仿宋" w:hAnsi="仿宋" w:eastAsia="仿宋" w:cs="仿宋"/>
          <w:color w:val="auto"/>
          <w:sz w:val="32"/>
          <w:szCs w:val="32"/>
          <w:lang w:eastAsia="zh-CN"/>
        </w:rPr>
        <w:t>。</w:t>
      </w:r>
    </w:p>
    <w:p w14:paraId="7726B2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0BDCC1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★报价一览表（详见附件</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p>
    <w:p w14:paraId="56CD83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0B7445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以上格式中标注“★”的，供应商必须提供，未提供或未按要求提供的，一律为无效投标。</w:t>
      </w:r>
    </w:p>
    <w:p w14:paraId="4D36603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br w:type="page"/>
      </w:r>
    </w:p>
    <w:p w14:paraId="49B96C74">
      <w:pPr>
        <w:bidi w:val="0"/>
        <w:rPr>
          <w:rFonts w:hint="eastAsia" w:ascii="方正公文黑体" w:hAnsi="方正公文黑体" w:eastAsia="方正公文黑体" w:cs="方正公文黑体"/>
          <w:b w:val="0"/>
          <w:bCs/>
          <w:color w:val="auto"/>
          <w:sz w:val="36"/>
          <w:szCs w:val="36"/>
        </w:rPr>
      </w:pPr>
      <w:bookmarkStart w:id="56" w:name="_Toc14759"/>
      <w:bookmarkStart w:id="57" w:name="_Toc40089800"/>
      <w:bookmarkStart w:id="58" w:name="_Toc356490394"/>
      <w:bookmarkStart w:id="59" w:name="_Toc356491342"/>
      <w:r>
        <w:rPr>
          <w:rFonts w:hint="eastAsia" w:ascii="方正公文黑体" w:hAnsi="方正公文黑体" w:eastAsia="方正公文黑体" w:cs="方正公文黑体"/>
          <w:b w:val="0"/>
          <w:bCs/>
          <w:color w:val="auto"/>
          <w:sz w:val="36"/>
          <w:szCs w:val="36"/>
        </w:rPr>
        <w:t>附件</w:t>
      </w:r>
      <w:bookmarkEnd w:id="56"/>
      <w:bookmarkEnd w:id="57"/>
    </w:p>
    <w:p w14:paraId="2596DC98">
      <w:pPr>
        <w:jc w:val="center"/>
        <w:rPr>
          <w:rFonts w:hint="eastAsia" w:ascii="仿宋_GB2312" w:hAnsi="仿宋_GB2312" w:eastAsia="仿宋_GB2312" w:cs="仿宋_GB2312"/>
          <w:b/>
          <w:color w:val="auto"/>
        </w:rPr>
      </w:pPr>
    </w:p>
    <w:p w14:paraId="0CB8003B">
      <w:pPr>
        <w:jc w:val="center"/>
        <w:rPr>
          <w:rFonts w:hint="eastAsia" w:ascii="仿宋_GB2312" w:hAnsi="仿宋_GB2312" w:eastAsia="仿宋_GB2312" w:cs="仿宋_GB2312"/>
          <w:b/>
          <w:color w:val="auto"/>
        </w:rPr>
      </w:pPr>
    </w:p>
    <w:p w14:paraId="7ACCC6D4">
      <w:pPr>
        <w:jc w:val="center"/>
        <w:rPr>
          <w:rFonts w:hint="eastAsia" w:ascii="仿宋_GB2312" w:hAnsi="仿宋_GB2312" w:eastAsia="仿宋_GB2312" w:cs="仿宋_GB2312"/>
          <w:b/>
          <w:color w:val="auto"/>
        </w:rPr>
      </w:pPr>
    </w:p>
    <w:p w14:paraId="0D2D7323">
      <w:pPr>
        <w:jc w:val="center"/>
        <w:rPr>
          <w:rFonts w:hint="eastAsia" w:ascii="仿宋_GB2312" w:hAnsi="仿宋_GB2312" w:eastAsia="仿宋_GB2312" w:cs="仿宋_GB2312"/>
          <w:b/>
          <w:color w:val="auto"/>
        </w:rPr>
      </w:pPr>
    </w:p>
    <w:p w14:paraId="71F14854">
      <w:pPr>
        <w:ind w:firstLine="2209" w:firstLineChars="500"/>
        <w:jc w:val="both"/>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7449743D">
      <w:pPr>
        <w:jc w:val="right"/>
        <w:rPr>
          <w:rFonts w:hint="eastAsia" w:ascii="仿宋_GB2312" w:hAnsi="仿宋_GB2312" w:eastAsia="仿宋_GB2312" w:cs="仿宋_GB2312"/>
          <w:b/>
          <w:bCs w:val="0"/>
          <w:color w:val="auto"/>
          <w:sz w:val="36"/>
          <w:szCs w:val="36"/>
        </w:rPr>
      </w:pPr>
      <w:bookmarkStart w:id="60" w:name="_Toc40089801"/>
      <w:bookmarkStart w:id="61" w:name="_Toc1227"/>
      <w:r>
        <w:rPr>
          <w:rFonts w:hint="eastAsia" w:ascii="仿宋_GB2312" w:hAnsi="仿宋_GB2312" w:eastAsia="仿宋_GB2312" w:cs="仿宋_GB2312"/>
          <w:b/>
          <w:bCs w:val="0"/>
          <w:color w:val="auto"/>
          <w:sz w:val="36"/>
          <w:szCs w:val="36"/>
        </w:rPr>
        <w:t>正本或副本</w:t>
      </w:r>
      <w:bookmarkEnd w:id="60"/>
      <w:bookmarkEnd w:id="61"/>
    </w:p>
    <w:p w14:paraId="4582F6C6">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2" w:name="_Toc40089802"/>
      <w:bookmarkStart w:id="63" w:name="_Toc27492"/>
      <w:r>
        <w:rPr>
          <w:rFonts w:hint="eastAsia" w:ascii="仿宋_GB2312" w:hAnsi="仿宋_GB2312" w:eastAsia="仿宋_GB2312" w:cs="仿宋_GB2312"/>
          <w:b/>
          <w:bCs w:val="0"/>
          <w:color w:val="auto"/>
          <w:sz w:val="36"/>
          <w:szCs w:val="36"/>
          <w:u w:val="single"/>
        </w:rPr>
        <w:t>（项目名称）</w:t>
      </w:r>
      <w:bookmarkEnd w:id="62"/>
      <w:bookmarkEnd w:id="63"/>
      <w:bookmarkStart w:id="64" w:name="_Toc2490"/>
      <w:bookmarkStart w:id="65" w:name="_Toc40089803"/>
      <w:r>
        <w:rPr>
          <w:rFonts w:hint="eastAsia" w:ascii="仿宋_GB2312" w:hAnsi="仿宋_GB2312" w:eastAsia="仿宋_GB2312" w:cs="仿宋_GB2312"/>
          <w:b/>
          <w:bCs w:val="0"/>
          <w:color w:val="auto"/>
          <w:sz w:val="36"/>
          <w:szCs w:val="36"/>
          <w:u w:val="single"/>
          <w:lang w:val="en-US" w:eastAsia="zh-CN"/>
        </w:rPr>
        <w:t xml:space="preserve">             </w:t>
      </w:r>
    </w:p>
    <w:p w14:paraId="3078FE2A">
      <w:pPr>
        <w:rPr>
          <w:rFonts w:hint="eastAsia" w:ascii="仿宋_GB2312" w:hAnsi="仿宋_GB2312" w:eastAsia="仿宋_GB2312" w:cs="仿宋_GB2312"/>
          <w:color w:val="auto"/>
          <w:lang w:val="en-US" w:eastAsia="zh-CN"/>
        </w:rPr>
      </w:pPr>
    </w:p>
    <w:p w14:paraId="126289CA">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4"/>
      <w:bookmarkEnd w:id="65"/>
      <w:r>
        <w:rPr>
          <w:rFonts w:hint="eastAsia" w:ascii="仿宋_GB2312" w:hAnsi="仿宋_GB2312" w:eastAsia="仿宋_GB2312" w:cs="仿宋_GB2312"/>
          <w:b/>
          <w:bCs w:val="0"/>
          <w:color w:val="auto"/>
          <w:sz w:val="36"/>
          <w:szCs w:val="36"/>
          <w:u w:val="single"/>
          <w:lang w:val="en-US" w:eastAsia="zh-CN"/>
        </w:rPr>
        <w:t xml:space="preserve">             </w:t>
      </w:r>
    </w:p>
    <w:p w14:paraId="29D726AD">
      <w:pPr>
        <w:rPr>
          <w:rFonts w:hint="eastAsia" w:ascii="仿宋_GB2312" w:hAnsi="仿宋_GB2312" w:eastAsia="仿宋_GB2312" w:cs="仿宋_GB2312"/>
          <w:color w:val="auto"/>
        </w:rPr>
      </w:pPr>
    </w:p>
    <w:p w14:paraId="24765C18">
      <w:pPr>
        <w:rPr>
          <w:rFonts w:hint="eastAsia" w:ascii="仿宋_GB2312" w:hAnsi="仿宋_GB2312" w:eastAsia="仿宋_GB2312" w:cs="仿宋_GB2312"/>
        </w:rPr>
      </w:pPr>
    </w:p>
    <w:p w14:paraId="096731C3">
      <w:pPr>
        <w:bidi w:val="0"/>
        <w:jc w:val="center"/>
        <w:rPr>
          <w:rFonts w:hint="eastAsia" w:ascii="仿宋_GB2312" w:hAnsi="仿宋_GB2312" w:eastAsia="仿宋_GB2312" w:cs="仿宋_GB2312"/>
          <w:b/>
          <w:bCs w:val="0"/>
          <w:sz w:val="52"/>
          <w:szCs w:val="52"/>
        </w:rPr>
      </w:pPr>
      <w:bookmarkStart w:id="66" w:name="_Toc40089805"/>
      <w:bookmarkStart w:id="67" w:name="_Toc17456"/>
    </w:p>
    <w:p w14:paraId="1435AE49">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6"/>
      <w:bookmarkEnd w:id="67"/>
    </w:p>
    <w:p w14:paraId="43E04221">
      <w:pPr>
        <w:rPr>
          <w:rFonts w:hint="eastAsia" w:ascii="仿宋_GB2312" w:hAnsi="仿宋_GB2312" w:eastAsia="仿宋_GB2312" w:cs="仿宋_GB2312"/>
        </w:rPr>
      </w:pPr>
    </w:p>
    <w:p w14:paraId="61353188">
      <w:pPr>
        <w:rPr>
          <w:rFonts w:hint="eastAsia" w:ascii="仿宋_GB2312" w:hAnsi="仿宋_GB2312" w:eastAsia="仿宋_GB2312" w:cs="仿宋_GB2312"/>
        </w:rPr>
      </w:pPr>
    </w:p>
    <w:p w14:paraId="27A1E47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8" w:name="_Toc40089806"/>
      <w:bookmarkStart w:id="69"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8"/>
      <w:bookmarkEnd w:id="69"/>
    </w:p>
    <w:p w14:paraId="79D4F0E7">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70" w:name="_Toc27017"/>
      <w:bookmarkStart w:id="71"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70"/>
      <w:bookmarkEnd w:id="71"/>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0869DD95">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488DFC15">
      <w:pPr>
        <w:pStyle w:val="13"/>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0C370738">
      <w:pPr>
        <w:rPr>
          <w:rFonts w:hint="eastAsia" w:ascii="仿宋_GB2312" w:hAnsi="仿宋_GB2312" w:eastAsia="仿宋_GB2312" w:cs="仿宋_GB2312"/>
        </w:rPr>
      </w:pPr>
      <w:r>
        <w:rPr>
          <w:rFonts w:hint="eastAsia" w:ascii="仿宋_GB2312" w:hAnsi="仿宋_GB2312" w:eastAsia="仿宋_GB2312" w:cs="仿宋_GB2312"/>
        </w:rPr>
        <w:br w:type="page"/>
      </w:r>
    </w:p>
    <w:p w14:paraId="36CFCFBF">
      <w:pPr>
        <w:pStyle w:val="2"/>
        <w:bidi w:val="0"/>
        <w:spacing w:line="240" w:lineRule="auto"/>
        <w:rPr>
          <w:rFonts w:hint="eastAsia" w:ascii="仿宋_GB2312" w:hAnsi="仿宋_GB2312" w:eastAsia="仿宋_GB2312" w:cs="仿宋_GB2312"/>
          <w:b/>
          <w:bCs/>
          <w:sz w:val="36"/>
          <w:szCs w:val="36"/>
          <w:lang w:val="en-US" w:eastAsia="zh-CN"/>
        </w:rPr>
      </w:pPr>
      <w:bookmarkStart w:id="72" w:name="_Toc6665"/>
      <w:bookmarkStart w:id="73" w:name="_Toc40089808"/>
      <w:bookmarkStart w:id="74" w:name="_Toc25558"/>
      <w:r>
        <w:rPr>
          <w:rFonts w:hint="eastAsia"/>
          <w:lang w:val="en-US" w:eastAsia="zh-CN"/>
        </w:rPr>
        <w:t>一、商务部分</w:t>
      </w:r>
      <w:bookmarkEnd w:id="72"/>
      <w:bookmarkStart w:id="75" w:name="_Toc13087"/>
    </w:p>
    <w:p w14:paraId="06CE330C">
      <w:pPr>
        <w:rPr>
          <w:rFonts w:hint="eastAsia" w:ascii="方正公文黑体" w:hAnsi="方正公文黑体" w:eastAsia="方正公文黑体" w:cs="方正公文黑体"/>
          <w:b w:val="0"/>
          <w:bCs/>
          <w:color w:val="auto"/>
          <w:sz w:val="36"/>
          <w:szCs w:val="36"/>
        </w:rPr>
      </w:pPr>
      <w:r>
        <w:rPr>
          <w:rFonts w:hint="eastAsia" w:ascii="方正公文黑体" w:hAnsi="方正公文黑体" w:eastAsia="方正公文黑体" w:cs="方正公文黑体"/>
          <w:b w:val="0"/>
          <w:bCs/>
          <w:color w:val="auto"/>
          <w:sz w:val="36"/>
          <w:szCs w:val="36"/>
        </w:rPr>
        <w:t>附件1</w:t>
      </w:r>
      <w:bookmarkEnd w:id="58"/>
      <w:bookmarkEnd w:id="59"/>
      <w:bookmarkEnd w:id="73"/>
      <w:bookmarkEnd w:id="74"/>
      <w:bookmarkEnd w:id="75"/>
    </w:p>
    <w:p w14:paraId="0607DE7D">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val="0"/>
          <w:sz w:val="36"/>
          <w:szCs w:val="36"/>
        </w:rPr>
        <w:t>投标函</w:t>
      </w:r>
    </w:p>
    <w:p w14:paraId="67569A4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 w:val="28"/>
          <w:szCs w:val="28"/>
        </w:rPr>
      </w:pPr>
      <w:r>
        <w:rPr>
          <w:rFonts w:hint="eastAsia" w:ascii="仿宋" w:hAnsi="仿宋" w:eastAsia="仿宋" w:cs="仿宋"/>
          <w:sz w:val="28"/>
          <w:szCs w:val="28"/>
          <w:lang w:val="en-US" w:eastAsia="zh-CN"/>
        </w:rPr>
        <w:t>海南卫生健康职业学院</w:t>
      </w:r>
      <w:r>
        <w:rPr>
          <w:rFonts w:hint="eastAsia" w:ascii="仿宋" w:hAnsi="仿宋" w:eastAsia="仿宋" w:cs="仿宋"/>
          <w:sz w:val="28"/>
          <w:szCs w:val="28"/>
        </w:rPr>
        <w:t>：</w:t>
      </w:r>
    </w:p>
    <w:p w14:paraId="4A26E24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经研究，我们决定参加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（项目名称/项目编号）并报价。为此，我方郑重声明以下诸点，负法律责任。</w:t>
      </w:r>
    </w:p>
    <w:p w14:paraId="54343D7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我方提交的报价文件，正本一份，副本二份。</w:t>
      </w:r>
    </w:p>
    <w:p w14:paraId="290F056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如果我方的报价文件被接受，我们将履行</w:t>
      </w:r>
      <w:r>
        <w:rPr>
          <w:rFonts w:hint="eastAsia" w:ascii="仿宋" w:hAnsi="仿宋" w:eastAsia="仿宋" w:cs="仿宋"/>
          <w:sz w:val="28"/>
          <w:szCs w:val="28"/>
          <w:lang w:eastAsia="zh-CN"/>
        </w:rPr>
        <w:t>谈判</w:t>
      </w:r>
      <w:r>
        <w:rPr>
          <w:rFonts w:hint="eastAsia" w:ascii="仿宋" w:hAnsi="仿宋" w:eastAsia="仿宋" w:cs="仿宋"/>
          <w:sz w:val="28"/>
          <w:szCs w:val="28"/>
        </w:rPr>
        <w:t>文件中规定的每一项要求，并按我方报价文件中的承诺按期、保质、保量完成项目的实施。</w:t>
      </w:r>
    </w:p>
    <w:p w14:paraId="13F8778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我们理解，最低报价不是中标的唯一条件，同时认可本次</w:t>
      </w:r>
      <w:r>
        <w:rPr>
          <w:rFonts w:hint="eastAsia" w:ascii="仿宋" w:hAnsi="仿宋" w:eastAsia="仿宋" w:cs="仿宋"/>
          <w:sz w:val="28"/>
          <w:szCs w:val="28"/>
          <w:lang w:eastAsia="zh-CN"/>
        </w:rPr>
        <w:t>谈判</w:t>
      </w:r>
      <w:r>
        <w:rPr>
          <w:rFonts w:hint="eastAsia" w:ascii="仿宋" w:hAnsi="仿宋" w:eastAsia="仿宋" w:cs="仿宋"/>
          <w:sz w:val="28"/>
          <w:szCs w:val="28"/>
        </w:rPr>
        <w:t>文</w:t>
      </w:r>
    </w:p>
    <w:p w14:paraId="3BFAB9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 w:val="28"/>
          <w:szCs w:val="28"/>
        </w:rPr>
      </w:pPr>
      <w:r>
        <w:rPr>
          <w:rFonts w:hint="eastAsia" w:ascii="仿宋" w:hAnsi="仿宋" w:eastAsia="仿宋" w:cs="仿宋"/>
          <w:sz w:val="28"/>
          <w:szCs w:val="28"/>
        </w:rPr>
        <w:t>件中</w:t>
      </w:r>
      <w:r>
        <w:rPr>
          <w:rFonts w:hint="eastAsia" w:ascii="仿宋" w:hAnsi="仿宋" w:eastAsia="仿宋" w:cs="仿宋"/>
          <w:sz w:val="28"/>
          <w:szCs w:val="28"/>
          <w:lang w:eastAsia="zh-CN"/>
        </w:rPr>
        <w:t>谈判</w:t>
      </w:r>
      <w:r>
        <w:rPr>
          <w:rFonts w:hint="eastAsia" w:ascii="仿宋" w:hAnsi="仿宋" w:eastAsia="仿宋" w:cs="仿宋"/>
          <w:sz w:val="28"/>
          <w:szCs w:val="28"/>
        </w:rPr>
        <w:t>小组选择中标候选人的方式和权利。</w:t>
      </w:r>
    </w:p>
    <w:p w14:paraId="7DCC87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我们承诺，报价文件不存在复制、粘贴</w:t>
      </w:r>
      <w:r>
        <w:rPr>
          <w:rFonts w:hint="eastAsia" w:ascii="仿宋" w:hAnsi="仿宋" w:eastAsia="仿宋" w:cs="仿宋"/>
          <w:sz w:val="28"/>
          <w:szCs w:val="28"/>
          <w:lang w:eastAsia="zh-CN"/>
        </w:rPr>
        <w:t>谈判</w:t>
      </w:r>
      <w:r>
        <w:rPr>
          <w:rFonts w:hint="eastAsia" w:ascii="仿宋" w:hAnsi="仿宋" w:eastAsia="仿宋" w:cs="仿宋"/>
          <w:sz w:val="28"/>
          <w:szCs w:val="28"/>
        </w:rPr>
        <w:t>文件主要规格技术参数的情况。</w:t>
      </w:r>
    </w:p>
    <w:p w14:paraId="38ACDD4B">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我方已详细检查所有报价文件、附件以及所提供的参考文件，有模糊和误解产生的一切后果，由我方自负。</w:t>
      </w:r>
    </w:p>
    <w:p w14:paraId="60550D0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报价文件在公开报价后</w:t>
      </w:r>
      <w:r>
        <w:rPr>
          <w:rFonts w:hint="eastAsia" w:ascii="仿宋" w:hAnsi="仿宋" w:eastAsia="仿宋" w:cs="仿宋"/>
          <w:sz w:val="28"/>
          <w:szCs w:val="28"/>
          <w:u w:val="single"/>
        </w:rPr>
        <w:t>90</w:t>
      </w:r>
      <w:r>
        <w:rPr>
          <w:rFonts w:hint="eastAsia" w:ascii="仿宋" w:hAnsi="仿宋" w:eastAsia="仿宋" w:cs="仿宋"/>
          <w:sz w:val="28"/>
          <w:szCs w:val="28"/>
        </w:rPr>
        <w:t>日内有效。</w:t>
      </w:r>
    </w:p>
    <w:p w14:paraId="2983BB9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我们同意按照</w:t>
      </w:r>
      <w:r>
        <w:rPr>
          <w:rFonts w:hint="eastAsia" w:ascii="仿宋" w:hAnsi="仿宋" w:eastAsia="仿宋" w:cs="仿宋"/>
          <w:sz w:val="28"/>
          <w:szCs w:val="28"/>
          <w:lang w:eastAsia="zh-CN"/>
        </w:rPr>
        <w:t>谈判</w:t>
      </w:r>
      <w:r>
        <w:rPr>
          <w:rFonts w:hint="eastAsia" w:ascii="仿宋" w:hAnsi="仿宋" w:eastAsia="仿宋" w:cs="仿宋"/>
          <w:sz w:val="28"/>
          <w:szCs w:val="28"/>
        </w:rPr>
        <w:t>文件的要求，提供与递交报价文件有关的数据和资料。</w:t>
      </w:r>
    </w:p>
    <w:p w14:paraId="74641AD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rPr>
        <w:t>我方愿按《中华人民共和国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》履行自己的全部责任。</w:t>
      </w:r>
    </w:p>
    <w:p w14:paraId="758C63F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 w:val="28"/>
          <w:szCs w:val="28"/>
        </w:rPr>
      </w:pPr>
    </w:p>
    <w:p w14:paraId="5E2D569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地址：</w:t>
      </w:r>
    </w:p>
    <w:p w14:paraId="485BB87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邮政编码：</w:t>
      </w:r>
    </w:p>
    <w:p w14:paraId="4D4C490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电话：</w:t>
      </w:r>
    </w:p>
    <w:p w14:paraId="2C9BDC7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传真：</w:t>
      </w:r>
    </w:p>
    <w:p w14:paraId="5A45B3A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投标人全称（公章）：</w:t>
      </w:r>
    </w:p>
    <w:p w14:paraId="51D6DE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 xml:space="preserve">法定代表人或授权代理人签字：                                                 </w:t>
      </w:r>
    </w:p>
    <w:p w14:paraId="3AB4FA5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 w:hAnsi="仿宋" w:eastAsia="仿宋" w:cs="仿宋"/>
          <w:sz w:val="28"/>
          <w:szCs w:val="28"/>
        </w:rPr>
      </w:pPr>
      <w:r>
        <w:rPr>
          <w:rFonts w:hint="eastAsia" w:ascii="仿宋" w:hAnsi="仿宋" w:eastAsia="仿宋" w:cs="仿宋"/>
          <w:sz w:val="28"/>
          <w:szCs w:val="28"/>
          <w:lang w:val="en-US" w:eastAsia="zh-CN"/>
        </w:rPr>
        <w:t>日  期：</w:t>
      </w:r>
      <w:r>
        <w:rPr>
          <w:rFonts w:hint="eastAsia" w:ascii="仿宋" w:hAnsi="仿宋" w:eastAsia="仿宋" w:cs="仿宋"/>
          <w:sz w:val="28"/>
          <w:szCs w:val="28"/>
        </w:rPr>
        <w:t>年   月   日</w:t>
      </w:r>
    </w:p>
    <w:p w14:paraId="56128653">
      <w:pPr>
        <w:bidi w:val="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6" w:name="_Toc323129568"/>
      <w:bookmarkStart w:id="77" w:name="_Toc323130135"/>
      <w:bookmarkStart w:id="78" w:name="_Toc325620729"/>
      <w:bookmarkStart w:id="79" w:name="_Toc26307"/>
      <w:bookmarkStart w:id="80" w:name="_Toc40089809"/>
      <w:bookmarkStart w:id="81" w:name="_Toc356491343"/>
      <w:bookmarkStart w:id="82" w:name="_Toc26378"/>
      <w:r>
        <w:rPr>
          <w:rFonts w:hint="eastAsia" w:ascii="方正公文黑体" w:hAnsi="方正公文黑体" w:eastAsia="方正公文黑体" w:cs="方正公文黑体"/>
          <w:b w:val="0"/>
          <w:bCs/>
          <w:color w:val="auto"/>
          <w:sz w:val="36"/>
          <w:szCs w:val="36"/>
        </w:rPr>
        <w:t>附件</w:t>
      </w:r>
      <w:bookmarkEnd w:id="76"/>
      <w:bookmarkEnd w:id="77"/>
      <w:r>
        <w:rPr>
          <w:rFonts w:hint="eastAsia" w:ascii="方正公文黑体" w:hAnsi="方正公文黑体" w:eastAsia="方正公文黑体" w:cs="方正公文黑体"/>
          <w:b w:val="0"/>
          <w:bCs/>
          <w:color w:val="auto"/>
          <w:sz w:val="36"/>
          <w:szCs w:val="36"/>
        </w:rPr>
        <w:t>2</w:t>
      </w:r>
      <w:bookmarkEnd w:id="78"/>
      <w:bookmarkEnd w:id="79"/>
      <w:bookmarkEnd w:id="80"/>
      <w:bookmarkEnd w:id="81"/>
      <w:bookmarkEnd w:id="82"/>
      <w:bookmarkStart w:id="83" w:name="_Toc356490395"/>
      <w:bookmarkStart w:id="84" w:name="_Toc356491344"/>
    </w:p>
    <w:p w14:paraId="4A58874D">
      <w:pPr>
        <w:pStyle w:val="15"/>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453A5CB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海南卫生健康职业学院</w:t>
      </w:r>
      <w:r>
        <w:rPr>
          <w:rFonts w:hint="eastAsia" w:ascii="仿宋" w:hAnsi="仿宋" w:eastAsia="仿宋" w:cs="仿宋"/>
          <w:sz w:val="32"/>
          <w:szCs w:val="32"/>
        </w:rPr>
        <w:t>：</w:t>
      </w:r>
    </w:p>
    <w:p w14:paraId="3EA5858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w:t>
      </w:r>
      <w:r>
        <w:rPr>
          <w:rFonts w:hint="eastAsia" w:ascii="仿宋" w:hAnsi="仿宋" w:eastAsia="仿宋" w:cs="仿宋"/>
          <w:sz w:val="32"/>
          <w:szCs w:val="32"/>
        </w:rPr>
        <w:t>姓</w:t>
      </w:r>
      <w:r>
        <w:rPr>
          <w:rFonts w:hint="eastAsia" w:ascii="仿宋" w:hAnsi="仿宋" w:eastAsia="仿宋" w:cs="仿宋"/>
          <w:sz w:val="32"/>
          <w:szCs w:val="32"/>
          <w:lang w:val="en-US" w:eastAsia="zh-CN"/>
        </w:rPr>
        <w:t>名</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（投标人名称）法定代表人，现授权委托我公司的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xml:space="preserve"> （姓名、职务或职称）为我单位本次项目的全权代表，以本公司的名义参加</w:t>
      </w:r>
      <w:r>
        <w:rPr>
          <w:rFonts w:hint="eastAsia" w:ascii="仿宋" w:hAnsi="仿宋" w:eastAsia="仿宋" w:cs="仿宋"/>
          <w:sz w:val="32"/>
          <w:szCs w:val="32"/>
          <w:lang w:val="en-US" w:eastAsia="zh-CN"/>
        </w:rPr>
        <w:t>海南卫生健康职业学院</w:t>
      </w:r>
      <w:r>
        <w:rPr>
          <w:rFonts w:hint="eastAsia" w:ascii="仿宋" w:hAnsi="仿宋" w:eastAsia="仿宋" w:cs="仿宋"/>
          <w:sz w:val="32"/>
          <w:szCs w:val="32"/>
        </w:rPr>
        <w:t>组织的                      （项目名称/项目编号）的招标，全权处理招标过程有关的一切事务。</w:t>
      </w:r>
    </w:p>
    <w:p w14:paraId="1E79BF1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被授权人在授权书有效期内</w:t>
      </w:r>
      <w:r>
        <w:rPr>
          <w:rFonts w:hint="eastAsia" w:ascii="仿宋" w:hAnsi="仿宋" w:eastAsia="仿宋" w:cs="仿宋"/>
          <w:sz w:val="32"/>
          <w:szCs w:val="32"/>
          <w:u w:val="single"/>
          <w:lang w:val="en-US" w:eastAsia="zh-CN"/>
        </w:rPr>
        <w:t xml:space="preserve">   年  月  日至  年  月  日</w:t>
      </w:r>
      <w:r>
        <w:rPr>
          <w:rFonts w:hint="eastAsia" w:ascii="仿宋" w:hAnsi="仿宋" w:eastAsia="仿宋" w:cs="仿宋"/>
          <w:sz w:val="32"/>
          <w:szCs w:val="32"/>
        </w:rPr>
        <w:t>签署的所有文件不因授权的撤消而失效。</w:t>
      </w:r>
    </w:p>
    <w:p w14:paraId="2DAFC82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全权代表无转委托权。特此委托。</w:t>
      </w:r>
    </w:p>
    <w:p w14:paraId="4B05550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p>
    <w:p w14:paraId="0D9FD56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（附法定代表人、授权代理人身份证明复印件）</w:t>
      </w:r>
    </w:p>
    <w:p w14:paraId="7594737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74E58BF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02860FE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5BD5EF5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投标人（盖章）：</w:t>
      </w:r>
    </w:p>
    <w:p w14:paraId="60A2E0C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2D1172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法定代表人：（签字）：</w:t>
      </w:r>
    </w:p>
    <w:p w14:paraId="2B99AA1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1B1B603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授权代理人：（签字）：</w:t>
      </w:r>
    </w:p>
    <w:p w14:paraId="55CBF73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4A4FA6B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日期：   年   月   日</w:t>
      </w:r>
    </w:p>
    <w:p w14:paraId="20FACED7">
      <w:pPr>
        <w:bidi w:val="0"/>
        <w:rPr>
          <w:rFonts w:hint="eastAsia" w:ascii="仿宋" w:hAnsi="仿宋" w:eastAsia="仿宋" w:cs="仿宋"/>
          <w:sz w:val="28"/>
          <w:szCs w:val="28"/>
        </w:rPr>
      </w:pPr>
    </w:p>
    <w:p w14:paraId="6C30B9E5">
      <w:pPr>
        <w:bidi w:val="0"/>
        <w:rPr>
          <w:rFonts w:hint="eastAsia" w:ascii="仿宋" w:hAnsi="仿宋" w:eastAsia="仿宋" w:cs="仿宋"/>
          <w:sz w:val="28"/>
          <w:szCs w:val="28"/>
        </w:rPr>
      </w:pPr>
    </w:p>
    <w:p w14:paraId="098EFB43">
      <w:pPr>
        <w:bidi w:val="0"/>
        <w:rPr>
          <w:rFonts w:hint="eastAsia" w:ascii="仿宋" w:hAnsi="仿宋" w:eastAsia="仿宋" w:cs="仿宋"/>
          <w:sz w:val="28"/>
          <w:szCs w:val="28"/>
        </w:rPr>
      </w:pPr>
    </w:p>
    <w:p w14:paraId="044D0AF8">
      <w:pPr>
        <w:bidi w:val="0"/>
        <w:rPr>
          <w:rFonts w:hint="eastAsia" w:ascii="仿宋" w:hAnsi="仿宋" w:eastAsia="仿宋" w:cs="仿宋"/>
          <w:sz w:val="28"/>
          <w:szCs w:val="28"/>
        </w:rPr>
      </w:pPr>
    </w:p>
    <w:p w14:paraId="2E919378">
      <w:pPr>
        <w:bidi w:val="0"/>
        <w:rPr>
          <w:rFonts w:hint="eastAsia" w:ascii="仿宋" w:hAnsi="仿宋" w:eastAsia="仿宋" w:cs="仿宋"/>
          <w:sz w:val="28"/>
          <w:szCs w:val="28"/>
        </w:rPr>
      </w:pPr>
    </w:p>
    <w:p w14:paraId="75EF5414">
      <w:pPr>
        <w:pStyle w:val="15"/>
        <w:spacing w:line="360" w:lineRule="auto"/>
        <w:jc w:val="center"/>
        <w:rPr>
          <w:rFonts w:hint="eastAsia" w:ascii="仿宋_GB2312" w:hAnsi="仿宋_GB2312" w:eastAsia="仿宋_GB2312" w:cs="仿宋_GB2312"/>
          <w:b/>
          <w:bCs w:val="0"/>
          <w:color w:val="auto"/>
          <w:sz w:val="36"/>
          <w:szCs w:val="36"/>
          <w:highlight w:val="none"/>
          <w:lang w:eastAsia="zh-CN"/>
        </w:rPr>
      </w:pPr>
      <w:r>
        <w:rPr>
          <w:rFonts w:hint="eastAsia" w:ascii="仿宋_GB2312" w:hAnsi="仿宋_GB2312" w:eastAsia="仿宋_GB2312" w:cs="仿宋_GB2312"/>
          <w:b/>
          <w:bCs w:val="0"/>
          <w:color w:val="auto"/>
          <w:sz w:val="36"/>
          <w:szCs w:val="36"/>
          <w:highlight w:val="none"/>
        </w:rPr>
        <w:t>法定代表人授权委托书</w:t>
      </w:r>
      <w:r>
        <w:rPr>
          <w:rFonts w:hint="eastAsia" w:ascii="仿宋_GB2312" w:hAnsi="仿宋_GB2312" w:eastAsia="仿宋_GB2312" w:cs="仿宋_GB2312"/>
          <w:b/>
          <w:bCs w:val="0"/>
          <w:color w:val="auto"/>
          <w:sz w:val="36"/>
          <w:szCs w:val="36"/>
          <w:highlight w:val="none"/>
          <w:lang w:eastAsia="zh-CN"/>
        </w:rPr>
        <w:t>（法人参加投标无需提供此表）</w:t>
      </w:r>
    </w:p>
    <w:p w14:paraId="09E2AEA2">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海南卫生健康职业学院：</w:t>
      </w:r>
    </w:p>
    <w:p w14:paraId="01F7D1E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姓名）系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（投标人名称）法定代表人，现授权委托我公司的</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（姓名、职务或职称）为我单位本次项目的全权代表，以本公司的名义参加海南卫生健康职业学院组织的                      （项目名称/项目编号）的招标，全权处理招标过程有关的一切事务。</w:t>
      </w:r>
    </w:p>
    <w:p w14:paraId="7449166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被授权人在授权书有效期内</w:t>
      </w:r>
      <w:r>
        <w:rPr>
          <w:rFonts w:hint="eastAsia" w:ascii="仿宋" w:hAnsi="仿宋" w:eastAsia="仿宋" w:cs="仿宋"/>
          <w:color w:val="auto"/>
          <w:sz w:val="32"/>
          <w:szCs w:val="32"/>
          <w:highlight w:val="none"/>
          <w:u w:val="single"/>
        </w:rPr>
        <w:t xml:space="preserve">   年  月  日至  年  月  日</w:t>
      </w:r>
      <w:r>
        <w:rPr>
          <w:rFonts w:hint="eastAsia" w:ascii="仿宋" w:hAnsi="仿宋" w:eastAsia="仿宋" w:cs="仿宋"/>
          <w:color w:val="auto"/>
          <w:sz w:val="32"/>
          <w:szCs w:val="32"/>
          <w:highlight w:val="none"/>
        </w:rPr>
        <w:t>签署的所有文件不因授权的撤消而失效。</w:t>
      </w:r>
    </w:p>
    <w:p w14:paraId="55058B66">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全权代表无转委托权。特此委托。</w:t>
      </w:r>
    </w:p>
    <w:p w14:paraId="641F579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p>
    <w:p w14:paraId="0101EBF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（附法定代表人、授权代理人身份证明复印件）</w:t>
      </w:r>
    </w:p>
    <w:p w14:paraId="756759A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169AF74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56513E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17581B2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投标人（盖章）：</w:t>
      </w:r>
    </w:p>
    <w:p w14:paraId="5E4CF61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2F6F1A7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法定代表人：（签字）：</w:t>
      </w:r>
    </w:p>
    <w:p w14:paraId="0D66980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11F782E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授权代理人：（签字）：</w:t>
      </w:r>
    </w:p>
    <w:p w14:paraId="59AF0E5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6808D06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日期：   年   月   日</w:t>
      </w:r>
    </w:p>
    <w:p w14:paraId="17FB8379">
      <w:pPr>
        <w:bidi w:val="0"/>
        <w:rPr>
          <w:rFonts w:hint="eastAsia" w:ascii="仿宋_GB2312" w:hAnsi="仿宋_GB2312" w:eastAsia="仿宋_GB2312" w:cs="仿宋_GB2312"/>
        </w:rPr>
      </w:pPr>
      <w:r>
        <w:rPr>
          <w:rFonts w:hint="eastAsia" w:ascii="仿宋" w:hAnsi="仿宋" w:eastAsia="仿宋" w:cs="仿宋"/>
          <w:sz w:val="28"/>
          <w:szCs w:val="28"/>
        </w:rPr>
        <w:br w:type="page"/>
      </w:r>
      <w:bookmarkStart w:id="85" w:name="_Toc25524"/>
      <w:bookmarkStart w:id="86" w:name="_Toc40089810"/>
      <w:bookmarkStart w:id="87" w:name="_Toc24686"/>
      <w:bookmarkStart w:id="88" w:name="_Toc513627405"/>
      <w:r>
        <w:rPr>
          <w:rFonts w:hint="eastAsia" w:ascii="方正公文黑体" w:hAnsi="方正公文黑体" w:eastAsia="方正公文黑体" w:cs="方正公文黑体"/>
          <w:b w:val="0"/>
          <w:bCs/>
          <w:color w:val="auto"/>
          <w:sz w:val="36"/>
          <w:szCs w:val="36"/>
          <w:lang w:val="en-US" w:eastAsia="zh-CN"/>
        </w:rPr>
        <w:t>附件3</w:t>
      </w:r>
      <w:bookmarkEnd w:id="85"/>
    </w:p>
    <w:p w14:paraId="389CCCE4">
      <w:pPr>
        <w:rPr>
          <w:rFonts w:hint="eastAsia" w:ascii="仿宋_GB2312" w:hAnsi="仿宋_GB2312" w:eastAsia="仿宋_GB2312" w:cs="仿宋_GB2312"/>
        </w:rPr>
      </w:pPr>
    </w:p>
    <w:p w14:paraId="3CDA2628">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6"/>
      <w:bookmarkEnd w:id="87"/>
      <w:bookmarkEnd w:id="88"/>
      <w:r>
        <w:rPr>
          <w:rFonts w:hint="eastAsia" w:ascii="仿宋_GB2312" w:hAnsi="仿宋_GB2312" w:eastAsia="仿宋_GB2312" w:cs="仿宋_GB2312"/>
          <w:b/>
          <w:bCs w:val="0"/>
          <w:kern w:val="2"/>
          <w:sz w:val="32"/>
          <w:szCs w:val="32"/>
          <w:lang w:val="en-US" w:eastAsia="zh-CN" w:bidi="ar-SA"/>
        </w:rPr>
        <w:t>函</w:t>
      </w:r>
    </w:p>
    <w:p w14:paraId="47D8F0C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5422ED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海南卫生健康职业学院</w:t>
      </w:r>
    </w:p>
    <w:p w14:paraId="3ABC0D1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我单位近三年内在经营活动中没有重大违法记录，特此声明。</w:t>
      </w:r>
    </w:p>
    <w:p w14:paraId="29E7AD2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若招标采购单位在本项目采购过程中，发现我单位近三年内在经营活动中有重大违法记录，我单位将无条件退出本项目的报价，并承担因此引起的一切后果。</w:t>
      </w:r>
    </w:p>
    <w:p w14:paraId="58553F9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rPr>
      </w:pPr>
    </w:p>
    <w:p w14:paraId="047BC81A">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1CB58E56">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06F24B3F">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2CF52D7F">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E1C4368">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5C948BCB">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解释：《中华人民共和国政府采购法实施条例》条例第十九条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政府采购法第二十二条第一款第五项所称重大违法记录，是指供应商因违法经营受到刑事处罚或者责令停产停业</w:t>
      </w:r>
      <w:r>
        <w:rPr>
          <w:rFonts w:hint="eastAsia" w:ascii="仿宋" w:hAnsi="仿宋" w:eastAsia="仿宋" w:cs="仿宋"/>
          <w:sz w:val="32"/>
          <w:szCs w:val="32"/>
          <w:lang w:eastAsia="zh-CN"/>
        </w:rPr>
        <w:t>、</w:t>
      </w:r>
      <w:r>
        <w:rPr>
          <w:rFonts w:hint="eastAsia" w:ascii="仿宋" w:hAnsi="仿宋" w:eastAsia="仿宋" w:cs="仿宋"/>
          <w:sz w:val="32"/>
          <w:szCs w:val="32"/>
        </w:rPr>
        <w:t>吊销许可证或者执照、较大数额罚款等行政处罚。供应商在参加政府采购活动前3年内因违法经营被禁止在一定期限内参加政府采购活动，期限届满的，可以参加政府采购活动。</w:t>
      </w:r>
    </w:p>
    <w:p w14:paraId="7EC3B261">
      <w:pPr>
        <w:bidi w:val="0"/>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sz w:val="24"/>
        </w:rPr>
        <w:br w:type="page"/>
      </w:r>
      <w:bookmarkStart w:id="89" w:name="_Toc9292"/>
      <w:bookmarkStart w:id="90" w:name="_Toc40089811"/>
      <w:bookmarkStart w:id="91" w:name="_Toc8872"/>
      <w:r>
        <w:rPr>
          <w:rFonts w:hint="eastAsia" w:ascii="方正公文黑体" w:hAnsi="方正公文黑体" w:eastAsia="方正公文黑体" w:cs="方正公文黑体"/>
          <w:b w:val="0"/>
          <w:bCs/>
          <w:color w:val="auto"/>
          <w:sz w:val="36"/>
          <w:szCs w:val="36"/>
          <w:lang w:val="en-US" w:eastAsia="zh-CN"/>
        </w:rPr>
        <w:t>附件4</w:t>
      </w:r>
      <w:bookmarkEnd w:id="89"/>
      <w:bookmarkEnd w:id="90"/>
      <w:bookmarkEnd w:id="91"/>
    </w:p>
    <w:p w14:paraId="22C3A3D4">
      <w:pPr>
        <w:pStyle w:val="6"/>
        <w:spacing w:before="0" w:after="0"/>
        <w:ind w:right="378" w:rightChars="135"/>
        <w:jc w:val="center"/>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6"/>
          <w:szCs w:val="36"/>
          <w:lang w:val="en-US" w:eastAsia="zh-CN" w:bidi="ar-SA"/>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83A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7E72C6E5">
            <w:pPr>
              <w:adjustRightInd w:val="0"/>
              <w:spacing w:line="500" w:lineRule="atLeast"/>
              <w:jc w:val="center"/>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序号</w:t>
            </w:r>
          </w:p>
        </w:tc>
        <w:tc>
          <w:tcPr>
            <w:tcW w:w="3402" w:type="dxa"/>
            <w:noWrap w:val="0"/>
            <w:vAlign w:val="center"/>
          </w:tcPr>
          <w:p w14:paraId="29069382">
            <w:pPr>
              <w:adjustRightInd w:val="0"/>
              <w:spacing w:line="500" w:lineRule="atLeast"/>
              <w:jc w:val="center"/>
              <w:rPr>
                <w:rFonts w:hint="eastAsia" w:ascii="仿宋" w:hAnsi="仿宋" w:eastAsia="仿宋" w:cs="仿宋"/>
                <w:b/>
                <w:bCs/>
                <w:sz w:val="32"/>
                <w:szCs w:val="32"/>
              </w:rPr>
            </w:pPr>
            <w:r>
              <w:rPr>
                <w:rFonts w:hint="eastAsia" w:ascii="仿宋" w:hAnsi="仿宋" w:eastAsia="仿宋" w:cs="仿宋"/>
                <w:b/>
                <w:bCs/>
                <w:sz w:val="32"/>
                <w:szCs w:val="32"/>
                <w:lang w:eastAsia="zh-CN"/>
              </w:rPr>
              <w:t>谈判</w:t>
            </w:r>
            <w:r>
              <w:rPr>
                <w:rFonts w:hint="eastAsia" w:ascii="仿宋" w:hAnsi="仿宋" w:eastAsia="仿宋" w:cs="仿宋"/>
                <w:b/>
                <w:bCs/>
                <w:sz w:val="32"/>
                <w:szCs w:val="32"/>
              </w:rPr>
              <w:t>文件要求</w:t>
            </w:r>
          </w:p>
        </w:tc>
        <w:tc>
          <w:tcPr>
            <w:tcW w:w="1673" w:type="dxa"/>
            <w:noWrap w:val="0"/>
            <w:vAlign w:val="center"/>
          </w:tcPr>
          <w:p w14:paraId="1330DBBE">
            <w:pPr>
              <w:adjustRightInd w:val="0"/>
              <w:spacing w:line="500" w:lineRule="atLeast"/>
              <w:jc w:val="center"/>
              <w:rPr>
                <w:rFonts w:hint="eastAsia" w:ascii="仿宋" w:hAnsi="仿宋" w:eastAsia="仿宋" w:cs="仿宋"/>
                <w:b/>
                <w:bCs/>
                <w:sz w:val="32"/>
                <w:szCs w:val="32"/>
              </w:rPr>
            </w:pPr>
            <w:r>
              <w:rPr>
                <w:rFonts w:hint="eastAsia" w:ascii="仿宋" w:hAnsi="仿宋" w:eastAsia="仿宋" w:cs="仿宋"/>
                <w:b/>
                <w:bCs/>
                <w:sz w:val="32"/>
                <w:szCs w:val="32"/>
              </w:rPr>
              <w:t>响应程度</w:t>
            </w:r>
          </w:p>
        </w:tc>
        <w:tc>
          <w:tcPr>
            <w:tcW w:w="2544" w:type="dxa"/>
            <w:noWrap w:val="0"/>
            <w:vAlign w:val="center"/>
          </w:tcPr>
          <w:p w14:paraId="6266731A">
            <w:pPr>
              <w:adjustRightInd w:val="0"/>
              <w:spacing w:line="500" w:lineRule="atLeast"/>
              <w:jc w:val="center"/>
              <w:rPr>
                <w:rFonts w:hint="eastAsia" w:ascii="仿宋" w:hAnsi="仿宋" w:eastAsia="仿宋" w:cs="仿宋"/>
                <w:b/>
                <w:bCs/>
                <w:sz w:val="32"/>
                <w:szCs w:val="32"/>
              </w:rPr>
            </w:pPr>
            <w:r>
              <w:rPr>
                <w:rStyle w:val="26"/>
                <w:rFonts w:hint="eastAsia" w:ascii="仿宋" w:hAnsi="仿宋" w:eastAsia="仿宋" w:cs="仿宋"/>
                <w:b/>
                <w:bCs w:val="0"/>
                <w:szCs w:val="28"/>
              </w:rPr>
              <w:t>正偏离理由</w:t>
            </w:r>
          </w:p>
        </w:tc>
      </w:tr>
      <w:tr w14:paraId="55B8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5EC8F14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lang w:val="en-US" w:eastAsia="zh-CN"/>
              </w:rPr>
            </w:pPr>
          </w:p>
        </w:tc>
        <w:tc>
          <w:tcPr>
            <w:tcW w:w="3402" w:type="dxa"/>
            <w:noWrap w:val="0"/>
            <w:vAlign w:val="center"/>
          </w:tcPr>
          <w:p w14:paraId="43102F7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6CA57B6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222D94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26C8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D9C812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lang w:eastAsia="zh-CN"/>
              </w:rPr>
            </w:pPr>
          </w:p>
        </w:tc>
        <w:tc>
          <w:tcPr>
            <w:tcW w:w="3402" w:type="dxa"/>
            <w:noWrap w:val="0"/>
            <w:vAlign w:val="center"/>
          </w:tcPr>
          <w:p w14:paraId="4AA6630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6AEFF90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6EFAF5B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54BF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10AF169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lang w:eastAsia="zh-CN"/>
              </w:rPr>
            </w:pPr>
          </w:p>
        </w:tc>
        <w:tc>
          <w:tcPr>
            <w:tcW w:w="3402" w:type="dxa"/>
            <w:noWrap w:val="0"/>
            <w:vAlign w:val="center"/>
          </w:tcPr>
          <w:p w14:paraId="7FD620B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701B84F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54B22E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6D23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12C26A8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rPr>
            </w:pPr>
            <w:r>
              <w:rPr>
                <w:rFonts w:hint="eastAsia" w:ascii="仿宋" w:hAnsi="仿宋" w:eastAsia="仿宋" w:cs="仿宋"/>
                <w:bCs w:val="0"/>
                <w:sz w:val="32"/>
                <w:szCs w:val="32"/>
              </w:rPr>
              <w:t>……</w:t>
            </w:r>
          </w:p>
        </w:tc>
        <w:tc>
          <w:tcPr>
            <w:tcW w:w="3402" w:type="dxa"/>
            <w:noWrap w:val="0"/>
            <w:vAlign w:val="center"/>
          </w:tcPr>
          <w:p w14:paraId="5BD791F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163B4A7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2A55B74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bl>
    <w:p w14:paraId="66D886A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Cs w:val="0"/>
          <w:sz w:val="32"/>
          <w:szCs w:val="32"/>
        </w:rPr>
      </w:pPr>
      <w:r>
        <w:rPr>
          <w:rFonts w:hint="eastAsia" w:ascii="仿宋" w:hAnsi="仿宋" w:eastAsia="仿宋" w:cs="仿宋"/>
          <w:sz w:val="32"/>
          <w:szCs w:val="32"/>
        </w:rPr>
        <w:t>注：1</w:t>
      </w:r>
      <w:r>
        <w:rPr>
          <w:rFonts w:hint="eastAsia" w:ascii="仿宋" w:hAnsi="仿宋" w:eastAsia="仿宋" w:cs="仿宋"/>
          <w:sz w:val="32"/>
          <w:szCs w:val="32"/>
          <w:lang w:val="en-US" w:eastAsia="zh-CN"/>
        </w:rPr>
        <w:t>.</w:t>
      </w:r>
      <w:r>
        <w:rPr>
          <w:rFonts w:hint="eastAsia" w:ascii="仿宋" w:hAnsi="仿宋" w:eastAsia="仿宋" w:cs="仿宋"/>
          <w:sz w:val="32"/>
          <w:szCs w:val="32"/>
        </w:rPr>
        <w:t>按照</w:t>
      </w:r>
      <w:r>
        <w:rPr>
          <w:rFonts w:hint="eastAsia" w:ascii="仿宋" w:hAnsi="仿宋" w:eastAsia="仿宋" w:cs="仿宋"/>
          <w:sz w:val="32"/>
          <w:szCs w:val="32"/>
          <w:lang w:val="en-US" w:eastAsia="zh-CN"/>
        </w:rPr>
        <w:t>谈判</w:t>
      </w:r>
      <w:r>
        <w:rPr>
          <w:rFonts w:hint="eastAsia" w:ascii="仿宋" w:hAnsi="仿宋" w:eastAsia="仿宋" w:cs="仿宋"/>
          <w:sz w:val="32"/>
          <w:szCs w:val="32"/>
        </w:rPr>
        <w:t>文件第</w:t>
      </w:r>
      <w:r>
        <w:rPr>
          <w:rFonts w:hint="eastAsia" w:ascii="仿宋" w:hAnsi="仿宋" w:eastAsia="仿宋" w:cs="仿宋"/>
          <w:sz w:val="32"/>
          <w:szCs w:val="32"/>
          <w:lang w:eastAsia="zh-CN"/>
        </w:rPr>
        <w:t>五</w:t>
      </w:r>
      <w:r>
        <w:rPr>
          <w:rFonts w:hint="eastAsia" w:ascii="仿宋" w:hAnsi="仿宋" w:eastAsia="仿宋" w:cs="仿宋"/>
          <w:sz w:val="32"/>
          <w:szCs w:val="32"/>
          <w:lang w:val="en-US" w:eastAsia="zh-CN"/>
        </w:rPr>
        <w:t>部分</w:t>
      </w:r>
      <w:r>
        <w:rPr>
          <w:rFonts w:hint="eastAsia" w:ascii="仿宋" w:hAnsi="仿宋" w:eastAsia="仿宋" w:cs="仿宋"/>
          <w:b w:val="0"/>
          <w:bCs w:val="0"/>
          <w:color w:val="auto"/>
          <w:sz w:val="32"/>
          <w:szCs w:val="32"/>
          <w:lang w:val="en-US" w:eastAsia="zh-CN"/>
        </w:rPr>
        <w:t>项目需求及说明/二、商务</w:t>
      </w:r>
      <w:r>
        <w:rPr>
          <w:rFonts w:hint="eastAsia" w:ascii="仿宋" w:hAnsi="仿宋" w:eastAsia="仿宋" w:cs="仿宋"/>
          <w:b w:val="0"/>
          <w:bCs w:val="0"/>
          <w:color w:val="auto"/>
          <w:sz w:val="32"/>
          <w:szCs w:val="32"/>
        </w:rPr>
        <w:t>需求</w:t>
      </w:r>
      <w:r>
        <w:rPr>
          <w:rFonts w:hint="eastAsia" w:ascii="仿宋" w:hAnsi="仿宋" w:eastAsia="仿宋" w:cs="仿宋"/>
          <w:sz w:val="32"/>
          <w:szCs w:val="32"/>
        </w:rPr>
        <w:t>的顺序对应逐条应答</w:t>
      </w:r>
      <w:r>
        <w:rPr>
          <w:rFonts w:hint="eastAsia" w:ascii="仿宋" w:hAnsi="仿宋" w:eastAsia="仿宋" w:cs="仿宋"/>
          <w:sz w:val="32"/>
          <w:szCs w:val="32"/>
          <w:lang w:eastAsia="zh-CN"/>
        </w:rPr>
        <w:t>，</w:t>
      </w:r>
      <w:r>
        <w:rPr>
          <w:rFonts w:hint="eastAsia" w:ascii="仿宋" w:hAnsi="仿宋" w:eastAsia="仿宋" w:cs="仿宋"/>
          <w:bCs w:val="0"/>
          <w:sz w:val="32"/>
          <w:szCs w:val="32"/>
        </w:rPr>
        <w:t>对照谈判文件要求在“响应程度”栏填写“无偏离”或“正偏离”或“负偏离”。</w:t>
      </w:r>
    </w:p>
    <w:p w14:paraId="2829AC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供应商必须据实填写，不得虚假填写，否则将取消其报价或中选</w:t>
      </w:r>
      <w:r>
        <w:rPr>
          <w:rFonts w:hint="eastAsia" w:ascii="仿宋" w:hAnsi="仿宋" w:eastAsia="仿宋" w:cs="仿宋"/>
          <w:sz w:val="32"/>
          <w:szCs w:val="32"/>
          <w:lang w:eastAsia="zh-CN"/>
        </w:rPr>
        <w:t>。</w:t>
      </w:r>
    </w:p>
    <w:p w14:paraId="60654651">
      <w:pPr>
        <w:spacing w:line="480" w:lineRule="auto"/>
        <w:rPr>
          <w:rFonts w:hint="eastAsia" w:ascii="仿宋" w:hAnsi="仿宋" w:eastAsia="仿宋" w:cs="仿宋"/>
          <w:sz w:val="24"/>
          <w:lang w:val="en-US" w:eastAsia="zh-CN"/>
        </w:rPr>
      </w:pPr>
    </w:p>
    <w:p w14:paraId="5B26F4B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lang w:val="en-US" w:eastAsia="zh-CN"/>
        </w:rPr>
        <w:t xml:space="preserve">                          </w:t>
      </w:r>
      <w:r>
        <w:rPr>
          <w:rFonts w:hint="eastAsia" w:ascii="仿宋" w:hAnsi="仿宋" w:eastAsia="仿宋" w:cs="仿宋"/>
          <w:bCs w:val="0"/>
          <w:sz w:val="32"/>
          <w:szCs w:val="32"/>
        </w:rPr>
        <w:t xml:space="preserve">         </w:t>
      </w:r>
    </w:p>
    <w:p w14:paraId="18FB24C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lang w:val="en-US" w:eastAsia="zh-CN"/>
        </w:rPr>
        <w:t xml:space="preserve">              </w:t>
      </w:r>
      <w:r>
        <w:rPr>
          <w:rFonts w:hint="eastAsia" w:ascii="仿宋" w:hAnsi="仿宋" w:eastAsia="仿宋" w:cs="仿宋"/>
          <w:bCs w:val="0"/>
          <w:sz w:val="32"/>
          <w:szCs w:val="32"/>
        </w:rPr>
        <w:t xml:space="preserve">               </w:t>
      </w:r>
    </w:p>
    <w:p w14:paraId="0595C56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sz w:val="32"/>
          <w:szCs w:val="32"/>
          <w:u w:val="single"/>
          <w:lang w:val="en-US" w:eastAsia="zh-CN"/>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14:paraId="30CCF815">
      <w:pPr>
        <w:rPr>
          <w:rFonts w:hint="eastAsia"/>
        </w:rPr>
      </w:pPr>
      <w:r>
        <w:rPr>
          <w:rFonts w:hint="eastAsia"/>
        </w:rPr>
        <w:br w:type="page"/>
      </w:r>
      <w:bookmarkStart w:id="92" w:name="_Toc23941"/>
      <w:bookmarkStart w:id="93" w:name="_Toc40089812"/>
    </w:p>
    <w:p w14:paraId="1BC267AB">
      <w:pPr>
        <w:jc w:val="center"/>
        <w:rPr>
          <w:rFonts w:hint="eastAsia" w:ascii="仿宋" w:hAnsi="仿宋" w:eastAsia="仿宋" w:cs="仿宋"/>
          <w:sz w:val="32"/>
          <w:szCs w:val="32"/>
        </w:rPr>
      </w:pPr>
      <w:r>
        <w:rPr>
          <w:rFonts w:hint="eastAsia" w:ascii="仿宋" w:hAnsi="仿宋" w:eastAsia="仿宋" w:cs="仿宋"/>
          <w:sz w:val="32"/>
          <w:szCs w:val="32"/>
        </w:rPr>
        <w:t>商务及技术证明材料</w:t>
      </w:r>
    </w:p>
    <w:p w14:paraId="26C697BB">
      <w:pPr>
        <w:pStyle w:val="8"/>
        <w:spacing w:before="84"/>
        <w:jc w:val="left"/>
        <w:rPr>
          <w:rFonts w:hint="eastAsia" w:ascii="仿宋" w:hAnsi="仿宋" w:eastAsia="仿宋" w:cs="仿宋"/>
          <w:spacing w:val="-2"/>
        </w:rPr>
      </w:pPr>
    </w:p>
    <w:p w14:paraId="69C2B2AE">
      <w:pPr>
        <w:pStyle w:val="8"/>
        <w:spacing w:before="84"/>
        <w:jc w:val="left"/>
        <w:rPr>
          <w:rFonts w:hint="eastAsia" w:ascii="仿宋" w:hAnsi="仿宋" w:eastAsia="仿宋" w:cs="仿宋"/>
        </w:rPr>
      </w:pPr>
      <w:r>
        <w:rPr>
          <w:rFonts w:hint="eastAsia" w:ascii="仿宋" w:hAnsi="仿宋" w:eastAsia="仿宋" w:cs="仿宋"/>
          <w:spacing w:val="-2"/>
        </w:rPr>
        <w:t>（供应商根据竞争性磋商文件第三部分附表</w:t>
      </w:r>
      <w:r>
        <w:rPr>
          <w:rFonts w:hint="eastAsia" w:ascii="仿宋" w:hAnsi="仿宋" w:eastAsia="仿宋" w:cs="仿宋"/>
          <w:spacing w:val="-71"/>
        </w:rPr>
        <w:t xml:space="preserve"> </w:t>
      </w:r>
      <w:r>
        <w:rPr>
          <w:rFonts w:hint="eastAsia" w:ascii="仿宋" w:hAnsi="仿宋" w:eastAsia="仿宋" w:cs="仿宋"/>
        </w:rPr>
        <w:t>2</w:t>
      </w:r>
      <w:r>
        <w:rPr>
          <w:rFonts w:hint="eastAsia" w:ascii="仿宋" w:hAnsi="仿宋" w:eastAsia="仿宋" w:cs="仿宋"/>
          <w:spacing w:val="-72"/>
        </w:rPr>
        <w:t xml:space="preserve"> </w:t>
      </w:r>
      <w:r>
        <w:rPr>
          <w:rFonts w:hint="eastAsia" w:ascii="仿宋" w:hAnsi="仿宋" w:eastAsia="仿宋" w:cs="仿宋"/>
          <w:spacing w:val="-2"/>
        </w:rPr>
        <w:t>中的要求提供，格式自拟）</w:t>
      </w:r>
    </w:p>
    <w:p w14:paraId="170A710B">
      <w:pPr>
        <w:rPr>
          <w:rFonts w:hint="eastAsia" w:ascii="仿宋" w:hAnsi="仿宋" w:eastAsia="仿宋" w:cs="仿宋"/>
        </w:rPr>
      </w:pPr>
    </w:p>
    <w:p w14:paraId="4B5B5084">
      <w:pPr>
        <w:rPr>
          <w:rFonts w:hint="eastAsia" w:ascii="仿宋" w:hAnsi="仿宋" w:eastAsia="仿宋" w:cs="仿宋"/>
        </w:rPr>
      </w:pPr>
    </w:p>
    <w:p w14:paraId="102E3B3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Cs/>
          <w:color w:val="auto"/>
          <w:kern w:val="0"/>
          <w:sz w:val="32"/>
          <w:szCs w:val="32"/>
          <w:lang w:val="en-US" w:eastAsia="zh-CN" w:bidi="ar-SA"/>
        </w:rPr>
      </w:pPr>
    </w:p>
    <w:p w14:paraId="797579DA">
      <w:pPr>
        <w:rPr>
          <w:rFonts w:hint="eastAsia"/>
          <w:lang w:val="en-US" w:eastAsia="zh-CN"/>
        </w:rPr>
      </w:pPr>
    </w:p>
    <w:p w14:paraId="3EEBD254">
      <w:pPr>
        <w:rPr>
          <w:rFonts w:hint="eastAsia"/>
          <w:lang w:val="en-US" w:eastAsia="zh-CN"/>
        </w:rPr>
      </w:pPr>
    </w:p>
    <w:p w14:paraId="250A92AB">
      <w:pPr>
        <w:rPr>
          <w:rFonts w:hint="eastAsia"/>
          <w:lang w:val="en-US" w:eastAsia="zh-CN"/>
        </w:rPr>
      </w:pPr>
    </w:p>
    <w:p w14:paraId="1CDB70E0">
      <w:pPr>
        <w:rPr>
          <w:rFonts w:hint="eastAsia"/>
          <w:lang w:val="en-US" w:eastAsia="zh-CN"/>
        </w:rPr>
      </w:pPr>
    </w:p>
    <w:p w14:paraId="2D0DD15D">
      <w:pPr>
        <w:rPr>
          <w:rFonts w:hint="eastAsia"/>
          <w:lang w:val="en-US" w:eastAsia="zh-CN"/>
        </w:rPr>
      </w:pPr>
    </w:p>
    <w:p w14:paraId="226911AB">
      <w:pPr>
        <w:rPr>
          <w:rFonts w:hint="eastAsia"/>
          <w:lang w:val="en-US" w:eastAsia="zh-CN"/>
        </w:rPr>
      </w:pPr>
    </w:p>
    <w:p w14:paraId="5B308FED">
      <w:pPr>
        <w:rPr>
          <w:rFonts w:hint="eastAsia"/>
          <w:lang w:val="en-US" w:eastAsia="zh-CN"/>
        </w:rPr>
      </w:pPr>
    </w:p>
    <w:p w14:paraId="2C92416F">
      <w:pPr>
        <w:rPr>
          <w:rFonts w:hint="eastAsia"/>
          <w:lang w:val="en-US" w:eastAsia="zh-CN"/>
        </w:rPr>
      </w:pPr>
    </w:p>
    <w:p w14:paraId="719CC7C6">
      <w:pPr>
        <w:rPr>
          <w:rFonts w:hint="eastAsia"/>
          <w:lang w:val="en-US" w:eastAsia="zh-CN"/>
        </w:rPr>
      </w:pPr>
    </w:p>
    <w:p w14:paraId="65BF5A63">
      <w:pPr>
        <w:rPr>
          <w:rFonts w:hint="eastAsia"/>
          <w:lang w:val="en-US" w:eastAsia="zh-CN"/>
        </w:rPr>
      </w:pPr>
    </w:p>
    <w:p w14:paraId="1649A9ED">
      <w:pPr>
        <w:rPr>
          <w:rFonts w:hint="eastAsia"/>
          <w:lang w:val="en-US" w:eastAsia="zh-CN"/>
        </w:rPr>
      </w:pPr>
    </w:p>
    <w:p w14:paraId="74A44772">
      <w:pPr>
        <w:rPr>
          <w:rFonts w:hint="eastAsia"/>
          <w:lang w:val="en-US" w:eastAsia="zh-CN"/>
        </w:rPr>
      </w:pPr>
    </w:p>
    <w:p w14:paraId="1DE13D64">
      <w:pPr>
        <w:rPr>
          <w:rFonts w:hint="eastAsia"/>
          <w:lang w:val="en-US" w:eastAsia="zh-CN"/>
        </w:rPr>
      </w:pPr>
    </w:p>
    <w:p w14:paraId="1D48A9FB">
      <w:pPr>
        <w:rPr>
          <w:rFonts w:hint="eastAsia"/>
          <w:lang w:val="en-US" w:eastAsia="zh-CN"/>
        </w:rPr>
      </w:pPr>
    </w:p>
    <w:p w14:paraId="79330312">
      <w:pPr>
        <w:rPr>
          <w:rFonts w:hint="eastAsia"/>
          <w:lang w:val="en-US" w:eastAsia="zh-CN"/>
        </w:rPr>
      </w:pPr>
    </w:p>
    <w:p w14:paraId="7900C033">
      <w:pPr>
        <w:rPr>
          <w:rFonts w:hint="eastAsia"/>
          <w:lang w:val="en-US" w:eastAsia="zh-CN"/>
        </w:rPr>
      </w:pPr>
    </w:p>
    <w:p w14:paraId="09B27AEA">
      <w:pPr>
        <w:rPr>
          <w:rFonts w:hint="eastAsia"/>
          <w:lang w:val="en-US" w:eastAsia="zh-CN"/>
        </w:rPr>
      </w:pPr>
    </w:p>
    <w:p w14:paraId="0BA467B0">
      <w:pPr>
        <w:rPr>
          <w:rFonts w:hint="eastAsia"/>
          <w:lang w:val="en-US" w:eastAsia="zh-CN"/>
        </w:rPr>
      </w:pPr>
    </w:p>
    <w:p w14:paraId="50BDC7BF">
      <w:pPr>
        <w:rPr>
          <w:rFonts w:hint="eastAsia"/>
          <w:lang w:val="en-US" w:eastAsia="zh-CN"/>
        </w:rPr>
      </w:pPr>
    </w:p>
    <w:p w14:paraId="6DA32FCC">
      <w:pPr>
        <w:rPr>
          <w:rFonts w:hint="eastAsia"/>
          <w:lang w:val="en-US" w:eastAsia="zh-CN"/>
        </w:rPr>
      </w:pPr>
    </w:p>
    <w:p w14:paraId="1554E694">
      <w:pPr>
        <w:rPr>
          <w:rFonts w:hint="eastAsia"/>
          <w:lang w:val="en-US" w:eastAsia="zh-CN"/>
        </w:rPr>
      </w:pPr>
    </w:p>
    <w:p w14:paraId="62CE18F1">
      <w:pPr>
        <w:rPr>
          <w:rFonts w:hint="eastAsia"/>
          <w:lang w:val="en-US" w:eastAsia="zh-CN"/>
        </w:rPr>
      </w:pPr>
    </w:p>
    <w:p w14:paraId="0CB0B4F2">
      <w:pPr>
        <w:rPr>
          <w:rFonts w:hint="eastAsia"/>
          <w:lang w:val="en-US" w:eastAsia="zh-CN"/>
        </w:rPr>
      </w:pPr>
    </w:p>
    <w:p w14:paraId="3DD1AD0A">
      <w:pPr>
        <w:rPr>
          <w:rFonts w:hint="eastAsia"/>
          <w:lang w:val="en-US" w:eastAsia="zh-CN"/>
        </w:rPr>
      </w:pPr>
    </w:p>
    <w:p w14:paraId="4FBDFDDD">
      <w:pPr>
        <w:rPr>
          <w:rFonts w:hint="eastAsia"/>
          <w:lang w:val="en-US" w:eastAsia="zh-CN"/>
        </w:rPr>
      </w:pPr>
    </w:p>
    <w:p w14:paraId="54248054">
      <w:pPr>
        <w:rPr>
          <w:rFonts w:hint="eastAsia"/>
          <w:lang w:val="en-US" w:eastAsia="zh-CN"/>
        </w:rPr>
      </w:pPr>
    </w:p>
    <w:p w14:paraId="46CB1DCE">
      <w:pPr>
        <w:rPr>
          <w:rFonts w:hint="eastAsia"/>
          <w:lang w:val="en-US" w:eastAsia="zh-CN"/>
        </w:rPr>
      </w:pPr>
    </w:p>
    <w:p w14:paraId="38D1F693">
      <w:pPr>
        <w:rPr>
          <w:rFonts w:hint="eastAsia"/>
          <w:lang w:val="en-US" w:eastAsia="zh-CN"/>
        </w:rPr>
      </w:pPr>
    </w:p>
    <w:p w14:paraId="26FBA75C">
      <w:pPr>
        <w:pStyle w:val="2"/>
        <w:numPr>
          <w:ilvl w:val="0"/>
          <w:numId w:val="4"/>
        </w:numPr>
        <w:bidi w:val="0"/>
        <w:spacing w:line="240" w:lineRule="auto"/>
        <w:rPr>
          <w:rFonts w:hint="eastAsia" w:hAnsi="Times New Roman" w:cs="Times New Roman"/>
          <w:lang w:val="en-US" w:eastAsia="zh-CN"/>
        </w:rPr>
      </w:pPr>
      <w:bookmarkStart w:id="94" w:name="_Toc3171"/>
      <w:r>
        <w:rPr>
          <w:rFonts w:hint="eastAsia" w:hAnsi="Times New Roman" w:cs="Times New Roman"/>
          <w:lang w:val="en-US" w:eastAsia="zh-CN"/>
        </w:rPr>
        <w:t>资信部分</w:t>
      </w:r>
      <w:bookmarkEnd w:id="94"/>
    </w:p>
    <w:p w14:paraId="1F7D475E">
      <w:pPr>
        <w:rPr>
          <w:rFonts w:hint="eastAsia" w:ascii="仿宋_GB2312" w:hAnsi="仿宋_GB2312" w:eastAsia="仿宋_GB2312" w:cs="仿宋_GB2312"/>
          <w:color w:val="auto"/>
          <w:kern w:val="0"/>
          <w:sz w:val="32"/>
          <w:szCs w:val="32"/>
        </w:rPr>
      </w:pPr>
    </w:p>
    <w:p w14:paraId="5101BE05">
      <w:pPr>
        <w:widowControl/>
        <w:numPr>
          <w:ilvl w:val="0"/>
          <w:numId w:val="0"/>
        </w:numPr>
        <w:shd w:val="clear" w:color="auto" w:fill="FFFFFF"/>
        <w:spacing w:line="440" w:lineRule="exact"/>
        <w:jc w:val="left"/>
        <w:rPr>
          <w:rFonts w:hint="eastAsia" w:ascii="仿宋" w:hAnsi="仿宋" w:eastAsia="仿宋" w:cs="仿宋"/>
          <w:b w:val="0"/>
          <w:bCs/>
          <w:color w:val="auto"/>
          <w:kern w:val="0"/>
          <w:sz w:val="32"/>
          <w:szCs w:val="32"/>
        </w:rPr>
      </w:pPr>
      <w:r>
        <w:rPr>
          <w:rFonts w:hint="eastAsia" w:ascii="仿宋" w:hAnsi="仿宋" w:eastAsia="仿宋" w:cs="仿宋"/>
          <w:sz w:val="32"/>
          <w:szCs w:val="32"/>
        </w:rPr>
        <w:t>1.符合《中华人民共和国政府采购法》第二十二条规定，在中国境内注册的具有独立法人资格或个体户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提供营业执照）</w:t>
      </w:r>
      <w:r>
        <w:rPr>
          <w:rFonts w:hint="eastAsia" w:ascii="仿宋" w:hAnsi="仿宋" w:eastAsia="仿宋" w:cs="仿宋"/>
          <w:b w:val="0"/>
          <w:bCs/>
          <w:color w:val="auto"/>
          <w:kern w:val="0"/>
          <w:sz w:val="32"/>
          <w:szCs w:val="32"/>
        </w:rPr>
        <w:t>；</w:t>
      </w:r>
    </w:p>
    <w:p w14:paraId="28C1FC8D">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2.</w:t>
      </w:r>
      <w:r>
        <w:rPr>
          <w:rFonts w:hint="eastAsia" w:ascii="仿宋" w:hAnsi="仿宋" w:eastAsia="仿宋" w:cs="仿宋"/>
          <w:b w:val="0"/>
          <w:bCs/>
          <w:color w:val="auto"/>
          <w:kern w:val="0"/>
          <w:sz w:val="32"/>
          <w:szCs w:val="32"/>
        </w:rPr>
        <w:t>在信用中国网(www.creditchina.gov.cn)未被列入政府采购严重违法失信名单、重大税收违法案件当事人名单、失信被惩戒对象和重点关注名单；提供以上对应名单的查询结果截图</w:t>
      </w:r>
      <w:r>
        <w:rPr>
          <w:rFonts w:hint="eastAsia" w:ascii="仿宋" w:hAnsi="仿宋" w:eastAsia="仿宋" w:cs="仿宋"/>
          <w:b w:val="0"/>
          <w:bCs/>
          <w:color w:val="auto"/>
          <w:kern w:val="0"/>
          <w:sz w:val="32"/>
          <w:szCs w:val="32"/>
          <w:lang w:eastAsia="zh-CN"/>
        </w:rPr>
        <w:t>，</w:t>
      </w:r>
    </w:p>
    <w:p w14:paraId="3C47A2D4">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3.</w:t>
      </w:r>
      <w:r>
        <w:rPr>
          <w:rFonts w:hint="eastAsia" w:ascii="仿宋" w:hAnsi="仿宋" w:eastAsia="仿宋" w:cs="仿宋"/>
          <w:b w:val="0"/>
          <w:bCs/>
          <w:color w:val="auto"/>
          <w:kern w:val="0"/>
          <w:sz w:val="32"/>
          <w:szCs w:val="32"/>
        </w:rPr>
        <w:t>未被列入全国律师执业诚信信息公示平台失信名单，或处于停止执业及以上行政处罚、行业惩戒期限内的查询结果截图</w:t>
      </w:r>
      <w:r>
        <w:rPr>
          <w:rFonts w:hint="eastAsia" w:ascii="仿宋" w:hAnsi="仿宋" w:eastAsia="仿宋" w:cs="仿宋"/>
          <w:b w:val="0"/>
          <w:bCs/>
          <w:color w:val="auto"/>
          <w:kern w:val="0"/>
          <w:sz w:val="32"/>
          <w:szCs w:val="32"/>
          <w:lang w:eastAsia="zh-CN"/>
        </w:rPr>
        <w:t>，</w:t>
      </w:r>
    </w:p>
    <w:p w14:paraId="1CC20CBC">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4.</w:t>
      </w:r>
      <w:r>
        <w:rPr>
          <w:rFonts w:hint="eastAsia" w:ascii="仿宋" w:hAnsi="仿宋" w:eastAsia="仿宋" w:cs="仿宋"/>
          <w:b w:val="0"/>
          <w:bCs/>
          <w:color w:val="auto"/>
          <w:kern w:val="0"/>
          <w:sz w:val="32"/>
          <w:szCs w:val="32"/>
        </w:rPr>
        <w:t>近三年内（成立时间不足三年的、自成立时间起），在经营活动中没有重大违法记录，提供声明函原件（</w:t>
      </w:r>
      <w:r>
        <w:rPr>
          <w:rFonts w:hint="eastAsia" w:ascii="仿宋" w:hAnsi="仿宋" w:eastAsia="仿宋" w:cs="仿宋"/>
          <w:b w:val="0"/>
          <w:bCs/>
          <w:color w:val="auto"/>
          <w:kern w:val="0"/>
          <w:sz w:val="32"/>
          <w:szCs w:val="32"/>
          <w:lang w:val="en-US" w:eastAsia="zh-CN"/>
        </w:rPr>
        <w:t>详见附件3</w:t>
      </w:r>
      <w:r>
        <w:rPr>
          <w:rFonts w:hint="eastAsia" w:ascii="仿宋" w:hAnsi="仿宋" w:eastAsia="仿宋" w:cs="仿宋"/>
          <w:b w:val="0"/>
          <w:bCs/>
          <w:color w:val="auto"/>
          <w:kern w:val="0"/>
          <w:sz w:val="32"/>
          <w:szCs w:val="32"/>
        </w:rPr>
        <w:t>）</w:t>
      </w:r>
    </w:p>
    <w:p w14:paraId="672AB1AD">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5.</w:t>
      </w:r>
      <w:r>
        <w:rPr>
          <w:rFonts w:hint="eastAsia" w:ascii="仿宋" w:hAnsi="仿宋" w:eastAsia="仿宋" w:cs="仿宋"/>
          <w:b w:val="0"/>
          <w:bCs/>
          <w:color w:val="auto"/>
          <w:kern w:val="0"/>
          <w:sz w:val="32"/>
          <w:szCs w:val="32"/>
          <w:lang w:eastAsia="zh-CN"/>
        </w:rPr>
        <w:t>投标人具备律师事务所执业许可证</w:t>
      </w:r>
      <w:r>
        <w:rPr>
          <w:rFonts w:hint="eastAsia" w:ascii="仿宋" w:hAnsi="仿宋" w:eastAsia="仿宋" w:cs="仿宋"/>
          <w:b w:val="0"/>
          <w:bCs/>
          <w:color w:val="auto"/>
          <w:kern w:val="0"/>
          <w:sz w:val="32"/>
          <w:szCs w:val="32"/>
        </w:rPr>
        <w:t>。</w:t>
      </w:r>
      <w:r>
        <w:rPr>
          <w:rFonts w:hint="eastAsia" w:ascii="仿宋" w:hAnsi="仿宋" w:eastAsia="仿宋" w:cs="仿宋"/>
          <w:b w:val="0"/>
          <w:bCs/>
          <w:color w:val="auto"/>
          <w:kern w:val="0"/>
          <w:sz w:val="32"/>
          <w:szCs w:val="32"/>
          <w:lang w:val="en-US" w:eastAsia="zh-CN"/>
        </w:rPr>
        <w:t xml:space="preserve"> </w:t>
      </w:r>
    </w:p>
    <w:p w14:paraId="36213DE1">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6</w:t>
      </w:r>
      <w:r>
        <w:rPr>
          <w:rFonts w:hint="eastAsia" w:ascii="仿宋" w:hAnsi="仿宋" w:eastAsia="仿宋" w:cs="仿宋"/>
          <w:b w:val="0"/>
          <w:bCs/>
          <w:color w:val="auto"/>
          <w:kern w:val="0"/>
          <w:sz w:val="32"/>
          <w:szCs w:val="32"/>
        </w:rPr>
        <w:t>.本项目不接受联合体参与报价，成交后不允许转包</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提交承诺函。</w:t>
      </w:r>
    </w:p>
    <w:p w14:paraId="20B9DA1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 w:hAnsi="仿宋" w:eastAsia="仿宋" w:cs="仿宋"/>
          <w:b/>
          <w:bCs w:val="0"/>
          <w:sz w:val="32"/>
          <w:szCs w:val="32"/>
        </w:rPr>
      </w:pPr>
    </w:p>
    <w:p w14:paraId="0D00426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承诺函(样本)</w:t>
      </w:r>
    </w:p>
    <w:p w14:paraId="296BE7B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bCs/>
          <w:color w:val="auto"/>
          <w:kern w:val="0"/>
          <w:sz w:val="32"/>
          <w:szCs w:val="32"/>
          <w:lang w:val="en-US" w:eastAsia="zh-CN" w:bidi="ar-SA"/>
        </w:rPr>
      </w:pPr>
    </w:p>
    <w:p w14:paraId="204DA6C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海南卫生健康职业学院</w:t>
      </w:r>
    </w:p>
    <w:p w14:paraId="46BE633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color w:val="auto"/>
          <w:kern w:val="0"/>
          <w:sz w:val="32"/>
          <w:szCs w:val="32"/>
          <w:lang w:val="en-US" w:eastAsia="zh-CN"/>
        </w:rPr>
        <w:t>不是</w:t>
      </w:r>
      <w:r>
        <w:rPr>
          <w:rFonts w:hint="eastAsia" w:ascii="仿宋" w:hAnsi="仿宋" w:eastAsia="仿宋" w:cs="仿宋"/>
          <w:color w:val="auto"/>
          <w:kern w:val="0"/>
          <w:sz w:val="32"/>
          <w:szCs w:val="32"/>
        </w:rPr>
        <w:t>联合体参与报价，</w:t>
      </w:r>
      <w:r>
        <w:rPr>
          <w:rFonts w:hint="eastAsia" w:ascii="仿宋" w:hAnsi="仿宋" w:eastAsia="仿宋" w:cs="仿宋"/>
          <w:color w:val="auto"/>
          <w:kern w:val="0"/>
          <w:sz w:val="32"/>
          <w:szCs w:val="32"/>
          <w:lang w:val="en-US" w:eastAsia="zh-CN"/>
        </w:rPr>
        <w:t>我单位承诺</w:t>
      </w:r>
      <w:r>
        <w:rPr>
          <w:rFonts w:hint="eastAsia" w:ascii="仿宋" w:hAnsi="仿宋" w:eastAsia="仿宋" w:cs="仿宋"/>
          <w:color w:val="auto"/>
          <w:kern w:val="0"/>
          <w:sz w:val="32"/>
          <w:szCs w:val="32"/>
        </w:rPr>
        <w:t>成交后不转包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不分包</w:t>
      </w:r>
      <w:r>
        <w:rPr>
          <w:rFonts w:hint="eastAsia" w:ascii="仿宋" w:hAnsi="仿宋" w:eastAsia="仿宋" w:cs="仿宋"/>
          <w:sz w:val="32"/>
          <w:szCs w:val="32"/>
        </w:rPr>
        <w:t>，并承担因此引起的一切后果。</w:t>
      </w:r>
    </w:p>
    <w:p w14:paraId="17BCD3B0">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7A4AAF31">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4FC11E59">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6A9E398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3AEDF900">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169FE8FB">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3573BD22">
      <w:pPr>
        <w:rPr>
          <w:rFonts w:hint="eastAsia"/>
          <w:lang w:val="en-US" w:eastAsia="zh-CN"/>
        </w:rPr>
      </w:pPr>
    </w:p>
    <w:p w14:paraId="66B366D4">
      <w:pPr>
        <w:numPr>
          <w:ilvl w:val="0"/>
          <w:numId w:val="0"/>
        </w:numPr>
        <w:rPr>
          <w:rFonts w:hint="default" w:ascii="仿宋_GB2312" w:hAnsi="仿宋_GB2312" w:eastAsia="仿宋_GB2312" w:cs="仿宋_GB2312"/>
          <w:color w:val="auto"/>
          <w:kern w:val="0"/>
          <w:sz w:val="32"/>
          <w:szCs w:val="32"/>
          <w:lang w:val="en-US" w:eastAsia="zh-CN"/>
        </w:rPr>
      </w:pPr>
    </w:p>
    <w:p w14:paraId="6C247FFB">
      <w:pPr>
        <w:rPr>
          <w:rFonts w:hint="eastAsia" w:ascii="仿宋_GB2312" w:hAnsi="仿宋_GB2312" w:eastAsia="仿宋_GB2312" w:cs="仿宋_GB2312"/>
        </w:rPr>
      </w:pPr>
      <w:r>
        <w:rPr>
          <w:rFonts w:hint="eastAsia" w:ascii="仿宋_GB2312" w:hAnsi="仿宋_GB2312" w:eastAsia="仿宋_GB2312" w:cs="仿宋_GB2312"/>
        </w:rPr>
        <w:br w:type="page"/>
      </w:r>
    </w:p>
    <w:p w14:paraId="447A6E57">
      <w:pPr>
        <w:pStyle w:val="2"/>
        <w:numPr>
          <w:ilvl w:val="0"/>
          <w:numId w:val="4"/>
        </w:numPr>
        <w:bidi w:val="0"/>
        <w:spacing w:line="240" w:lineRule="auto"/>
        <w:ind w:left="0" w:leftChars="0" w:firstLine="0" w:firstLineChars="0"/>
        <w:rPr>
          <w:rFonts w:hint="eastAsia" w:hAnsi="Times New Roman" w:cs="Times New Roman"/>
          <w:lang w:val="en-US" w:eastAsia="zh-CN"/>
        </w:rPr>
      </w:pPr>
      <w:bookmarkStart w:id="95" w:name="_Toc25388"/>
      <w:bookmarkStart w:id="96" w:name="_Toc16244"/>
      <w:r>
        <w:rPr>
          <w:rFonts w:hint="eastAsia" w:hAnsi="Times New Roman" w:cs="Times New Roman"/>
          <w:lang w:val="en-US" w:eastAsia="zh-CN"/>
        </w:rPr>
        <w:t>报价部分</w:t>
      </w:r>
      <w:bookmarkEnd w:id="95"/>
      <w:bookmarkEnd w:id="96"/>
      <w:bookmarkStart w:id="97" w:name="_Toc19336"/>
      <w:bookmarkStart w:id="98" w:name="_Toc15965"/>
    </w:p>
    <w:p w14:paraId="0F69E68A">
      <w:pPr>
        <w:bidi w:val="0"/>
        <w:rPr>
          <w:rFonts w:hint="eastAsia" w:ascii="方正公文黑体" w:hAnsi="方正公文黑体" w:eastAsia="方正公文黑体" w:cs="方正公文黑体"/>
          <w:b w:val="0"/>
          <w:bCs/>
          <w:color w:val="auto"/>
          <w:sz w:val="36"/>
          <w:szCs w:val="36"/>
          <w:lang w:val="en-US" w:eastAsia="zh-CN"/>
        </w:rPr>
      </w:pPr>
      <w:r>
        <w:rPr>
          <w:rFonts w:hint="eastAsia" w:ascii="方正公文黑体" w:hAnsi="方正公文黑体" w:eastAsia="方正公文黑体" w:cs="方正公文黑体"/>
          <w:b w:val="0"/>
          <w:bCs/>
          <w:color w:val="auto"/>
          <w:sz w:val="36"/>
          <w:szCs w:val="36"/>
          <w:lang w:val="en-US" w:eastAsia="zh-CN"/>
        </w:rPr>
        <w:t>附件</w:t>
      </w:r>
      <w:bookmarkEnd w:id="97"/>
      <w:bookmarkEnd w:id="98"/>
      <w:r>
        <w:rPr>
          <w:rFonts w:hint="eastAsia" w:ascii="方正公文黑体" w:hAnsi="方正公文黑体" w:eastAsia="方正公文黑体" w:cs="方正公文黑体"/>
          <w:b w:val="0"/>
          <w:bCs/>
          <w:color w:val="auto"/>
          <w:sz w:val="36"/>
          <w:szCs w:val="36"/>
          <w:lang w:val="en-US" w:eastAsia="zh-CN"/>
        </w:rPr>
        <w:t>5</w:t>
      </w:r>
    </w:p>
    <w:p w14:paraId="6766FC0B">
      <w:pPr>
        <w:bidi w:val="0"/>
        <w:jc w:val="center"/>
        <w:rPr>
          <w:rFonts w:hint="eastAsia" w:ascii="仿宋_GB2312" w:hAnsi="仿宋_GB2312" w:eastAsia="仿宋_GB2312" w:cs="仿宋_GB2312"/>
          <w:b/>
          <w:bCs w:val="0"/>
          <w:sz w:val="36"/>
          <w:szCs w:val="36"/>
        </w:rPr>
      </w:pPr>
    </w:p>
    <w:p w14:paraId="1D591276">
      <w:pPr>
        <w:bidi w:val="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3A6E5F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 xml:space="preserve">项目编号：                  </w:t>
      </w:r>
    </w:p>
    <w:p w14:paraId="7E70B75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13CE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3577B0E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投标人名称</w:t>
            </w:r>
          </w:p>
        </w:tc>
        <w:tc>
          <w:tcPr>
            <w:tcW w:w="7141" w:type="dxa"/>
            <w:noWrap w:val="0"/>
            <w:vAlign w:val="center"/>
          </w:tcPr>
          <w:p w14:paraId="34E9C41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r w14:paraId="2E79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69D7DDA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rPr>
              <w:t>总报价</w:t>
            </w:r>
          </w:p>
          <w:p w14:paraId="61C00E2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lang w:eastAsia="zh-CN"/>
              </w:rPr>
            </w:pPr>
            <w:r>
              <w:rPr>
                <w:rFonts w:hint="eastAsia" w:ascii="仿宋" w:hAnsi="仿宋" w:eastAsia="仿宋" w:cs="仿宋"/>
                <w:sz w:val="32"/>
                <w:szCs w:val="32"/>
              </w:rPr>
              <w:t>（人民币/元）</w:t>
            </w:r>
          </w:p>
        </w:tc>
        <w:tc>
          <w:tcPr>
            <w:tcW w:w="7141" w:type="dxa"/>
            <w:noWrap w:val="0"/>
            <w:vAlign w:val="center"/>
          </w:tcPr>
          <w:p w14:paraId="1945E8F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 w:hAnsi="仿宋" w:eastAsia="仿宋" w:cs="仿宋"/>
                <w:sz w:val="32"/>
                <w:szCs w:val="32"/>
                <w:u w:val="single"/>
              </w:rPr>
            </w:pPr>
            <w:r>
              <w:rPr>
                <w:rFonts w:hint="eastAsia" w:ascii="仿宋" w:hAnsi="仿宋" w:eastAsia="仿宋" w:cs="仿宋"/>
                <w:sz w:val="32"/>
                <w:szCs w:val="32"/>
              </w:rPr>
              <w:t>大写：</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2E597B0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p>
        </w:tc>
      </w:tr>
      <w:tr w14:paraId="28B2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7CDE25D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bCs/>
                <w:color w:val="auto"/>
                <w:kern w:val="2"/>
                <w:sz w:val="32"/>
                <w:szCs w:val="32"/>
                <w:lang w:val="en-US" w:eastAsia="zh-CN" w:bidi="ar-SA"/>
              </w:rPr>
              <w:t>服务期限</w:t>
            </w:r>
          </w:p>
        </w:tc>
        <w:tc>
          <w:tcPr>
            <w:tcW w:w="7141" w:type="dxa"/>
            <w:noWrap w:val="0"/>
            <w:vAlign w:val="center"/>
          </w:tcPr>
          <w:p w14:paraId="497FBA0A">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75B3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3E9166D6">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磋商</w:t>
            </w:r>
            <w:r>
              <w:rPr>
                <w:rFonts w:hint="eastAsia" w:ascii="仿宋" w:hAnsi="仿宋" w:eastAsia="仿宋" w:cs="仿宋"/>
                <w:sz w:val="32"/>
                <w:szCs w:val="32"/>
              </w:rPr>
              <w:t>文件的</w:t>
            </w:r>
          </w:p>
          <w:p w14:paraId="64A2DE80">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认同程度</w:t>
            </w:r>
          </w:p>
        </w:tc>
        <w:tc>
          <w:tcPr>
            <w:tcW w:w="7141" w:type="dxa"/>
            <w:noWrap w:val="0"/>
            <w:vAlign w:val="center"/>
          </w:tcPr>
          <w:p w14:paraId="4875FED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r w14:paraId="5221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26E519DC">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备注</w:t>
            </w:r>
          </w:p>
        </w:tc>
        <w:tc>
          <w:tcPr>
            <w:tcW w:w="7141" w:type="dxa"/>
            <w:noWrap w:val="0"/>
            <w:vAlign w:val="center"/>
          </w:tcPr>
          <w:p w14:paraId="1CFD57F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bl>
    <w:p w14:paraId="0DDE34FA">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 w:hAnsi="仿宋" w:eastAsia="仿宋" w:cs="仿宋"/>
          <w:bCs w:val="0"/>
          <w:sz w:val="32"/>
          <w:szCs w:val="32"/>
        </w:rPr>
      </w:pPr>
    </w:p>
    <w:p w14:paraId="45D519A3">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u w:val="single"/>
          <w:lang w:eastAsia="zh-CN"/>
        </w:rPr>
      </w:pPr>
      <w:r>
        <w:rPr>
          <w:rFonts w:hint="eastAsia" w:ascii="仿宋" w:hAnsi="仿宋" w:eastAsia="仿宋" w:cs="仿宋"/>
          <w:sz w:val="32"/>
          <w:szCs w:val="32"/>
        </w:rPr>
        <w:t>投标人名称（公章）</w:t>
      </w:r>
      <w:r>
        <w:rPr>
          <w:rFonts w:hint="eastAsia" w:ascii="仿宋" w:hAnsi="仿宋" w:eastAsia="仿宋" w:cs="仿宋"/>
          <w:sz w:val="32"/>
          <w:szCs w:val="32"/>
          <w:lang w:eastAsia="zh-CN"/>
        </w:rPr>
        <w:t>：</w:t>
      </w:r>
    </w:p>
    <w:p w14:paraId="33E74BAD">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p>
    <w:p w14:paraId="6D07468F">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lang w:eastAsia="zh-CN"/>
        </w:rPr>
      </w:pPr>
      <w:r>
        <w:rPr>
          <w:rFonts w:hint="eastAsia" w:ascii="仿宋" w:hAnsi="仿宋" w:eastAsia="仿宋" w:cs="仿宋"/>
          <w:sz w:val="32"/>
          <w:szCs w:val="32"/>
        </w:rPr>
        <w:t>法定代表人或授权代理人（签字）</w:t>
      </w:r>
      <w:r>
        <w:rPr>
          <w:rFonts w:hint="eastAsia" w:ascii="仿宋" w:hAnsi="仿宋" w:eastAsia="仿宋" w:cs="仿宋"/>
          <w:sz w:val="32"/>
          <w:szCs w:val="32"/>
          <w:lang w:eastAsia="zh-CN"/>
        </w:rPr>
        <w:t>：</w:t>
      </w:r>
    </w:p>
    <w:p w14:paraId="2B8CC39B">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 xml:space="preserve">年   月   日 </w:t>
      </w:r>
    </w:p>
    <w:bookmarkEnd w:id="83"/>
    <w:bookmarkEnd w:id="84"/>
    <w:bookmarkEnd w:id="92"/>
    <w:bookmarkEnd w:id="93"/>
    <w:p w14:paraId="4EA06B7A">
      <w:pPr>
        <w:rPr>
          <w:rFonts w:hint="eastAsia" w:ascii="仿宋" w:hAnsi="仿宋" w:eastAsia="仿宋" w:cs="仿宋"/>
          <w:lang w:val="en-US" w:eastAsia="zh-CN"/>
        </w:rPr>
      </w:pPr>
      <w:bookmarkStart w:id="99" w:name="_Toc4812"/>
      <w:bookmarkStart w:id="100" w:name="_Toc13890"/>
    </w:p>
    <w:p w14:paraId="7E4058F2">
      <w:pPr>
        <w:pStyle w:val="2"/>
        <w:bidi w:val="0"/>
        <w:spacing w:line="240" w:lineRule="auto"/>
        <w:rPr>
          <w:rFonts w:hint="eastAsia" w:hAnsi="Times New Roman" w:cs="Times New Roman"/>
          <w:lang w:val="en-US" w:eastAsia="zh-CN"/>
        </w:rPr>
      </w:pPr>
      <w:r>
        <w:rPr>
          <w:rFonts w:hint="eastAsia" w:hAnsi="Times New Roman" w:cs="Times New Roman"/>
          <w:lang w:val="en-US" w:eastAsia="zh-CN"/>
        </w:rPr>
        <w:t>封套格式</w:t>
      </w:r>
      <w:bookmarkEnd w:id="99"/>
      <w:bookmarkEnd w:id="100"/>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0562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noWrap w:val="0"/>
            <w:vAlign w:val="top"/>
          </w:tcPr>
          <w:p w14:paraId="505413AB">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p>
          <w:p w14:paraId="22F94D0E">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sz w:val="32"/>
                <w:szCs w:val="32"/>
              </w:rPr>
            </w:pPr>
          </w:p>
          <w:p w14:paraId="75026706">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报价文件（正本/副本）</w:t>
            </w:r>
          </w:p>
          <w:p w14:paraId="2C3D851D">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 xml:space="preserve">项目编号：      </w:t>
            </w:r>
          </w:p>
          <w:p w14:paraId="1A171DFB">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项目名称：</w:t>
            </w:r>
          </w:p>
          <w:p w14:paraId="2A693BA7">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投标人名称（公章）：</w:t>
            </w:r>
          </w:p>
          <w:p w14:paraId="6235B1EE">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地址：</w:t>
            </w:r>
          </w:p>
          <w:p w14:paraId="77837E4C">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电话：</w:t>
            </w:r>
          </w:p>
          <w:p w14:paraId="0929D7CF">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bCs w:val="0"/>
                <w:sz w:val="32"/>
                <w:szCs w:val="32"/>
                <w:lang w:val="en-US" w:eastAsia="zh-CN"/>
              </w:rPr>
              <w:t>传真：</w:t>
            </w:r>
          </w:p>
        </w:tc>
      </w:tr>
    </w:tbl>
    <w:p w14:paraId="56D7E124">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p w14:paraId="102BA737">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6BD2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5212D25A">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时之前不准启封（公章）………</w:t>
            </w:r>
          </w:p>
        </w:tc>
      </w:tr>
    </w:tbl>
    <w:p w14:paraId="3B191F9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sz w:val="32"/>
          <w:szCs w:val="32"/>
        </w:rPr>
      </w:pPr>
    </w:p>
    <w:sectPr>
      <w:headerReference r:id="rId11" w:type="first"/>
      <w:headerReference r:id="rId10" w:type="default"/>
      <w:footerReference r:id="rId12" w:type="default"/>
      <w:footerReference r:id="rId13" w:type="even"/>
      <w:pgSz w:w="11907" w:h="16840"/>
      <w:pgMar w:top="141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881A15-B174-4064-BB58-D5D27DDCD7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740BA8A0-938B-4276-ADC0-1B0B1FA3CC69}"/>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786B68B0-22B4-409E-9020-538C8D23301A}"/>
  </w:font>
  <w:font w:name="仿宋_GB2312">
    <w:panose1 w:val="02010609030101010101"/>
    <w:charset w:val="86"/>
    <w:family w:val="modern"/>
    <w:pitch w:val="default"/>
    <w:sig w:usb0="00000001" w:usb1="080E0000" w:usb2="00000000" w:usb3="00000000" w:csb0="00040000" w:csb1="00000000"/>
    <w:embedRegular r:id="rId4" w:fontKey="{7D8F5101-8474-46C1-A84E-8730108FDAED}"/>
  </w:font>
  <w:font w:name="方正仿宋_GB2312">
    <w:panose1 w:val="02000000000000000000"/>
    <w:charset w:val="86"/>
    <w:family w:val="auto"/>
    <w:pitch w:val="default"/>
    <w:sig w:usb0="A00002BF" w:usb1="184F6CFA" w:usb2="00000012" w:usb3="00000000" w:csb0="00040001" w:csb1="00000000"/>
    <w:embedRegular r:id="rId5" w:fontKey="{E187995C-691D-4F22-BEFE-C3D1EC77B3BE}"/>
  </w:font>
  <w:font w:name="华文仿宋">
    <w:panose1 w:val="02010600040101010101"/>
    <w:charset w:val="86"/>
    <w:family w:val="auto"/>
    <w:pitch w:val="default"/>
    <w:sig w:usb0="00000287" w:usb1="080F0000" w:usb2="00000000" w:usb3="00000000" w:csb0="0004009F" w:csb1="DFD70000"/>
    <w:embedRegular r:id="rId6" w:fontKey="{54B12DA6-8A61-4A98-ADAD-41346D8C219E}"/>
  </w:font>
  <w:font w:name="方正公文黑体">
    <w:panose1 w:val="02000500000000000000"/>
    <w:charset w:val="86"/>
    <w:family w:val="auto"/>
    <w:pitch w:val="default"/>
    <w:sig w:usb0="A00002BF" w:usb1="38CF7CFA" w:usb2="00000016" w:usb3="00000000" w:csb0="00040001" w:csb1="00000000"/>
    <w:embedRegular r:id="rId7" w:fontKey="{19124EC6-7B9D-4CC5-90E7-E82095FC7B1C}"/>
  </w:font>
  <w:font w:name="WPSEMBED5">
    <w:panose1 w:val="02010609030101010101"/>
    <w:charset w:val="86"/>
    <w:family w:val="auto"/>
    <w:pitch w:val="default"/>
    <w:sig w:usb0="00000001" w:usb1="080E0000" w:usb2="00000000" w:usb3="00000000" w:csb0="00040000" w:csb1="00000000"/>
  </w:font>
  <w:font w:name="WPSEMBED6">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8526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00BF4">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4000BF4">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775F070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D61C">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84ABE">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19184ABE">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CE7E">
    <w:pPr>
      <w:spacing w:line="14" w:lineRule="auto"/>
      <w:rPr>
        <w:sz w:val="20"/>
        <w:szCs w:val="20"/>
      </w:rPr>
    </w:pPr>
    <w:r>
      <mc:AlternateContent>
        <mc:Choice Requires="wps">
          <w:drawing>
            <wp:anchor distT="0" distB="0" distL="114300" distR="114300" simplePos="0" relativeHeight="251666432" behindDoc="1" locked="0" layoutInCell="1" allowOverlap="1">
              <wp:simplePos x="0" y="0"/>
              <wp:positionH relativeFrom="page">
                <wp:posOffset>3681095</wp:posOffset>
              </wp:positionH>
              <wp:positionV relativeFrom="page">
                <wp:posOffset>10137140</wp:posOffset>
              </wp:positionV>
              <wp:extent cx="42672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26720" cy="139700"/>
                      </a:xfrm>
                      <a:prstGeom prst="rect">
                        <a:avLst/>
                      </a:prstGeom>
                      <a:noFill/>
                      <a:ln>
                        <a:noFill/>
                      </a:ln>
                    </wps:spPr>
                    <wps:txbx>
                      <w:txbxContent>
                        <w:p w14:paraId="44635EC5">
                          <w:pPr>
                            <w:spacing w:line="204" w:lineRule="exact"/>
                            <w:ind w:left="20"/>
                            <w:jc w:val="left"/>
                            <w:rPr>
                              <w:rFonts w:ascii="Times New Roman" w:eastAsia="Times New Roman"/>
                              <w:sz w:val="18"/>
                              <w:szCs w:val="18"/>
                            </w:rPr>
                          </w:pPr>
                          <w:r>
                            <w:rPr>
                              <w:rFonts w:ascii="Times New Roman" w:eastAsia="Times New Roman"/>
                              <w:sz w:val="18"/>
                              <w:szCs w:val="18"/>
                            </w:rPr>
                            <w:t xml:space="preserve">— </w:t>
                          </w:r>
                          <w:r>
                            <w:fldChar w:fldCharType="begin"/>
                          </w:r>
                          <w:r>
                            <w:rPr>
                              <w:rFonts w:ascii="Times New Roman" w:eastAsia="Times New Roman"/>
                              <w:sz w:val="18"/>
                              <w:szCs w:val="18"/>
                            </w:rPr>
                            <w:instrText xml:space="preserve"> PAGE </w:instrText>
                          </w:r>
                          <w:r>
                            <w:fldChar w:fldCharType="separate"/>
                          </w:r>
                          <w:r>
                            <w:rPr>
                              <w:rFonts w:ascii="Times New Roman" w:eastAsia="Times New Roman"/>
                              <w:sz w:val="18"/>
                              <w:szCs w:val="18"/>
                            </w:rPr>
                            <w:t>47</w:t>
                          </w:r>
                          <w:r>
                            <w:fldChar w:fldCharType="end"/>
                          </w:r>
                          <w:r>
                            <w:rPr>
                              <w:rFonts w:ascii="Times New Roman" w:eastAsia="Times New Roman"/>
                              <w:spacing w:val="-1"/>
                              <w:sz w:val="18"/>
                              <w:szCs w:val="18"/>
                            </w:rPr>
                            <w:t xml:space="preserve"> </w:t>
                          </w:r>
                          <w:r>
                            <w:rPr>
                              <w:rFonts w:ascii="Times New Roman" w:eastAsia="Times New Roman"/>
                              <w:sz w:val="18"/>
                              <w:szCs w:val="18"/>
                            </w:rPr>
                            <w:t>—</w:t>
                          </w:r>
                        </w:p>
                      </w:txbxContent>
                    </wps:txbx>
                    <wps:bodyPr lIns="0" tIns="0" rIns="0" bIns="0" upright="1"/>
                  </wps:wsp>
                </a:graphicData>
              </a:graphic>
            </wp:anchor>
          </w:drawing>
        </mc:Choice>
        <mc:Fallback>
          <w:pict>
            <v:shape id="_x0000_s1026" o:spid="_x0000_s1026" o:spt="202" type="#_x0000_t202" style="position:absolute;left:0pt;margin-left:289.85pt;margin-top:798.2pt;height:11pt;width:33.6pt;mso-position-horizontal-relative:page;mso-position-vertical-relative:page;z-index:-251650048;mso-width-relative:page;mso-height-relative:page;" filled="f" stroked="f" coordsize="21600,21600" o:gfxdata="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prdc2wAAAA0BAAAPAAAAAAAAAAEAIAAAACIAAABkcnMvZG93bnJldi54bWxQ&#10;SwECFAAUAAAACACHTuJAgaDqersBAABxAwAADgAAAAAAAAABACAAAAAqAQAAZHJzL2Uyb0RvYy54&#10;bWxQSwUGAAAAAAYABgBZAQAAVwUAAAAA&#10;">
              <v:fill on="f" focussize="0,0"/>
              <v:stroke on="f"/>
              <v:imagedata o:title=""/>
              <o:lock v:ext="edit" aspectratio="f"/>
              <v:textbox inset="0mm,0mm,0mm,0mm">
                <w:txbxContent>
                  <w:p w14:paraId="44635EC5">
                    <w:pPr>
                      <w:spacing w:line="204" w:lineRule="exact"/>
                      <w:ind w:left="20"/>
                      <w:jc w:val="left"/>
                      <w:rPr>
                        <w:rFonts w:ascii="Times New Roman" w:eastAsia="Times New Roman"/>
                        <w:sz w:val="18"/>
                        <w:szCs w:val="18"/>
                      </w:rPr>
                    </w:pPr>
                    <w:r>
                      <w:rPr>
                        <w:rFonts w:ascii="Times New Roman" w:eastAsia="Times New Roman"/>
                        <w:sz w:val="18"/>
                        <w:szCs w:val="18"/>
                      </w:rPr>
                      <w:t xml:space="preserve">— </w:t>
                    </w:r>
                    <w:r>
                      <w:fldChar w:fldCharType="begin"/>
                    </w:r>
                    <w:r>
                      <w:rPr>
                        <w:rFonts w:ascii="Times New Roman" w:eastAsia="Times New Roman"/>
                        <w:sz w:val="18"/>
                        <w:szCs w:val="18"/>
                      </w:rPr>
                      <w:instrText xml:space="preserve"> PAGE </w:instrText>
                    </w:r>
                    <w:r>
                      <w:fldChar w:fldCharType="separate"/>
                    </w:r>
                    <w:r>
                      <w:rPr>
                        <w:rFonts w:ascii="Times New Roman" w:eastAsia="Times New Roman"/>
                        <w:sz w:val="18"/>
                        <w:szCs w:val="18"/>
                      </w:rPr>
                      <w:t>47</w:t>
                    </w:r>
                    <w:r>
                      <w:fldChar w:fldCharType="end"/>
                    </w:r>
                    <w:r>
                      <w:rPr>
                        <w:rFonts w:ascii="Times New Roman" w:eastAsia="Times New Roman"/>
                        <w:spacing w:val="-1"/>
                        <w:sz w:val="18"/>
                        <w:szCs w:val="18"/>
                      </w:rPr>
                      <w:t xml:space="preserve"> </w:t>
                    </w:r>
                    <w:r>
                      <w:rPr>
                        <w:rFonts w:ascii="Times New Roman" w:eastAsia="Times New Roman"/>
                        <w:sz w:val="18"/>
                        <w:szCs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40A7">
    <w:pPr>
      <w:pStyle w:val="11"/>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F3053">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BF3053">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F14F">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017A8A7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4C1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2494">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0FC4">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3CF5">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BA82">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C0D1">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616CA5B2"/>
    <w:multiLevelType w:val="singleLevel"/>
    <w:tmpl w:val="616CA5B2"/>
    <w:lvl w:ilvl="0" w:tentative="0">
      <w:start w:val="2"/>
      <w:numFmt w:val="chineseCounting"/>
      <w:suff w:val="nothing"/>
      <w:lvlText w:val="%1、"/>
      <w:lvlJc w:val="left"/>
      <w:rPr>
        <w:rFonts w:hint="eastAsia"/>
      </w:rPr>
    </w:lvl>
  </w:abstractNum>
  <w:abstractNum w:abstractNumId="3">
    <w:nsid w:val="76262143"/>
    <w:multiLevelType w:val="singleLevel"/>
    <w:tmpl w:val="76262143"/>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4631B8"/>
    <w:rsid w:val="00B701B7"/>
    <w:rsid w:val="00E84DEC"/>
    <w:rsid w:val="00E865C2"/>
    <w:rsid w:val="010E4F6E"/>
    <w:rsid w:val="01237824"/>
    <w:rsid w:val="013712F7"/>
    <w:rsid w:val="013C246A"/>
    <w:rsid w:val="01535BBA"/>
    <w:rsid w:val="016F7099"/>
    <w:rsid w:val="01AF3A4F"/>
    <w:rsid w:val="01C27B77"/>
    <w:rsid w:val="01E0373D"/>
    <w:rsid w:val="02353AA1"/>
    <w:rsid w:val="02451033"/>
    <w:rsid w:val="026F7BA0"/>
    <w:rsid w:val="028C62E2"/>
    <w:rsid w:val="02900CBF"/>
    <w:rsid w:val="02EC2996"/>
    <w:rsid w:val="02FE5FA0"/>
    <w:rsid w:val="03215DBB"/>
    <w:rsid w:val="032D52B1"/>
    <w:rsid w:val="03B92498"/>
    <w:rsid w:val="03C03826"/>
    <w:rsid w:val="03E1761F"/>
    <w:rsid w:val="04210BBD"/>
    <w:rsid w:val="043A0EC2"/>
    <w:rsid w:val="047379C1"/>
    <w:rsid w:val="04BD1B14"/>
    <w:rsid w:val="04C21C5A"/>
    <w:rsid w:val="0521245C"/>
    <w:rsid w:val="0524197F"/>
    <w:rsid w:val="053862BE"/>
    <w:rsid w:val="0539563E"/>
    <w:rsid w:val="0569541C"/>
    <w:rsid w:val="05B464F6"/>
    <w:rsid w:val="06220A34"/>
    <w:rsid w:val="063B0A20"/>
    <w:rsid w:val="063D115E"/>
    <w:rsid w:val="063D7F45"/>
    <w:rsid w:val="065024B8"/>
    <w:rsid w:val="06515A71"/>
    <w:rsid w:val="06722A47"/>
    <w:rsid w:val="069D2831"/>
    <w:rsid w:val="06B362BB"/>
    <w:rsid w:val="06CC1424"/>
    <w:rsid w:val="06E03B70"/>
    <w:rsid w:val="06E67100"/>
    <w:rsid w:val="0728652F"/>
    <w:rsid w:val="07586296"/>
    <w:rsid w:val="076013B7"/>
    <w:rsid w:val="07604FC7"/>
    <w:rsid w:val="07854B6B"/>
    <w:rsid w:val="07943000"/>
    <w:rsid w:val="07DB47E0"/>
    <w:rsid w:val="07E50B51"/>
    <w:rsid w:val="08087F7A"/>
    <w:rsid w:val="084F19EE"/>
    <w:rsid w:val="08A74A42"/>
    <w:rsid w:val="08DA0EE6"/>
    <w:rsid w:val="09542027"/>
    <w:rsid w:val="09A432A2"/>
    <w:rsid w:val="09BC4A90"/>
    <w:rsid w:val="09BE64C0"/>
    <w:rsid w:val="09FB55B8"/>
    <w:rsid w:val="0A037FC9"/>
    <w:rsid w:val="0A3F0100"/>
    <w:rsid w:val="0A5753DD"/>
    <w:rsid w:val="0AD55E09"/>
    <w:rsid w:val="0B04224A"/>
    <w:rsid w:val="0B16263E"/>
    <w:rsid w:val="0B8B2FBA"/>
    <w:rsid w:val="0B9B2EA1"/>
    <w:rsid w:val="0BA60CCD"/>
    <w:rsid w:val="0BDA3067"/>
    <w:rsid w:val="0BED6A7B"/>
    <w:rsid w:val="0C043A20"/>
    <w:rsid w:val="0C061FF2"/>
    <w:rsid w:val="0C6C07D5"/>
    <w:rsid w:val="0C8353F1"/>
    <w:rsid w:val="0CA5180B"/>
    <w:rsid w:val="0CB02DAF"/>
    <w:rsid w:val="0CB63A18"/>
    <w:rsid w:val="0CC31C91"/>
    <w:rsid w:val="0CD143AE"/>
    <w:rsid w:val="0CF74AB8"/>
    <w:rsid w:val="0D005C6E"/>
    <w:rsid w:val="0D176AB1"/>
    <w:rsid w:val="0D181FDD"/>
    <w:rsid w:val="0D3D1A44"/>
    <w:rsid w:val="0D5648B3"/>
    <w:rsid w:val="0D5D3E94"/>
    <w:rsid w:val="0D761459"/>
    <w:rsid w:val="0D766D04"/>
    <w:rsid w:val="0E3177FA"/>
    <w:rsid w:val="0E4137B5"/>
    <w:rsid w:val="0E77685D"/>
    <w:rsid w:val="0E812BF3"/>
    <w:rsid w:val="0E9733D5"/>
    <w:rsid w:val="0EB06E60"/>
    <w:rsid w:val="0EB10E23"/>
    <w:rsid w:val="0EDF7256"/>
    <w:rsid w:val="0EF07055"/>
    <w:rsid w:val="0EFB1BB6"/>
    <w:rsid w:val="0F317386"/>
    <w:rsid w:val="0F3E3561"/>
    <w:rsid w:val="0F5574D8"/>
    <w:rsid w:val="0F6C64AC"/>
    <w:rsid w:val="0FA1275E"/>
    <w:rsid w:val="0FB76D11"/>
    <w:rsid w:val="0FDC6720"/>
    <w:rsid w:val="0FE16FFE"/>
    <w:rsid w:val="10017FB3"/>
    <w:rsid w:val="10090BD7"/>
    <w:rsid w:val="1088396D"/>
    <w:rsid w:val="111700D2"/>
    <w:rsid w:val="117D2D56"/>
    <w:rsid w:val="11B83D8F"/>
    <w:rsid w:val="11D67F1C"/>
    <w:rsid w:val="123A29F6"/>
    <w:rsid w:val="123E35CF"/>
    <w:rsid w:val="12490E8B"/>
    <w:rsid w:val="12DE7825"/>
    <w:rsid w:val="12E070F9"/>
    <w:rsid w:val="12E30817"/>
    <w:rsid w:val="131821D8"/>
    <w:rsid w:val="132A2348"/>
    <w:rsid w:val="13347445"/>
    <w:rsid w:val="133C34EE"/>
    <w:rsid w:val="133F619B"/>
    <w:rsid w:val="138F79D2"/>
    <w:rsid w:val="13A520F1"/>
    <w:rsid w:val="13E56991"/>
    <w:rsid w:val="13EC5CCF"/>
    <w:rsid w:val="145C05DA"/>
    <w:rsid w:val="147A2925"/>
    <w:rsid w:val="148166BA"/>
    <w:rsid w:val="14B940A6"/>
    <w:rsid w:val="150572EB"/>
    <w:rsid w:val="15945E81"/>
    <w:rsid w:val="15CA407F"/>
    <w:rsid w:val="15DF7B3C"/>
    <w:rsid w:val="15FD2BBA"/>
    <w:rsid w:val="16697B62"/>
    <w:rsid w:val="16900E36"/>
    <w:rsid w:val="169528F0"/>
    <w:rsid w:val="16C11193"/>
    <w:rsid w:val="16D96054"/>
    <w:rsid w:val="16DD56D3"/>
    <w:rsid w:val="17127A9D"/>
    <w:rsid w:val="17141B46"/>
    <w:rsid w:val="17365147"/>
    <w:rsid w:val="17417AEF"/>
    <w:rsid w:val="17617B9E"/>
    <w:rsid w:val="17FF44C5"/>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ADC6D40"/>
    <w:rsid w:val="1B00215C"/>
    <w:rsid w:val="1B3501FE"/>
    <w:rsid w:val="1B46065D"/>
    <w:rsid w:val="1BA50EE0"/>
    <w:rsid w:val="1BAB583C"/>
    <w:rsid w:val="1BDD4B1E"/>
    <w:rsid w:val="1C146065"/>
    <w:rsid w:val="1C4F473E"/>
    <w:rsid w:val="1C683AB4"/>
    <w:rsid w:val="1CF218F5"/>
    <w:rsid w:val="1CFA6CD7"/>
    <w:rsid w:val="1D3C1D18"/>
    <w:rsid w:val="1D48305E"/>
    <w:rsid w:val="1D726A12"/>
    <w:rsid w:val="1DA000C0"/>
    <w:rsid w:val="1DE91A1B"/>
    <w:rsid w:val="1DF50EBD"/>
    <w:rsid w:val="1E122A78"/>
    <w:rsid w:val="1E6908EA"/>
    <w:rsid w:val="1E7554E1"/>
    <w:rsid w:val="1E7A7A86"/>
    <w:rsid w:val="1E804B75"/>
    <w:rsid w:val="1ED0096A"/>
    <w:rsid w:val="1ED57D2E"/>
    <w:rsid w:val="1EF62324"/>
    <w:rsid w:val="1F0C2595"/>
    <w:rsid w:val="1F2E743E"/>
    <w:rsid w:val="1F3B76DF"/>
    <w:rsid w:val="1F680BA2"/>
    <w:rsid w:val="1F765554"/>
    <w:rsid w:val="1F884CCF"/>
    <w:rsid w:val="1F901D74"/>
    <w:rsid w:val="1F9F033C"/>
    <w:rsid w:val="1FDA1374"/>
    <w:rsid w:val="200F7270"/>
    <w:rsid w:val="20350AB8"/>
    <w:rsid w:val="209634ED"/>
    <w:rsid w:val="20987265"/>
    <w:rsid w:val="209B0A84"/>
    <w:rsid w:val="20C0056A"/>
    <w:rsid w:val="210D14B1"/>
    <w:rsid w:val="21110DC5"/>
    <w:rsid w:val="219F2875"/>
    <w:rsid w:val="21DB2A55"/>
    <w:rsid w:val="21E87D78"/>
    <w:rsid w:val="225E0B1F"/>
    <w:rsid w:val="22AD2D70"/>
    <w:rsid w:val="22B366F6"/>
    <w:rsid w:val="22B660C8"/>
    <w:rsid w:val="22BA533A"/>
    <w:rsid w:val="23005595"/>
    <w:rsid w:val="232E330C"/>
    <w:rsid w:val="2330729E"/>
    <w:rsid w:val="233139A1"/>
    <w:rsid w:val="23E06861"/>
    <w:rsid w:val="23FE7B1E"/>
    <w:rsid w:val="240A1C42"/>
    <w:rsid w:val="2412563B"/>
    <w:rsid w:val="242D3973"/>
    <w:rsid w:val="24963C3A"/>
    <w:rsid w:val="25903244"/>
    <w:rsid w:val="25C94365"/>
    <w:rsid w:val="25CD79B1"/>
    <w:rsid w:val="25E94257"/>
    <w:rsid w:val="25F5597A"/>
    <w:rsid w:val="263E440B"/>
    <w:rsid w:val="269A09F7"/>
    <w:rsid w:val="27433CA3"/>
    <w:rsid w:val="2750262D"/>
    <w:rsid w:val="278136ED"/>
    <w:rsid w:val="279B0C50"/>
    <w:rsid w:val="27A75FE0"/>
    <w:rsid w:val="28B3769A"/>
    <w:rsid w:val="290F795D"/>
    <w:rsid w:val="293E40BA"/>
    <w:rsid w:val="29B32E18"/>
    <w:rsid w:val="29CD6601"/>
    <w:rsid w:val="29E9585C"/>
    <w:rsid w:val="2A222295"/>
    <w:rsid w:val="2A307B20"/>
    <w:rsid w:val="2A566664"/>
    <w:rsid w:val="2A701253"/>
    <w:rsid w:val="2A8274CB"/>
    <w:rsid w:val="2A8D3BB3"/>
    <w:rsid w:val="2AAF03D5"/>
    <w:rsid w:val="2AAF212E"/>
    <w:rsid w:val="2ADF07C0"/>
    <w:rsid w:val="2AF1729B"/>
    <w:rsid w:val="2B894753"/>
    <w:rsid w:val="2BD10AFE"/>
    <w:rsid w:val="2BEC2B5B"/>
    <w:rsid w:val="2BFC4470"/>
    <w:rsid w:val="2C301C6E"/>
    <w:rsid w:val="2C9454FE"/>
    <w:rsid w:val="2C9A25B7"/>
    <w:rsid w:val="2CB238EE"/>
    <w:rsid w:val="2CBC077F"/>
    <w:rsid w:val="2CD94552"/>
    <w:rsid w:val="2D2500D2"/>
    <w:rsid w:val="2D71156A"/>
    <w:rsid w:val="2D947006"/>
    <w:rsid w:val="2DD732E8"/>
    <w:rsid w:val="2DEF248E"/>
    <w:rsid w:val="2E1E55CD"/>
    <w:rsid w:val="2E3A65F9"/>
    <w:rsid w:val="2E432355"/>
    <w:rsid w:val="2E6800CC"/>
    <w:rsid w:val="2E9B79E3"/>
    <w:rsid w:val="2EB455B4"/>
    <w:rsid w:val="2EC2726F"/>
    <w:rsid w:val="2ED40002"/>
    <w:rsid w:val="2EDF7111"/>
    <w:rsid w:val="2EFA733D"/>
    <w:rsid w:val="2F283F03"/>
    <w:rsid w:val="2F487110"/>
    <w:rsid w:val="2F544C9F"/>
    <w:rsid w:val="2F7470EF"/>
    <w:rsid w:val="2FED7D34"/>
    <w:rsid w:val="302E54F0"/>
    <w:rsid w:val="30393E95"/>
    <w:rsid w:val="3058256D"/>
    <w:rsid w:val="30A92DC8"/>
    <w:rsid w:val="31D9148B"/>
    <w:rsid w:val="31EA4EA1"/>
    <w:rsid w:val="327F7178"/>
    <w:rsid w:val="32986C49"/>
    <w:rsid w:val="32A2020C"/>
    <w:rsid w:val="32A7158A"/>
    <w:rsid w:val="32F02F31"/>
    <w:rsid w:val="32F72DCA"/>
    <w:rsid w:val="33423678"/>
    <w:rsid w:val="33644F60"/>
    <w:rsid w:val="33C148CD"/>
    <w:rsid w:val="33EE0701"/>
    <w:rsid w:val="33FB7DDF"/>
    <w:rsid w:val="33FF6CF8"/>
    <w:rsid w:val="340C5B48"/>
    <w:rsid w:val="344828F8"/>
    <w:rsid w:val="344C23E9"/>
    <w:rsid w:val="3451508A"/>
    <w:rsid w:val="34520673"/>
    <w:rsid w:val="34E44900"/>
    <w:rsid w:val="3520723E"/>
    <w:rsid w:val="352674A6"/>
    <w:rsid w:val="35487054"/>
    <w:rsid w:val="357648ED"/>
    <w:rsid w:val="3579427A"/>
    <w:rsid w:val="359009FB"/>
    <w:rsid w:val="359B6AF0"/>
    <w:rsid w:val="35B74975"/>
    <w:rsid w:val="35CA7988"/>
    <w:rsid w:val="35E52AF5"/>
    <w:rsid w:val="36591B2F"/>
    <w:rsid w:val="36BC3C47"/>
    <w:rsid w:val="36C42F0E"/>
    <w:rsid w:val="36D22A64"/>
    <w:rsid w:val="36D641EB"/>
    <w:rsid w:val="36DC2DE1"/>
    <w:rsid w:val="3711707E"/>
    <w:rsid w:val="3744468D"/>
    <w:rsid w:val="3756150A"/>
    <w:rsid w:val="37E56DDC"/>
    <w:rsid w:val="37F214F9"/>
    <w:rsid w:val="37FA5416"/>
    <w:rsid w:val="38B13162"/>
    <w:rsid w:val="38C369F1"/>
    <w:rsid w:val="39066A92"/>
    <w:rsid w:val="391D15F5"/>
    <w:rsid w:val="39475874"/>
    <w:rsid w:val="395E36CB"/>
    <w:rsid w:val="3A17127E"/>
    <w:rsid w:val="3A5F655A"/>
    <w:rsid w:val="3A7B57D6"/>
    <w:rsid w:val="3AB72586"/>
    <w:rsid w:val="3B141786"/>
    <w:rsid w:val="3B153CF8"/>
    <w:rsid w:val="3B3616FD"/>
    <w:rsid w:val="3B7D32FB"/>
    <w:rsid w:val="3B8561E0"/>
    <w:rsid w:val="3B9D352A"/>
    <w:rsid w:val="3BCC411D"/>
    <w:rsid w:val="3C137C90"/>
    <w:rsid w:val="3C1C4D96"/>
    <w:rsid w:val="3C487AB6"/>
    <w:rsid w:val="3C577B7C"/>
    <w:rsid w:val="3C6D183D"/>
    <w:rsid w:val="3CBE61C5"/>
    <w:rsid w:val="3CD15B81"/>
    <w:rsid w:val="3CE112D9"/>
    <w:rsid w:val="3D1912D6"/>
    <w:rsid w:val="3D793B23"/>
    <w:rsid w:val="3D7959A4"/>
    <w:rsid w:val="3DBF1E7D"/>
    <w:rsid w:val="3DDC1999"/>
    <w:rsid w:val="3E6B3412"/>
    <w:rsid w:val="3E976956"/>
    <w:rsid w:val="3ED92ACB"/>
    <w:rsid w:val="3EE85404"/>
    <w:rsid w:val="3EF721D5"/>
    <w:rsid w:val="3EFA354B"/>
    <w:rsid w:val="3F56236D"/>
    <w:rsid w:val="3F7A2D95"/>
    <w:rsid w:val="3F8841F5"/>
    <w:rsid w:val="3FAA26B9"/>
    <w:rsid w:val="3FCC0881"/>
    <w:rsid w:val="408D71EA"/>
    <w:rsid w:val="40F25411"/>
    <w:rsid w:val="40F7192E"/>
    <w:rsid w:val="413E57AF"/>
    <w:rsid w:val="41586871"/>
    <w:rsid w:val="419D4069"/>
    <w:rsid w:val="41A97E1E"/>
    <w:rsid w:val="41E12803"/>
    <w:rsid w:val="42294664"/>
    <w:rsid w:val="423774BD"/>
    <w:rsid w:val="42462B6D"/>
    <w:rsid w:val="424654AB"/>
    <w:rsid w:val="42884210"/>
    <w:rsid w:val="428B4A24"/>
    <w:rsid w:val="429D17C3"/>
    <w:rsid w:val="42B40F7C"/>
    <w:rsid w:val="42F779C3"/>
    <w:rsid w:val="4319409E"/>
    <w:rsid w:val="43291B47"/>
    <w:rsid w:val="43344A35"/>
    <w:rsid w:val="438C45B0"/>
    <w:rsid w:val="43AB0A6B"/>
    <w:rsid w:val="43C81360"/>
    <w:rsid w:val="448B0D0B"/>
    <w:rsid w:val="44A75DBA"/>
    <w:rsid w:val="44E64193"/>
    <w:rsid w:val="451F3201"/>
    <w:rsid w:val="45394A3E"/>
    <w:rsid w:val="458012DF"/>
    <w:rsid w:val="45856265"/>
    <w:rsid w:val="459B4F7E"/>
    <w:rsid w:val="45C049E4"/>
    <w:rsid w:val="45CC15DB"/>
    <w:rsid w:val="45FA6FCC"/>
    <w:rsid w:val="45FF375F"/>
    <w:rsid w:val="4642189D"/>
    <w:rsid w:val="46833C2E"/>
    <w:rsid w:val="4689127A"/>
    <w:rsid w:val="46AB11F1"/>
    <w:rsid w:val="46F506BE"/>
    <w:rsid w:val="4743722B"/>
    <w:rsid w:val="475C073D"/>
    <w:rsid w:val="48304052"/>
    <w:rsid w:val="483616A5"/>
    <w:rsid w:val="485458B8"/>
    <w:rsid w:val="485C6F76"/>
    <w:rsid w:val="486453C9"/>
    <w:rsid w:val="488F68F0"/>
    <w:rsid w:val="4891774B"/>
    <w:rsid w:val="48A50E28"/>
    <w:rsid w:val="48C26CC5"/>
    <w:rsid w:val="48F65CAE"/>
    <w:rsid w:val="490966A2"/>
    <w:rsid w:val="49234F3A"/>
    <w:rsid w:val="494E0559"/>
    <w:rsid w:val="49935F6C"/>
    <w:rsid w:val="49C600F0"/>
    <w:rsid w:val="49EC224C"/>
    <w:rsid w:val="4A116552"/>
    <w:rsid w:val="4A1365B8"/>
    <w:rsid w:val="4A2F2139"/>
    <w:rsid w:val="4A6D6C6D"/>
    <w:rsid w:val="4B1878F5"/>
    <w:rsid w:val="4B4C383A"/>
    <w:rsid w:val="4B670273"/>
    <w:rsid w:val="4B746C0F"/>
    <w:rsid w:val="4B95246F"/>
    <w:rsid w:val="4C51283A"/>
    <w:rsid w:val="4C581661"/>
    <w:rsid w:val="4C5E6D05"/>
    <w:rsid w:val="4C7F417C"/>
    <w:rsid w:val="4C875185"/>
    <w:rsid w:val="4C8F03ED"/>
    <w:rsid w:val="4C993E74"/>
    <w:rsid w:val="4D1607C8"/>
    <w:rsid w:val="4D161DBB"/>
    <w:rsid w:val="4D2C295F"/>
    <w:rsid w:val="4D3A32CE"/>
    <w:rsid w:val="4D7E7712"/>
    <w:rsid w:val="4D942C25"/>
    <w:rsid w:val="4DA91E14"/>
    <w:rsid w:val="4DC82688"/>
    <w:rsid w:val="4E0B430A"/>
    <w:rsid w:val="4E20644E"/>
    <w:rsid w:val="4E2530BA"/>
    <w:rsid w:val="4E310DA3"/>
    <w:rsid w:val="4E323FA5"/>
    <w:rsid w:val="4E876790"/>
    <w:rsid w:val="4EB1309C"/>
    <w:rsid w:val="4EFF657E"/>
    <w:rsid w:val="4F0C71D9"/>
    <w:rsid w:val="4F2B26E0"/>
    <w:rsid w:val="4F7640F5"/>
    <w:rsid w:val="4F9A44F8"/>
    <w:rsid w:val="4F9E0374"/>
    <w:rsid w:val="4F9E7FF4"/>
    <w:rsid w:val="4FB93147"/>
    <w:rsid w:val="4FCD4A8E"/>
    <w:rsid w:val="503462A6"/>
    <w:rsid w:val="50680152"/>
    <w:rsid w:val="507871BF"/>
    <w:rsid w:val="50B96C00"/>
    <w:rsid w:val="511E6A63"/>
    <w:rsid w:val="51313675"/>
    <w:rsid w:val="51501312"/>
    <w:rsid w:val="516079D1"/>
    <w:rsid w:val="516B7B44"/>
    <w:rsid w:val="519D255B"/>
    <w:rsid w:val="51AD17B8"/>
    <w:rsid w:val="52131FB2"/>
    <w:rsid w:val="524644C3"/>
    <w:rsid w:val="527A5F1B"/>
    <w:rsid w:val="529F7C3F"/>
    <w:rsid w:val="52A1781D"/>
    <w:rsid w:val="52E21FCD"/>
    <w:rsid w:val="53852DC9"/>
    <w:rsid w:val="53AB07B8"/>
    <w:rsid w:val="53D1600F"/>
    <w:rsid w:val="53FC752F"/>
    <w:rsid w:val="54065CB8"/>
    <w:rsid w:val="54215997"/>
    <w:rsid w:val="544F44F7"/>
    <w:rsid w:val="545253A1"/>
    <w:rsid w:val="54640C31"/>
    <w:rsid w:val="547B6AD0"/>
    <w:rsid w:val="54E57FC4"/>
    <w:rsid w:val="54F77CF7"/>
    <w:rsid w:val="551C1A85"/>
    <w:rsid w:val="555313D1"/>
    <w:rsid w:val="5587107B"/>
    <w:rsid w:val="55AB5C7A"/>
    <w:rsid w:val="55C7591B"/>
    <w:rsid w:val="55CE0A58"/>
    <w:rsid w:val="55D4285A"/>
    <w:rsid w:val="5616066A"/>
    <w:rsid w:val="564D6793"/>
    <w:rsid w:val="5693162D"/>
    <w:rsid w:val="56D45B12"/>
    <w:rsid w:val="56FC793A"/>
    <w:rsid w:val="57236B81"/>
    <w:rsid w:val="5774110B"/>
    <w:rsid w:val="578426A3"/>
    <w:rsid w:val="5788664E"/>
    <w:rsid w:val="57E24C8E"/>
    <w:rsid w:val="582C6358"/>
    <w:rsid w:val="583D0E0B"/>
    <w:rsid w:val="585D494D"/>
    <w:rsid w:val="586B6A32"/>
    <w:rsid w:val="58CB5722"/>
    <w:rsid w:val="58EC5B9C"/>
    <w:rsid w:val="590757B1"/>
    <w:rsid w:val="59581206"/>
    <w:rsid w:val="59BD32BD"/>
    <w:rsid w:val="59DC36CB"/>
    <w:rsid w:val="5A8838A1"/>
    <w:rsid w:val="5AA82EA1"/>
    <w:rsid w:val="5AC91B3E"/>
    <w:rsid w:val="5AE34010"/>
    <w:rsid w:val="5AE57128"/>
    <w:rsid w:val="5B2F6A01"/>
    <w:rsid w:val="5BDF731D"/>
    <w:rsid w:val="5C421DD1"/>
    <w:rsid w:val="5C4E58CF"/>
    <w:rsid w:val="5C78796F"/>
    <w:rsid w:val="5CF6176C"/>
    <w:rsid w:val="5D351CF6"/>
    <w:rsid w:val="5D4F6922"/>
    <w:rsid w:val="5D5E2637"/>
    <w:rsid w:val="5D6109F5"/>
    <w:rsid w:val="5DB03139"/>
    <w:rsid w:val="5DE278B7"/>
    <w:rsid w:val="5E2F405E"/>
    <w:rsid w:val="5E40270F"/>
    <w:rsid w:val="5E82108D"/>
    <w:rsid w:val="5E824AD5"/>
    <w:rsid w:val="5E895E64"/>
    <w:rsid w:val="5E9C71C5"/>
    <w:rsid w:val="5F034C6F"/>
    <w:rsid w:val="5F622211"/>
    <w:rsid w:val="5FB44B2E"/>
    <w:rsid w:val="5FC1332B"/>
    <w:rsid w:val="5FCB425A"/>
    <w:rsid w:val="601E16EE"/>
    <w:rsid w:val="60512F91"/>
    <w:rsid w:val="60667D3B"/>
    <w:rsid w:val="60864B16"/>
    <w:rsid w:val="60BE122E"/>
    <w:rsid w:val="60D47FE9"/>
    <w:rsid w:val="613F7EC8"/>
    <w:rsid w:val="61652C49"/>
    <w:rsid w:val="6192071F"/>
    <w:rsid w:val="6192502F"/>
    <w:rsid w:val="61CB6793"/>
    <w:rsid w:val="61D45648"/>
    <w:rsid w:val="61D70C94"/>
    <w:rsid w:val="61E151E7"/>
    <w:rsid w:val="623050A0"/>
    <w:rsid w:val="626F614B"/>
    <w:rsid w:val="62BC011C"/>
    <w:rsid w:val="62DB2A06"/>
    <w:rsid w:val="62DD0CC0"/>
    <w:rsid w:val="631D6B7A"/>
    <w:rsid w:val="63527CBF"/>
    <w:rsid w:val="63604CB9"/>
    <w:rsid w:val="63D23FB7"/>
    <w:rsid w:val="63D7141F"/>
    <w:rsid w:val="64040C59"/>
    <w:rsid w:val="642108EC"/>
    <w:rsid w:val="64306D81"/>
    <w:rsid w:val="64524F4A"/>
    <w:rsid w:val="6453476A"/>
    <w:rsid w:val="64947310"/>
    <w:rsid w:val="64B17250"/>
    <w:rsid w:val="65D9039F"/>
    <w:rsid w:val="66546D57"/>
    <w:rsid w:val="66BC351E"/>
    <w:rsid w:val="67206C39"/>
    <w:rsid w:val="676034DA"/>
    <w:rsid w:val="678533FB"/>
    <w:rsid w:val="67935D0C"/>
    <w:rsid w:val="67A66671"/>
    <w:rsid w:val="6819678B"/>
    <w:rsid w:val="685E3EBD"/>
    <w:rsid w:val="68660FC4"/>
    <w:rsid w:val="68EF0FB9"/>
    <w:rsid w:val="690E575F"/>
    <w:rsid w:val="69180D06"/>
    <w:rsid w:val="691C1682"/>
    <w:rsid w:val="692A66D6"/>
    <w:rsid w:val="692A7707"/>
    <w:rsid w:val="6933534A"/>
    <w:rsid w:val="69336C29"/>
    <w:rsid w:val="69375D48"/>
    <w:rsid w:val="69692B1A"/>
    <w:rsid w:val="696A0640"/>
    <w:rsid w:val="69766FE4"/>
    <w:rsid w:val="69894F6A"/>
    <w:rsid w:val="69BD2E65"/>
    <w:rsid w:val="69BE1D1A"/>
    <w:rsid w:val="69D77881"/>
    <w:rsid w:val="69F4108E"/>
    <w:rsid w:val="6A372C18"/>
    <w:rsid w:val="6ABE6352"/>
    <w:rsid w:val="6AD2649C"/>
    <w:rsid w:val="6B613982"/>
    <w:rsid w:val="6B7036D0"/>
    <w:rsid w:val="6B841E8D"/>
    <w:rsid w:val="6BA53BB1"/>
    <w:rsid w:val="6BBF2EC5"/>
    <w:rsid w:val="6BD94CA6"/>
    <w:rsid w:val="6BFB5EC7"/>
    <w:rsid w:val="6C3A69EF"/>
    <w:rsid w:val="6C714041"/>
    <w:rsid w:val="6C89702F"/>
    <w:rsid w:val="6C9A748E"/>
    <w:rsid w:val="6CB31D0E"/>
    <w:rsid w:val="6D8F4B19"/>
    <w:rsid w:val="6DA00AD4"/>
    <w:rsid w:val="6DAA3701"/>
    <w:rsid w:val="6DB17E51"/>
    <w:rsid w:val="6E0E3C8F"/>
    <w:rsid w:val="6E2A0D69"/>
    <w:rsid w:val="6E4C2A0A"/>
    <w:rsid w:val="6EA97E5C"/>
    <w:rsid w:val="6F143527"/>
    <w:rsid w:val="6F467505"/>
    <w:rsid w:val="6F6124E5"/>
    <w:rsid w:val="702F68EB"/>
    <w:rsid w:val="70775ACD"/>
    <w:rsid w:val="70AD748E"/>
    <w:rsid w:val="70BB1F0C"/>
    <w:rsid w:val="71092E34"/>
    <w:rsid w:val="711E68DF"/>
    <w:rsid w:val="714874B8"/>
    <w:rsid w:val="71681909"/>
    <w:rsid w:val="71917634"/>
    <w:rsid w:val="728409C4"/>
    <w:rsid w:val="72AE2727"/>
    <w:rsid w:val="7309650C"/>
    <w:rsid w:val="736E51D0"/>
    <w:rsid w:val="73F70C5C"/>
    <w:rsid w:val="741E10D9"/>
    <w:rsid w:val="748A31AB"/>
    <w:rsid w:val="749B1FF5"/>
    <w:rsid w:val="74A72748"/>
    <w:rsid w:val="74A92964"/>
    <w:rsid w:val="74C040DD"/>
    <w:rsid w:val="74D15A17"/>
    <w:rsid w:val="74DC4AE7"/>
    <w:rsid w:val="753955FE"/>
    <w:rsid w:val="756923C9"/>
    <w:rsid w:val="75705230"/>
    <w:rsid w:val="75751079"/>
    <w:rsid w:val="758D54B2"/>
    <w:rsid w:val="759E1D9D"/>
    <w:rsid w:val="759E7FEF"/>
    <w:rsid w:val="76136CAA"/>
    <w:rsid w:val="76171B4F"/>
    <w:rsid w:val="76610DD7"/>
    <w:rsid w:val="76E25CB9"/>
    <w:rsid w:val="77035C3C"/>
    <w:rsid w:val="77313CD6"/>
    <w:rsid w:val="77334767"/>
    <w:rsid w:val="77790089"/>
    <w:rsid w:val="777F175A"/>
    <w:rsid w:val="77BE6C65"/>
    <w:rsid w:val="77FA1D1D"/>
    <w:rsid w:val="781F1BE1"/>
    <w:rsid w:val="782B3690"/>
    <w:rsid w:val="78873B38"/>
    <w:rsid w:val="78AB4366"/>
    <w:rsid w:val="78C23FF4"/>
    <w:rsid w:val="799139C7"/>
    <w:rsid w:val="79C66DEF"/>
    <w:rsid w:val="79DB7D20"/>
    <w:rsid w:val="79F47917"/>
    <w:rsid w:val="79F521A7"/>
    <w:rsid w:val="7A454EDD"/>
    <w:rsid w:val="7AAC0AB8"/>
    <w:rsid w:val="7ABB0CFB"/>
    <w:rsid w:val="7AEC35AA"/>
    <w:rsid w:val="7B164E20"/>
    <w:rsid w:val="7B252618"/>
    <w:rsid w:val="7B382994"/>
    <w:rsid w:val="7B3E36DA"/>
    <w:rsid w:val="7B5B24DE"/>
    <w:rsid w:val="7B5F5B2A"/>
    <w:rsid w:val="7B9F6C50"/>
    <w:rsid w:val="7BBC11CF"/>
    <w:rsid w:val="7BDA78A7"/>
    <w:rsid w:val="7C077AC2"/>
    <w:rsid w:val="7C8141C6"/>
    <w:rsid w:val="7CC14D89"/>
    <w:rsid w:val="7CF624BE"/>
    <w:rsid w:val="7D627B54"/>
    <w:rsid w:val="7D7A4E9D"/>
    <w:rsid w:val="7DBD489D"/>
    <w:rsid w:val="7DE60D6B"/>
    <w:rsid w:val="7DFA0FA7"/>
    <w:rsid w:val="7E097FCF"/>
    <w:rsid w:val="7E1A2770"/>
    <w:rsid w:val="7E665422"/>
    <w:rsid w:val="7ECF5C04"/>
    <w:rsid w:val="7ED76320"/>
    <w:rsid w:val="7F547970"/>
    <w:rsid w:val="7F8A5218"/>
    <w:rsid w:val="7FC1463E"/>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4"/>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qFormat/>
    <w:uiPriority w:val="0"/>
    <w:rPr>
      <w:sz w:val="21"/>
      <w:szCs w:val="21"/>
    </w:rPr>
  </w:style>
  <w:style w:type="character" w:customStyle="1" w:styleId="24">
    <w:name w:val="标题 1 Char"/>
    <w:link w:val="2"/>
    <w:qFormat/>
    <w:uiPriority w:val="0"/>
    <w:rPr>
      <w:b/>
      <w:kern w:val="44"/>
      <w:sz w:val="36"/>
      <w:szCs w:val="44"/>
    </w:rPr>
  </w:style>
  <w:style w:type="paragraph" w:styleId="25">
    <w:name w:val="List Paragraph"/>
    <w:basedOn w:val="1"/>
    <w:qFormat/>
    <w:uiPriority w:val="99"/>
    <w:pPr>
      <w:ind w:firstLine="420" w:firstLineChars="200"/>
    </w:pPr>
    <w:rPr>
      <w:rFonts w:ascii="Times New Roman"/>
      <w:bCs w:val="0"/>
      <w:sz w:val="21"/>
      <w:szCs w:val="20"/>
    </w:rPr>
  </w:style>
  <w:style w:type="character" w:customStyle="1" w:styleId="26">
    <w:name w:val="样式 仿宋"/>
    <w:qFormat/>
    <w:uiPriority w:val="0"/>
    <w:rPr>
      <w:rFonts w:ascii="仿宋" w:hAnsi="仿宋" w:eastAsia="仿宋"/>
      <w:kern w:val="1"/>
    </w:rPr>
  </w:style>
  <w:style w:type="table" w:customStyle="1" w:styleId="27">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D正文"/>
    <w:basedOn w:val="17"/>
    <w:qFormat/>
    <w:uiPriority w:val="0"/>
    <w:pPr>
      <w:spacing w:before="100" w:beforeAutospacing="1" w:after="100" w:afterAutospacing="1"/>
      <w:ind w:left="0" w:leftChars="0"/>
    </w:pPr>
  </w:style>
  <w:style w:type="paragraph" w:customStyle="1" w:styleId="29">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0">
    <w:name w:val="列表段落1"/>
    <w:basedOn w:val="1"/>
    <w:qFormat/>
    <w:uiPriority w:val="34"/>
    <w:pPr>
      <w:adjustRightInd w:val="0"/>
      <w:snapToGrid w:val="0"/>
      <w:ind w:firstLine="0" w:firstLineChars="0"/>
    </w:pPr>
    <w:rPr>
      <w:rFonts w:hAnsi="宋体"/>
    </w:rPr>
  </w:style>
  <w:style w:type="paragraph" w:customStyle="1" w:styleId="31">
    <w:name w:val="列出段落1"/>
    <w:basedOn w:val="1"/>
    <w:qFormat/>
    <w:uiPriority w:val="99"/>
    <w:pPr>
      <w:ind w:firstLine="420" w:firstLineChars="200"/>
    </w:pPr>
  </w:style>
  <w:style w:type="paragraph" w:customStyle="1" w:styleId="32">
    <w:name w:val="石墨文档正文"/>
    <w:qFormat/>
    <w:uiPriority w:val="0"/>
    <w:rPr>
      <w:rFonts w:ascii="微软雅黑" w:hAnsi="微软雅黑" w:eastAsia="微软雅黑" w:cs="微软雅黑"/>
      <w:sz w:val="24"/>
      <w:szCs w:val="24"/>
      <w:lang w:val="en-US" w:eastAsia="zh-CN" w:bidi="ar-SA"/>
    </w:rPr>
  </w:style>
  <w:style w:type="paragraph" w:customStyle="1" w:styleId="33">
    <w:name w:val="p0"/>
    <w:basedOn w:val="1"/>
    <w:qFormat/>
    <w:uiPriority w:val="0"/>
    <w:rPr>
      <w:sz w:val="21"/>
      <w:szCs w:val="21"/>
    </w:rPr>
  </w:style>
  <w:style w:type="paragraph" w:customStyle="1" w:styleId="34">
    <w:name w:val="无间隔1"/>
    <w:qFormat/>
    <w:uiPriority w:val="1"/>
    <w:rPr>
      <w:rFonts w:ascii="Georgia" w:hAnsi="Georgia" w:eastAsia="宋体" w:cs="Times New Roman"/>
      <w:sz w:val="22"/>
      <w:szCs w:val="22"/>
      <w:lang w:val="en-US" w:eastAsia="zh-CN" w:bidi="ar-SA"/>
    </w:rPr>
  </w:style>
  <w:style w:type="paragraph" w:customStyle="1" w:styleId="3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11870</Words>
  <Characters>12344</Characters>
  <Lines>0</Lines>
  <Paragraphs>0</Paragraphs>
  <TotalTime>6</TotalTime>
  <ScaleCrop>false</ScaleCrop>
  <LinksUpToDate>false</LinksUpToDate>
  <CharactersWithSpaces>13256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2024-12-10T04:17:00Z</dcterms:created>
  <dc:creator>水岸听涛</dc:creator>
  <cp:lastModifiedBy>15103004526</cp:lastModifiedBy>
  <cp:lastPrinted>2025-06-13T07:09:00Z</cp:lastPrinted>
  <dcterms:modified xsi:type="dcterms:W3CDTF">2026-05-20T07:29:18Z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