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61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52"/>
          <w:szCs w:val="52"/>
        </w:rPr>
      </w:pPr>
    </w:p>
    <w:p w14:paraId="0F697872">
      <w:pPr>
        <w:keepNext w:val="0"/>
        <w:keepLines w:val="0"/>
        <w:pageBreakBefore w:val="0"/>
        <w:widowControl w:val="0"/>
        <w:kinsoku/>
        <w:wordWrap/>
        <w:overflowPunct/>
        <w:topLinePunct w:val="0"/>
        <w:autoSpaceDE/>
        <w:autoSpaceDN/>
        <w:bidi w:val="0"/>
        <w:adjustRightInd/>
        <w:snapToGrid/>
        <w:spacing w:line="900" w:lineRule="exact"/>
        <w:ind w:firstLine="522" w:firstLineChars="100"/>
        <w:jc w:val="center"/>
        <w:textAlignment w:val="auto"/>
        <w:rPr>
          <w:rFonts w:hint="eastAsia" w:asciiTheme="minorEastAsia" w:hAnsiTheme="minorEastAsia" w:eastAsiaTheme="minorEastAsia" w:cstheme="minorEastAsia"/>
          <w:b/>
          <w:sz w:val="52"/>
          <w:szCs w:val="52"/>
          <w:highlight w:val="none"/>
          <w:lang w:val="en-US" w:eastAsia="zh-CN"/>
        </w:rPr>
      </w:pPr>
      <w:bookmarkStart w:id="0" w:name="_Toc375561633"/>
      <w:bookmarkStart w:id="1" w:name="_Toc415058575"/>
      <w:bookmarkStart w:id="2" w:name="_Toc415058499"/>
      <w:r>
        <w:rPr>
          <w:rFonts w:hint="eastAsia" w:asciiTheme="minorEastAsia" w:hAnsiTheme="minorEastAsia" w:eastAsiaTheme="minorEastAsia" w:cstheme="minorEastAsia"/>
          <w:b/>
          <w:sz w:val="52"/>
          <w:szCs w:val="52"/>
          <w:highlight w:val="none"/>
          <w:lang w:val="en-US" w:eastAsia="zh-CN"/>
        </w:rPr>
        <w:t>海南卫生健康职业学院基于中医十二时辰理论的健康行为提醒系统及可穿戴设备发明专利代理服务</w:t>
      </w:r>
    </w:p>
    <w:p w14:paraId="2E6EE3C7">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Cs w:val="0"/>
          <w:color w:val="C00000"/>
          <w:sz w:val="36"/>
          <w:szCs w:val="36"/>
        </w:rPr>
      </w:pPr>
    </w:p>
    <w:p w14:paraId="31039D96">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项目编号：HNWJY-FW2025030</w:t>
      </w:r>
    </w:p>
    <w:p w14:paraId="0D10E8F2">
      <w:pPr>
        <w:pageBreakBefore w:val="0"/>
        <w:kinsoku/>
        <w:wordWrap/>
        <w:overflowPunct/>
        <w:topLinePunct w:val="0"/>
        <w:autoSpaceDE/>
        <w:autoSpaceDN/>
        <w:bidi w:val="0"/>
        <w:adjustRightInd w:val="0"/>
        <w:snapToGrid w:val="0"/>
        <w:spacing w:line="420" w:lineRule="auto"/>
        <w:ind w:left="0" w:leftChars="0"/>
        <w:rPr>
          <w:rFonts w:hint="eastAsia" w:asciiTheme="minorEastAsia" w:hAnsiTheme="minorEastAsia" w:eastAsiaTheme="minorEastAsia" w:cstheme="minorEastAsia"/>
          <w:b/>
          <w:bCs w:val="0"/>
          <w:spacing w:val="40"/>
          <w:sz w:val="36"/>
          <w:szCs w:val="36"/>
        </w:rPr>
      </w:pPr>
    </w:p>
    <w:bookmarkEnd w:id="0"/>
    <w:bookmarkEnd w:id="1"/>
    <w:bookmarkEnd w:id="2"/>
    <w:p w14:paraId="4F9D5A7B">
      <w:pPr>
        <w:spacing w:line="360" w:lineRule="auto"/>
        <w:jc w:val="center"/>
        <w:rPr>
          <w:rFonts w:hint="eastAsia" w:ascii="宋体" w:hAnsi="宋体" w:eastAsia="宋体" w:cs="Times New Roman"/>
          <w:b/>
          <w:sz w:val="72"/>
          <w:szCs w:val="72"/>
          <w:highlight w:val="none"/>
        </w:rPr>
      </w:pPr>
      <w:bookmarkStart w:id="3" w:name="_Toc325731733"/>
      <w:bookmarkStart w:id="4" w:name="_Toc325446794"/>
      <w:bookmarkStart w:id="5" w:name="_Toc326783408"/>
      <w:r>
        <w:rPr>
          <w:rFonts w:hint="eastAsia" w:ascii="宋体" w:hAnsi="宋体" w:eastAsia="宋体" w:cs="Times New Roman"/>
          <w:b/>
          <w:sz w:val="72"/>
          <w:szCs w:val="72"/>
          <w:highlight w:val="none"/>
          <w:lang w:val="en-US" w:eastAsia="zh-CN"/>
        </w:rPr>
        <w:t>竞争性谈判文</w:t>
      </w:r>
      <w:r>
        <w:rPr>
          <w:rFonts w:hint="eastAsia" w:ascii="宋体" w:hAnsi="宋体" w:eastAsia="宋体" w:cs="Times New Roman"/>
          <w:b/>
          <w:sz w:val="72"/>
          <w:szCs w:val="72"/>
          <w:highlight w:val="none"/>
        </w:rPr>
        <w:t>件</w:t>
      </w:r>
    </w:p>
    <w:p w14:paraId="20D1E256">
      <w:pPr>
        <w:rPr>
          <w:rFonts w:hint="eastAsia"/>
        </w:rPr>
      </w:pPr>
    </w:p>
    <w:bookmarkEnd w:id="3"/>
    <w:bookmarkEnd w:id="4"/>
    <w:bookmarkEnd w:id="5"/>
    <w:p w14:paraId="54688824">
      <w:pPr>
        <w:rPr>
          <w:rFonts w:hint="eastAsia"/>
        </w:rPr>
      </w:pPr>
    </w:p>
    <w:p w14:paraId="76AFCC77">
      <w:pPr>
        <w:rPr>
          <w:rFonts w:hint="eastAsia"/>
        </w:rPr>
      </w:pPr>
    </w:p>
    <w:p w14:paraId="160EFA70">
      <w:pPr>
        <w:rPr>
          <w:rFonts w:hint="eastAsia"/>
        </w:rPr>
      </w:pPr>
    </w:p>
    <w:p w14:paraId="2F43AC09">
      <w:pPr>
        <w:rPr>
          <w:rFonts w:hint="eastAsia"/>
        </w:rPr>
      </w:pPr>
    </w:p>
    <w:p w14:paraId="12697D58">
      <w:pPr>
        <w:rPr>
          <w:rFonts w:hint="eastAsia"/>
        </w:rPr>
      </w:pPr>
    </w:p>
    <w:p w14:paraId="6A7333D3">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sz w:val="36"/>
          <w:szCs w:val="36"/>
        </w:rPr>
      </w:pPr>
    </w:p>
    <w:p w14:paraId="15B2BFAE">
      <w:pPr>
        <w:pageBreakBefore w:val="0"/>
        <w:kinsoku/>
        <w:wordWrap/>
        <w:overflowPunct/>
        <w:topLinePunct w:val="0"/>
        <w:autoSpaceDE/>
        <w:autoSpaceDN/>
        <w:bidi w:val="0"/>
        <w:adjustRightInd w:val="0"/>
        <w:snapToGrid w:val="0"/>
        <w:spacing w:line="420" w:lineRule="auto"/>
        <w:ind w:left="0" w:leftChars="0"/>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w:t>
      </w:r>
      <w:r>
        <w:rPr>
          <w:rFonts w:hint="eastAsia" w:asciiTheme="minorEastAsia" w:hAnsiTheme="minorEastAsia" w:eastAsiaTheme="minorEastAsia" w:cstheme="minorEastAsia"/>
          <w:b/>
          <w:bCs w:val="0"/>
          <w:sz w:val="36"/>
          <w:szCs w:val="36"/>
          <w:lang w:val="en-US" w:eastAsia="zh-CN"/>
        </w:rPr>
        <w:t>海南卫生健康职业学院</w:t>
      </w:r>
    </w:p>
    <w:p w14:paraId="76FFFA06">
      <w:pPr>
        <w:pageBreakBefore w:val="0"/>
        <w:kinsoku/>
        <w:wordWrap/>
        <w:overflowPunct/>
        <w:topLinePunct w:val="0"/>
        <w:autoSpaceDE/>
        <w:autoSpaceDN/>
        <w:bidi w:val="0"/>
        <w:adjustRightInd w:val="0"/>
        <w:snapToGrid w:val="0"/>
        <w:spacing w:line="420" w:lineRule="auto"/>
        <w:ind w:left="0" w:leftChars="0"/>
        <w:jc w:val="center"/>
        <w:rPr>
          <w:rFonts w:hint="default" w:asciiTheme="minorEastAsia" w:hAnsiTheme="minorEastAsia" w:eastAsiaTheme="minorEastAsia" w:cstheme="minorEastAsia"/>
          <w:b/>
          <w:sz w:val="36"/>
          <w:szCs w:val="36"/>
          <w:lang w:val="en-US"/>
        </w:rPr>
        <w:sectPr>
          <w:headerReference r:id="rId4" w:type="first"/>
          <w:headerReference r:id="rId3" w:type="default"/>
          <w:pgSz w:w="11907" w:h="16840"/>
          <w:pgMar w:top="1247" w:right="1587" w:bottom="1418" w:left="1587" w:header="851" w:footer="851" w:gutter="0"/>
          <w:pgBorders>
            <w:top w:val="none" w:sz="0" w:space="0"/>
            <w:left w:val="none" w:sz="0" w:space="0"/>
            <w:bottom w:val="none" w:sz="0" w:space="0"/>
            <w:right w:val="none" w:sz="0" w:space="0"/>
          </w:pgBorders>
          <w:pgNumType w:fmt="numberInDash"/>
          <w:cols w:space="720" w:num="1"/>
          <w:docGrid w:linePitch="381" w:charSpace="-3931"/>
        </w:sectPr>
      </w:pPr>
      <w:r>
        <w:rPr>
          <w:rFonts w:hint="eastAsia" w:asciiTheme="minorEastAsia" w:hAnsiTheme="minorEastAsia" w:eastAsiaTheme="minorEastAsia" w:cstheme="minorEastAsia"/>
          <w:b/>
          <w:sz w:val="36"/>
          <w:szCs w:val="36"/>
        </w:rPr>
        <w:t>编制时间：</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7月3日</w:t>
      </w:r>
    </w:p>
    <w:p w14:paraId="07FB8EA3">
      <w:pPr>
        <w:pStyle w:val="13"/>
        <w:tabs>
          <w:tab w:val="right" w:leader="dot" w:pos="9746"/>
        </w:tabs>
        <w:jc w:val="center"/>
        <w:rPr>
          <w:rStyle w:val="25"/>
          <w:rFonts w:hint="eastAsia" w:asciiTheme="minorEastAsia" w:hAnsiTheme="minorEastAsia" w:eastAsiaTheme="minorEastAsia" w:cstheme="minorEastAsia"/>
          <w:b/>
          <w:sz w:val="32"/>
          <w:szCs w:val="32"/>
          <w:highlight w:val="none"/>
          <w:lang w:val="en-US" w:eastAsia="zh-CN"/>
        </w:rPr>
      </w:pPr>
      <w:bookmarkStart w:id="6" w:name="_Toc1580"/>
      <w:bookmarkStart w:id="7" w:name="_Toc356491305"/>
      <w:bookmarkStart w:id="8" w:name="_Toc40089788"/>
      <w:r>
        <w:rPr>
          <w:rStyle w:val="25"/>
          <w:rFonts w:hint="eastAsia" w:asciiTheme="minorEastAsia" w:hAnsiTheme="minorEastAsia" w:eastAsiaTheme="minorEastAsia" w:cstheme="minorEastAsia"/>
          <w:b/>
          <w:sz w:val="32"/>
          <w:szCs w:val="32"/>
          <w:highlight w:val="none"/>
          <w:lang w:val="en-US" w:eastAsia="zh-CN"/>
        </w:rPr>
        <w:t>目 录</w:t>
      </w:r>
    </w:p>
    <w:bookmarkEnd w:id="6"/>
    <w:p w14:paraId="38003F60">
      <w:pPr>
        <w:pStyle w:val="13"/>
        <w:tabs>
          <w:tab w:val="right" w:leader="dot" w:pos="9746"/>
        </w:tabs>
      </w:pPr>
      <w:r>
        <w:rPr>
          <w:rStyle w:val="25"/>
          <w:rFonts w:hint="eastAsia" w:ascii="仿宋_GB2312" w:hAnsi="仿宋_GB2312" w:eastAsia="仿宋_GB2312" w:cs="仿宋_GB2312"/>
          <w:b/>
          <w:sz w:val="32"/>
          <w:szCs w:val="32"/>
          <w:highlight w:val="none"/>
        </w:rPr>
        <w:fldChar w:fldCharType="begin"/>
      </w:r>
      <w:r>
        <w:rPr>
          <w:rStyle w:val="25"/>
          <w:rFonts w:hint="eastAsia" w:ascii="仿宋_GB2312" w:hAnsi="仿宋_GB2312" w:eastAsia="仿宋_GB2312" w:cs="仿宋_GB2312"/>
          <w:b/>
          <w:sz w:val="32"/>
          <w:szCs w:val="32"/>
          <w:highlight w:val="none"/>
        </w:rPr>
        <w:instrText xml:space="preserve">TOC \o "1-2" \h \u </w:instrText>
      </w:r>
      <w:r>
        <w:rPr>
          <w:rStyle w:val="25"/>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szCs w:val="32"/>
          <w:highlight w:val="none"/>
        </w:rPr>
        <w:fldChar w:fldCharType="begin"/>
      </w:r>
      <w:r>
        <w:rPr>
          <w:rFonts w:hint="eastAsia" w:ascii="仿宋_GB2312" w:hAnsi="仿宋_GB2312" w:eastAsia="仿宋_GB2312" w:cs="仿宋_GB2312"/>
          <w:szCs w:val="32"/>
          <w:highlight w:val="none"/>
        </w:rPr>
        <w:instrText xml:space="preserve"> HYPERLINK \l _Toc1580 </w:instrText>
      </w:r>
      <w:r>
        <w:rPr>
          <w:rFonts w:hint="eastAsia" w:ascii="仿宋_GB2312" w:hAnsi="仿宋_GB2312" w:eastAsia="仿宋_GB2312" w:cs="仿宋_GB2312"/>
          <w:szCs w:val="32"/>
          <w:highlight w:val="none"/>
        </w:rPr>
        <w:fldChar w:fldCharType="separate"/>
      </w:r>
      <w:r>
        <w:rPr>
          <w:rFonts w:hint="eastAsia" w:asciiTheme="minorEastAsia" w:hAnsiTheme="minorEastAsia" w:eastAsiaTheme="minorEastAsia" w:cstheme="minorEastAsia"/>
          <w:szCs w:val="32"/>
          <w:highlight w:val="none"/>
          <w:lang w:val="en-US" w:eastAsia="zh-CN"/>
        </w:rPr>
        <w:t>目 录</w:t>
      </w:r>
      <w:r>
        <w:tab/>
      </w:r>
      <w:r>
        <w:fldChar w:fldCharType="begin"/>
      </w:r>
      <w:r>
        <w:instrText xml:space="preserve"> PAGEREF _Toc1580 \h </w:instrText>
      </w:r>
      <w:r>
        <w:fldChar w:fldCharType="separate"/>
      </w:r>
      <w:r>
        <w:t>- 1 -</w:t>
      </w:r>
      <w:r>
        <w:fldChar w:fldCharType="end"/>
      </w:r>
      <w:r>
        <w:rPr>
          <w:rFonts w:hint="eastAsia" w:ascii="仿宋_GB2312" w:hAnsi="仿宋_GB2312" w:eastAsia="仿宋_GB2312" w:cs="仿宋_GB2312"/>
          <w:szCs w:val="32"/>
          <w:highlight w:val="none"/>
        </w:rPr>
        <w:fldChar w:fldCharType="end"/>
      </w:r>
    </w:p>
    <w:p w14:paraId="565C518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_Toc14260 </w:instrText>
      </w:r>
      <w:r>
        <w:rPr>
          <w:rFonts w:hint="eastAsia" w:ascii="仿宋_GB2312" w:hAnsi="仿宋_GB2312" w:eastAsia="仿宋_GB2312" w:cs="仿宋_GB2312"/>
          <w:szCs w:val="32"/>
        </w:rPr>
        <w:fldChar w:fldCharType="separate"/>
      </w:r>
      <w:r>
        <w:rPr>
          <w:rFonts w:hint="eastAsia" w:asciiTheme="minorEastAsia" w:hAnsiTheme="minorEastAsia" w:eastAsiaTheme="minorEastAsia" w:cstheme="minorEastAsia"/>
          <w:szCs w:val="44"/>
          <w:highlight w:val="none"/>
        </w:rPr>
        <w:t>第一部分 竞争性谈判公告</w:t>
      </w:r>
      <w:r>
        <w:tab/>
      </w:r>
      <w:r>
        <w:fldChar w:fldCharType="begin"/>
      </w:r>
      <w:r>
        <w:instrText xml:space="preserve"> PAGEREF _Toc14260 \h </w:instrText>
      </w:r>
      <w:r>
        <w:fldChar w:fldCharType="separate"/>
      </w:r>
      <w:r>
        <w:t>- 2 -</w:t>
      </w:r>
      <w:r>
        <w:fldChar w:fldCharType="end"/>
      </w:r>
      <w:r>
        <w:rPr>
          <w:rFonts w:hint="eastAsia" w:ascii="仿宋_GB2312" w:hAnsi="仿宋_GB2312" w:eastAsia="仿宋_GB2312" w:cs="仿宋_GB2312"/>
          <w:szCs w:val="32"/>
        </w:rPr>
        <w:fldChar w:fldCharType="end"/>
      </w:r>
    </w:p>
    <w:p w14:paraId="24E1F30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_Toc12253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第二部分  开标、评标、定标</w:t>
      </w:r>
      <w:r>
        <w:tab/>
      </w:r>
      <w:r>
        <w:fldChar w:fldCharType="begin"/>
      </w:r>
      <w:r>
        <w:instrText xml:space="preserve"> PAGEREF _Toc12253 \h </w:instrText>
      </w:r>
      <w:r>
        <w:fldChar w:fldCharType="separate"/>
      </w:r>
      <w:r>
        <w:t>- 5 -</w:t>
      </w:r>
      <w:r>
        <w:fldChar w:fldCharType="end"/>
      </w:r>
      <w:r>
        <w:rPr>
          <w:rFonts w:hint="eastAsia" w:ascii="仿宋_GB2312" w:hAnsi="仿宋_GB2312" w:eastAsia="仿宋_GB2312" w:cs="仿宋_GB2312"/>
          <w:szCs w:val="32"/>
        </w:rPr>
        <w:fldChar w:fldCharType="end"/>
      </w:r>
    </w:p>
    <w:p w14:paraId="2D8043A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_Toc12499 </w:instrText>
      </w:r>
      <w:r>
        <w:rPr>
          <w:rFonts w:hint="eastAsia" w:ascii="仿宋_GB2312" w:hAnsi="仿宋_GB2312" w:eastAsia="仿宋_GB2312" w:cs="仿宋_GB2312"/>
          <w:szCs w:val="32"/>
        </w:rPr>
        <w:fldChar w:fldCharType="separate"/>
      </w:r>
      <w:r>
        <w:rPr>
          <w:rFonts w:hint="eastAsia" w:ascii="宋体" w:hAnsi="宋体" w:eastAsia="宋体" w:cs="宋体"/>
          <w:szCs w:val="44"/>
        </w:rPr>
        <w:t>第三部分 授予合同</w:t>
      </w:r>
      <w:r>
        <w:tab/>
      </w:r>
      <w:r>
        <w:fldChar w:fldCharType="begin"/>
      </w:r>
      <w:r>
        <w:instrText xml:space="preserve"> PAGEREF _Toc12499 \h </w:instrText>
      </w:r>
      <w:r>
        <w:fldChar w:fldCharType="separate"/>
      </w:r>
      <w:r>
        <w:t>- 10 -</w:t>
      </w:r>
      <w:r>
        <w:fldChar w:fldCharType="end"/>
      </w:r>
      <w:r>
        <w:rPr>
          <w:rFonts w:hint="eastAsia" w:ascii="仿宋_GB2312" w:hAnsi="仿宋_GB2312" w:eastAsia="仿宋_GB2312" w:cs="仿宋_GB2312"/>
          <w:szCs w:val="32"/>
        </w:rPr>
        <w:fldChar w:fldCharType="end"/>
      </w:r>
    </w:p>
    <w:p w14:paraId="6CBB3BD1">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_Toc657 </w:instrText>
      </w:r>
      <w:r>
        <w:rPr>
          <w:rFonts w:hint="eastAsia" w:ascii="仿宋_GB2312" w:hAnsi="仿宋_GB2312" w:eastAsia="仿宋_GB2312" w:cs="仿宋_GB2312"/>
          <w:szCs w:val="32"/>
        </w:rPr>
        <w:fldChar w:fldCharType="separate"/>
      </w:r>
      <w:r>
        <w:rPr>
          <w:rFonts w:hint="eastAsia" w:hAnsi="宋体" w:cs="宋体"/>
          <w:highlight w:val="none"/>
        </w:rPr>
        <w:t xml:space="preserve">第四部分 </w:t>
      </w:r>
      <w:r>
        <w:rPr>
          <w:rFonts w:hint="eastAsia" w:hAnsi="宋体" w:cs="宋体"/>
          <w:highlight w:val="none"/>
          <w:lang w:val="en-US" w:eastAsia="zh-CN"/>
        </w:rPr>
        <w:t>项目需</w:t>
      </w:r>
      <w:r>
        <w:rPr>
          <w:rFonts w:hint="eastAsia" w:hAnsi="宋体" w:cs="宋体"/>
          <w:highlight w:val="none"/>
        </w:rPr>
        <w:t>求及说明</w:t>
      </w:r>
      <w:r>
        <w:tab/>
      </w:r>
      <w:r>
        <w:fldChar w:fldCharType="begin"/>
      </w:r>
      <w:r>
        <w:instrText xml:space="preserve"> PAGEREF _Toc657 \h </w:instrText>
      </w:r>
      <w:r>
        <w:fldChar w:fldCharType="separate"/>
      </w:r>
      <w:r>
        <w:t>- 15 -</w:t>
      </w:r>
      <w:r>
        <w:fldChar w:fldCharType="end"/>
      </w:r>
      <w:r>
        <w:rPr>
          <w:rFonts w:hint="eastAsia" w:ascii="仿宋_GB2312" w:hAnsi="仿宋_GB2312" w:eastAsia="仿宋_GB2312" w:cs="仿宋_GB2312"/>
          <w:szCs w:val="32"/>
        </w:rPr>
        <w:fldChar w:fldCharType="end"/>
      </w:r>
    </w:p>
    <w:p w14:paraId="54D8EEB2">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_Toc7332 </w:instrText>
      </w:r>
      <w:r>
        <w:rPr>
          <w:rFonts w:hint="eastAsia" w:ascii="仿宋_GB2312" w:hAnsi="仿宋_GB2312" w:eastAsia="仿宋_GB2312" w:cs="仿宋_GB2312"/>
          <w:szCs w:val="32"/>
        </w:rPr>
        <w:fldChar w:fldCharType="separate"/>
      </w:r>
      <w:r>
        <w:rPr>
          <w:rFonts w:hint="eastAsia" w:hAnsi="宋体" w:cs="宋体"/>
          <w:szCs w:val="44"/>
        </w:rPr>
        <w:t>第五部分 报价文件格式</w:t>
      </w:r>
      <w:r>
        <w:tab/>
      </w:r>
      <w:r>
        <w:fldChar w:fldCharType="begin"/>
      </w:r>
      <w:r>
        <w:instrText xml:space="preserve"> PAGEREF _Toc7332 \h </w:instrText>
      </w:r>
      <w:r>
        <w:fldChar w:fldCharType="separate"/>
      </w:r>
      <w:r>
        <w:t>- 17 -</w:t>
      </w:r>
      <w:r>
        <w:fldChar w:fldCharType="end"/>
      </w:r>
      <w:r>
        <w:rPr>
          <w:rFonts w:hint="eastAsia" w:ascii="仿宋_GB2312" w:hAnsi="仿宋_GB2312" w:eastAsia="仿宋_GB2312" w:cs="仿宋_GB2312"/>
          <w:szCs w:val="32"/>
        </w:rPr>
        <w:fldChar w:fldCharType="end"/>
      </w:r>
    </w:p>
    <w:p w14:paraId="78763E5E">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_Toc14583 </w:instrText>
      </w:r>
      <w:r>
        <w:rPr>
          <w:rFonts w:hint="eastAsia" w:ascii="仿宋_GB2312" w:hAnsi="仿宋_GB2312" w:eastAsia="仿宋_GB2312" w:cs="仿宋_GB2312"/>
          <w:szCs w:val="32"/>
        </w:rPr>
        <w:fldChar w:fldCharType="separate"/>
      </w:r>
      <w:r>
        <w:rPr>
          <w:rFonts w:hint="eastAsia"/>
          <w:lang w:val="en-US" w:eastAsia="zh-CN"/>
        </w:rPr>
        <w:t>一、商务部分</w:t>
      </w:r>
      <w:r>
        <w:tab/>
      </w:r>
      <w:r>
        <w:fldChar w:fldCharType="begin"/>
      </w:r>
      <w:r>
        <w:instrText xml:space="preserve"> PAGEREF _Toc14583 \h </w:instrText>
      </w:r>
      <w:r>
        <w:fldChar w:fldCharType="separate"/>
      </w:r>
      <w:r>
        <w:t>- 19 -</w:t>
      </w:r>
      <w:r>
        <w:fldChar w:fldCharType="end"/>
      </w:r>
      <w:r>
        <w:rPr>
          <w:rFonts w:hint="eastAsia" w:ascii="仿宋_GB2312" w:hAnsi="仿宋_GB2312" w:eastAsia="仿宋_GB2312" w:cs="仿宋_GB2312"/>
          <w:szCs w:val="32"/>
        </w:rPr>
        <w:fldChar w:fldCharType="end"/>
      </w:r>
    </w:p>
    <w:p w14:paraId="648F77F8">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_Toc6916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1.</w:t>
      </w:r>
      <w:r>
        <w:rPr>
          <w:rFonts w:hint="eastAsia" w:ascii="仿宋_GB2312" w:hAnsi="仿宋_GB2312" w:eastAsia="仿宋_GB2312" w:cs="仿宋_GB2312"/>
          <w:bCs/>
          <w:szCs w:val="36"/>
        </w:rPr>
        <w:t>附件1</w:t>
      </w:r>
      <w:r>
        <w:tab/>
      </w:r>
      <w:r>
        <w:fldChar w:fldCharType="begin"/>
      </w:r>
      <w:r>
        <w:instrText xml:space="preserve"> PAGEREF _Toc6916 \h </w:instrText>
      </w:r>
      <w:r>
        <w:fldChar w:fldCharType="separate"/>
      </w:r>
      <w:r>
        <w:t>- 19 -</w:t>
      </w:r>
      <w:r>
        <w:fldChar w:fldCharType="end"/>
      </w:r>
      <w:r>
        <w:rPr>
          <w:rFonts w:hint="eastAsia" w:ascii="仿宋_GB2312" w:hAnsi="仿宋_GB2312" w:eastAsia="仿宋_GB2312" w:cs="仿宋_GB2312"/>
          <w:szCs w:val="32"/>
        </w:rPr>
        <w:fldChar w:fldCharType="end"/>
      </w:r>
    </w:p>
    <w:p w14:paraId="02130BE3">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_Toc11196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2.</w:t>
      </w:r>
      <w:r>
        <w:rPr>
          <w:rFonts w:hint="eastAsia" w:ascii="仿宋_GB2312" w:hAnsi="仿宋_GB2312" w:eastAsia="仿宋_GB2312" w:cs="仿宋_GB2312"/>
          <w:bCs/>
          <w:szCs w:val="36"/>
        </w:rPr>
        <w:t>附件2</w:t>
      </w:r>
      <w:r>
        <w:tab/>
      </w:r>
      <w:r>
        <w:fldChar w:fldCharType="begin"/>
      </w:r>
      <w:r>
        <w:instrText xml:space="preserve"> PAGEREF _Toc11196 \h </w:instrText>
      </w:r>
      <w:r>
        <w:fldChar w:fldCharType="separate"/>
      </w:r>
      <w:r>
        <w:t>- 20 -</w:t>
      </w:r>
      <w:r>
        <w:fldChar w:fldCharType="end"/>
      </w:r>
      <w:r>
        <w:rPr>
          <w:rFonts w:hint="eastAsia" w:ascii="仿宋_GB2312" w:hAnsi="仿宋_GB2312" w:eastAsia="仿宋_GB2312" w:cs="仿宋_GB2312"/>
          <w:szCs w:val="32"/>
        </w:rPr>
        <w:fldChar w:fldCharType="end"/>
      </w:r>
    </w:p>
    <w:p w14:paraId="5C83203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3.</w:t>
      </w:r>
      <w:r>
        <w:rPr>
          <w:rFonts w:hint="eastAsia" w:ascii="仿宋_GB2312" w:hAnsi="仿宋_GB2312" w:eastAsia="仿宋_GB2312" w:cs="仿宋_GB2312"/>
          <w:bCs/>
          <w:kern w:val="0"/>
          <w:szCs w:val="36"/>
          <w:lang w:val="en-US" w:eastAsia="zh-CN" w:bidi="ar-SA"/>
        </w:rPr>
        <w:t>附件3</w:t>
      </w:r>
      <w:r>
        <w:tab/>
      </w:r>
      <w:r>
        <w:fldChar w:fldCharType="begin"/>
      </w:r>
      <w:r>
        <w:instrText xml:space="preserve"> PAGEREF _Toc301 \h </w:instrText>
      </w:r>
      <w:r>
        <w:fldChar w:fldCharType="separate"/>
      </w:r>
      <w:r>
        <w:t>- 21 -</w:t>
      </w:r>
      <w:r>
        <w:fldChar w:fldCharType="end"/>
      </w:r>
      <w:r>
        <w:rPr>
          <w:rFonts w:hint="eastAsia" w:ascii="仿宋_GB2312" w:hAnsi="仿宋_GB2312" w:eastAsia="仿宋_GB2312" w:cs="仿宋_GB2312"/>
          <w:szCs w:val="32"/>
        </w:rPr>
        <w:fldChar w:fldCharType="end"/>
      </w:r>
    </w:p>
    <w:p w14:paraId="280ABA8F">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_Toc9600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4.</w:t>
      </w:r>
      <w:r>
        <w:rPr>
          <w:rFonts w:hint="eastAsia" w:ascii="仿宋_GB2312" w:hAnsi="仿宋_GB2312" w:eastAsia="仿宋_GB2312" w:cs="仿宋_GB2312"/>
          <w:bCs/>
          <w:kern w:val="0"/>
          <w:szCs w:val="36"/>
          <w:lang w:val="en-US" w:eastAsia="zh-CN" w:bidi="ar-SA"/>
        </w:rPr>
        <w:t>附件4</w:t>
      </w:r>
      <w:r>
        <w:tab/>
      </w:r>
      <w:r>
        <w:fldChar w:fldCharType="begin"/>
      </w:r>
      <w:r>
        <w:instrText xml:space="preserve"> PAGEREF _Toc9600 \h </w:instrText>
      </w:r>
      <w:r>
        <w:fldChar w:fldCharType="separate"/>
      </w:r>
      <w:r>
        <w:t>- 22 -</w:t>
      </w:r>
      <w:r>
        <w:fldChar w:fldCharType="end"/>
      </w:r>
      <w:r>
        <w:rPr>
          <w:rFonts w:hint="eastAsia" w:ascii="仿宋_GB2312" w:hAnsi="仿宋_GB2312" w:eastAsia="仿宋_GB2312" w:cs="仿宋_GB2312"/>
          <w:szCs w:val="32"/>
        </w:rPr>
        <w:fldChar w:fldCharType="end"/>
      </w:r>
    </w:p>
    <w:p w14:paraId="592FCBFA">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_Toc22594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二、 资信部分</w:t>
      </w:r>
      <w:r>
        <w:tab/>
      </w:r>
      <w:r>
        <w:fldChar w:fldCharType="begin"/>
      </w:r>
      <w:r>
        <w:instrText xml:space="preserve"> PAGEREF _Toc22594 \h </w:instrText>
      </w:r>
      <w:r>
        <w:fldChar w:fldCharType="separate"/>
      </w:r>
      <w:r>
        <w:t>- 23 -</w:t>
      </w:r>
      <w:r>
        <w:fldChar w:fldCharType="end"/>
      </w:r>
      <w:r>
        <w:rPr>
          <w:rFonts w:hint="eastAsia" w:ascii="仿宋_GB2312" w:hAnsi="仿宋_GB2312" w:eastAsia="仿宋_GB2312" w:cs="仿宋_GB2312"/>
          <w:szCs w:val="32"/>
        </w:rPr>
        <w:fldChar w:fldCharType="end"/>
      </w:r>
    </w:p>
    <w:p w14:paraId="2BCFA3B9">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_Toc30656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三、 技术部分</w:t>
      </w:r>
      <w:r>
        <w:tab/>
      </w:r>
      <w:r>
        <w:fldChar w:fldCharType="begin"/>
      </w:r>
      <w:r>
        <w:instrText xml:space="preserve"> PAGEREF _Toc30656 \h </w:instrText>
      </w:r>
      <w:r>
        <w:fldChar w:fldCharType="separate"/>
      </w:r>
      <w:r>
        <w:t>- 25 -</w:t>
      </w:r>
      <w:r>
        <w:fldChar w:fldCharType="end"/>
      </w:r>
      <w:r>
        <w:rPr>
          <w:rFonts w:hint="eastAsia" w:ascii="仿宋_GB2312" w:hAnsi="仿宋_GB2312" w:eastAsia="仿宋_GB2312" w:cs="仿宋_GB2312"/>
          <w:szCs w:val="32"/>
        </w:rPr>
        <w:fldChar w:fldCharType="end"/>
      </w:r>
    </w:p>
    <w:p w14:paraId="1A040715">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_Toc27942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szCs w:val="36"/>
          <w:lang w:val="en-US" w:eastAsia="zh-CN"/>
        </w:rPr>
        <w:t>5.</w:t>
      </w:r>
      <w:r>
        <w:rPr>
          <w:rFonts w:hint="eastAsia" w:ascii="仿宋_GB2312" w:hAnsi="仿宋_GB2312" w:eastAsia="仿宋_GB2312" w:cs="仿宋_GB2312"/>
          <w:bCs/>
          <w:kern w:val="0"/>
          <w:szCs w:val="36"/>
          <w:lang w:val="en-US" w:eastAsia="zh-CN" w:bidi="ar-SA"/>
        </w:rPr>
        <w:t>附件5</w:t>
      </w:r>
      <w:r>
        <w:tab/>
      </w:r>
      <w:r>
        <w:fldChar w:fldCharType="begin"/>
      </w:r>
      <w:r>
        <w:instrText xml:space="preserve"> PAGEREF _Toc27942 \h </w:instrText>
      </w:r>
      <w:r>
        <w:fldChar w:fldCharType="separate"/>
      </w:r>
      <w:r>
        <w:t>- 25 -</w:t>
      </w:r>
      <w:r>
        <w:fldChar w:fldCharType="end"/>
      </w:r>
      <w:r>
        <w:rPr>
          <w:rFonts w:hint="eastAsia" w:ascii="仿宋_GB2312" w:hAnsi="仿宋_GB2312" w:eastAsia="仿宋_GB2312" w:cs="仿宋_GB2312"/>
          <w:szCs w:val="32"/>
        </w:rPr>
        <w:fldChar w:fldCharType="end"/>
      </w:r>
    </w:p>
    <w:p w14:paraId="11C59F45">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_Toc24514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四、报价部分</w:t>
      </w:r>
      <w:r>
        <w:tab/>
      </w:r>
      <w:r>
        <w:fldChar w:fldCharType="begin"/>
      </w:r>
      <w:r>
        <w:instrText xml:space="preserve"> PAGEREF _Toc24514 \h </w:instrText>
      </w:r>
      <w:r>
        <w:fldChar w:fldCharType="separate"/>
      </w:r>
      <w:r>
        <w:t>- 27 -</w:t>
      </w:r>
      <w:r>
        <w:fldChar w:fldCharType="end"/>
      </w:r>
      <w:r>
        <w:rPr>
          <w:rFonts w:hint="eastAsia" w:ascii="仿宋_GB2312" w:hAnsi="仿宋_GB2312" w:eastAsia="仿宋_GB2312" w:cs="仿宋_GB2312"/>
          <w:szCs w:val="32"/>
        </w:rPr>
        <w:fldChar w:fldCharType="end"/>
      </w:r>
    </w:p>
    <w:p w14:paraId="5299CFBB">
      <w:pPr>
        <w:pStyle w:val="14"/>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_Toc25652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6"/>
          <w:lang w:val="en-US" w:eastAsia="zh-CN"/>
        </w:rPr>
        <w:t>6.</w:t>
      </w:r>
      <w:r>
        <w:rPr>
          <w:rFonts w:hint="eastAsia" w:ascii="仿宋_GB2312" w:hAnsi="仿宋_GB2312" w:eastAsia="仿宋_GB2312" w:cs="仿宋_GB2312"/>
          <w:szCs w:val="36"/>
        </w:rPr>
        <w:t>附件</w:t>
      </w:r>
      <w:r>
        <w:rPr>
          <w:rFonts w:hint="eastAsia" w:ascii="仿宋_GB2312" w:hAnsi="仿宋_GB2312" w:eastAsia="仿宋_GB2312" w:cs="仿宋_GB2312"/>
          <w:szCs w:val="36"/>
          <w:lang w:val="en-US" w:eastAsia="zh-CN"/>
        </w:rPr>
        <w:t>6</w:t>
      </w:r>
      <w:r>
        <w:tab/>
      </w:r>
      <w:r>
        <w:fldChar w:fldCharType="begin"/>
      </w:r>
      <w:r>
        <w:instrText xml:space="preserve"> PAGEREF _Toc25652 \h </w:instrText>
      </w:r>
      <w:r>
        <w:fldChar w:fldCharType="separate"/>
      </w:r>
      <w:r>
        <w:t>- 27 -</w:t>
      </w:r>
      <w:r>
        <w:fldChar w:fldCharType="end"/>
      </w:r>
      <w:r>
        <w:rPr>
          <w:rFonts w:hint="eastAsia" w:ascii="仿宋_GB2312" w:hAnsi="仿宋_GB2312" w:eastAsia="仿宋_GB2312" w:cs="仿宋_GB2312"/>
          <w:szCs w:val="32"/>
        </w:rPr>
        <w:fldChar w:fldCharType="end"/>
      </w:r>
    </w:p>
    <w:p w14:paraId="195F0E6D">
      <w:pPr>
        <w:pStyle w:val="13"/>
        <w:tabs>
          <w:tab w:val="right" w:leader="dot" w:pos="9746"/>
        </w:tabs>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_Toc1015 </w:instrText>
      </w:r>
      <w:r>
        <w:rPr>
          <w:rFonts w:hint="eastAsia" w:ascii="仿宋_GB2312" w:hAnsi="仿宋_GB2312" w:eastAsia="仿宋_GB2312" w:cs="仿宋_GB2312"/>
          <w:szCs w:val="32"/>
        </w:rPr>
        <w:fldChar w:fldCharType="separate"/>
      </w:r>
      <w:r>
        <w:rPr>
          <w:rFonts w:hint="eastAsia" w:hAnsi="Times New Roman" w:cs="Times New Roman"/>
          <w:lang w:val="en-US" w:eastAsia="zh-CN"/>
        </w:rPr>
        <w:t>封套格式</w:t>
      </w:r>
      <w:r>
        <w:tab/>
      </w:r>
      <w:r>
        <w:fldChar w:fldCharType="begin"/>
      </w:r>
      <w:r>
        <w:instrText xml:space="preserve"> PAGEREF _Toc1015 \h </w:instrText>
      </w:r>
      <w:r>
        <w:fldChar w:fldCharType="separate"/>
      </w:r>
      <w:r>
        <w:t>- 28 -</w:t>
      </w:r>
      <w:r>
        <w:fldChar w:fldCharType="end"/>
      </w:r>
      <w:r>
        <w:rPr>
          <w:rFonts w:hint="eastAsia" w:ascii="仿宋_GB2312" w:hAnsi="仿宋_GB2312" w:eastAsia="仿宋_GB2312" w:cs="仿宋_GB2312"/>
          <w:szCs w:val="32"/>
        </w:rPr>
        <w:fldChar w:fldCharType="end"/>
      </w:r>
    </w:p>
    <w:p w14:paraId="255659CC">
      <w:pPr>
        <w:rPr>
          <w:rFonts w:hint="eastAsia"/>
        </w:rPr>
      </w:pPr>
      <w:r>
        <w:rPr>
          <w:rFonts w:hint="eastAsia" w:ascii="仿宋_GB2312" w:hAnsi="仿宋_GB2312" w:eastAsia="仿宋_GB2312" w:cs="仿宋_GB2312"/>
          <w:szCs w:val="32"/>
        </w:rPr>
        <w:fldChar w:fldCharType="end"/>
      </w:r>
    </w:p>
    <w:p w14:paraId="2C2AD557">
      <w:pPr>
        <w:rPr>
          <w:rFonts w:hint="eastAsia"/>
        </w:rPr>
      </w:pPr>
    </w:p>
    <w:p w14:paraId="70338C4D">
      <w:pPr>
        <w:rPr>
          <w:rFonts w:hint="eastAsia"/>
        </w:rPr>
      </w:pPr>
    </w:p>
    <w:p w14:paraId="142E44CA">
      <w:pPr>
        <w:rPr>
          <w:rFonts w:hint="eastAsia"/>
        </w:rPr>
      </w:pPr>
    </w:p>
    <w:p w14:paraId="6C09AEA2">
      <w:pPr>
        <w:pStyle w:val="3"/>
        <w:bidi w:val="0"/>
        <w:rPr>
          <w:rFonts w:hint="eastAsia" w:asciiTheme="minorEastAsia" w:hAnsiTheme="minorEastAsia" w:eastAsiaTheme="minorEastAsia" w:cstheme="minorEastAsia"/>
          <w:sz w:val="44"/>
          <w:szCs w:val="44"/>
          <w:highlight w:val="none"/>
        </w:rPr>
      </w:pPr>
      <w:bookmarkStart w:id="9" w:name="_Toc14260"/>
      <w:r>
        <w:rPr>
          <w:rStyle w:val="25"/>
          <w:rFonts w:hint="eastAsia" w:asciiTheme="minorEastAsia" w:hAnsiTheme="minorEastAsia" w:eastAsiaTheme="minorEastAsia" w:cstheme="minorEastAsia"/>
          <w:b/>
          <w:sz w:val="44"/>
          <w:szCs w:val="44"/>
          <w:highlight w:val="none"/>
        </w:rPr>
        <w:t xml:space="preserve">第一部分 </w:t>
      </w:r>
      <w:bookmarkEnd w:id="7"/>
      <w:bookmarkEnd w:id="8"/>
      <w:r>
        <w:rPr>
          <w:rStyle w:val="25"/>
          <w:rFonts w:hint="eastAsia" w:asciiTheme="minorEastAsia" w:hAnsiTheme="minorEastAsia" w:eastAsiaTheme="minorEastAsia" w:cstheme="minorEastAsia"/>
          <w:b/>
          <w:sz w:val="44"/>
          <w:szCs w:val="44"/>
          <w:highlight w:val="none"/>
        </w:rPr>
        <w:t>竞争性谈判公告</w:t>
      </w:r>
      <w:bookmarkEnd w:id="9"/>
    </w:p>
    <w:p w14:paraId="11EECA5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bookmarkStart w:id="10" w:name="_Toc325620702"/>
      <w:bookmarkStart w:id="11" w:name="_Toc325582066"/>
      <w:bookmarkStart w:id="12" w:name="_Toc325582571"/>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采购项目名称</w:t>
      </w:r>
    </w:p>
    <w:p w14:paraId="220AD37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基于中医十二时辰理论的健康行为提醒系统及可穿戴设备发明专利代理服务</w:t>
      </w:r>
    </w:p>
    <w:p w14:paraId="46E98EB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采购项目编号</w:t>
      </w:r>
    </w:p>
    <w:p w14:paraId="0381818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lang w:val="en-US" w:eastAsia="zh-CN"/>
        </w:rPr>
        <w:t>项目编号：HNWJY-FW2025030</w:t>
      </w:r>
    </w:p>
    <w:p w14:paraId="629C71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三、采购项目</w:t>
      </w:r>
    </w:p>
    <w:tbl>
      <w:tblPr>
        <w:tblStyle w:val="19"/>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5866"/>
        <w:gridCol w:w="1617"/>
      </w:tblGrid>
      <w:tr w14:paraId="195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6C20972E">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货物</w:t>
            </w:r>
          </w:p>
          <w:p w14:paraId="2742C987">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5866" w:type="dxa"/>
            <w:noWrap w:val="0"/>
            <w:vAlign w:val="center"/>
          </w:tcPr>
          <w:p w14:paraId="75EBFBC7">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投标人资格要求</w:t>
            </w:r>
          </w:p>
        </w:tc>
        <w:tc>
          <w:tcPr>
            <w:tcW w:w="1617" w:type="dxa"/>
            <w:noWrap w:val="0"/>
            <w:vAlign w:val="center"/>
          </w:tcPr>
          <w:p w14:paraId="77C829DC">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预算金额(元)</w:t>
            </w:r>
          </w:p>
        </w:tc>
      </w:tr>
      <w:tr w14:paraId="4A9F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8" w:type="dxa"/>
            <w:noWrap w:val="0"/>
            <w:vAlign w:val="center"/>
          </w:tcPr>
          <w:p w14:paraId="40D06FE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基于中医十二时辰理论的健康行为提醒系统及可穿戴设备发明专利代理服务</w:t>
            </w:r>
          </w:p>
          <w:p w14:paraId="217C12CA">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center"/>
              <w:rPr>
                <w:rFonts w:hint="eastAsia" w:ascii="仿宋" w:hAnsi="仿宋" w:eastAsia="仿宋" w:cs="仿宋"/>
                <w:color w:val="auto"/>
                <w:kern w:val="0"/>
                <w:sz w:val="32"/>
                <w:szCs w:val="32"/>
              </w:rPr>
            </w:pPr>
          </w:p>
        </w:tc>
        <w:tc>
          <w:tcPr>
            <w:tcW w:w="5866" w:type="dxa"/>
            <w:noWrap w:val="0"/>
            <w:vAlign w:val="center"/>
          </w:tcPr>
          <w:p w14:paraId="7CB38EF5">
            <w:pPr>
              <w:pStyle w:val="26"/>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提供营业执照）</w:t>
            </w:r>
            <w:r>
              <w:rPr>
                <w:rFonts w:hint="eastAsia" w:ascii="仿宋" w:hAnsi="仿宋" w:eastAsia="仿宋" w:cs="仿宋"/>
                <w:color w:val="auto"/>
                <w:kern w:val="0"/>
                <w:sz w:val="32"/>
                <w:szCs w:val="32"/>
              </w:rPr>
              <w:t>。</w:t>
            </w:r>
          </w:p>
          <w:p w14:paraId="0C9EFBE4">
            <w:pPr>
              <w:pStyle w:val="26"/>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持有国家知识产权局颁发的专利代理机构注册证</w:t>
            </w:r>
            <w:r>
              <w:rPr>
                <w:rFonts w:hint="eastAsia" w:ascii="仿宋" w:hAnsi="仿宋" w:eastAsia="仿宋" w:cs="仿宋"/>
                <w:color w:val="auto"/>
                <w:kern w:val="0"/>
                <w:sz w:val="32"/>
                <w:szCs w:val="32"/>
                <w:lang w:eastAsia="zh-CN"/>
              </w:rPr>
              <w:t>。</w:t>
            </w:r>
          </w:p>
          <w:p w14:paraId="7FE9C4E5">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.近三年内（成立时间不足三年的、自成立时间起），在经营活动中没有重大违法记录，提供声明函原件（</w:t>
            </w:r>
            <w:r>
              <w:rPr>
                <w:rFonts w:hint="eastAsia" w:ascii="仿宋" w:hAnsi="仿宋" w:eastAsia="仿宋" w:cs="仿宋"/>
                <w:color w:val="auto"/>
                <w:kern w:val="0"/>
                <w:sz w:val="32"/>
                <w:szCs w:val="32"/>
                <w:lang w:val="en-US" w:eastAsia="zh-CN"/>
              </w:rPr>
              <w:t>详见附件3</w:t>
            </w:r>
            <w:r>
              <w:rPr>
                <w:rFonts w:hint="eastAsia" w:ascii="仿宋" w:hAnsi="仿宋" w:eastAsia="仿宋" w:cs="仿宋"/>
                <w:color w:val="auto"/>
                <w:kern w:val="0"/>
                <w:sz w:val="32"/>
                <w:szCs w:val="32"/>
              </w:rPr>
              <w:t>，重大违法记录是指供应商因违法经营受到刑事处罚或责令停产停业、吊销许可证或者执照、较大数额等行政处罚）。</w:t>
            </w:r>
          </w:p>
          <w:p w14:paraId="0BA0B25F">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.未被“信用中国”网站（www.creditchina.gov.cn）列入失信被执行人、重大税收违法案件当事人名单、政府采购严重失信行为记录名单</w:t>
            </w:r>
            <w:r>
              <w:rPr>
                <w:rFonts w:hint="eastAsia" w:ascii="仿宋" w:hAnsi="仿宋" w:eastAsia="仿宋" w:cs="仿宋"/>
                <w:color w:val="auto"/>
                <w:kern w:val="0"/>
                <w:sz w:val="32"/>
                <w:szCs w:val="32"/>
                <w:lang w:val="en-US" w:eastAsia="zh-CN"/>
              </w:rPr>
              <w:t>或信用报告</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提供网上截图</w:t>
            </w:r>
            <w:r>
              <w:rPr>
                <w:rFonts w:hint="eastAsia" w:ascii="仿宋" w:hAnsi="仿宋" w:eastAsia="仿宋" w:cs="仿宋"/>
                <w:i w:val="0"/>
                <w:iCs w:val="0"/>
                <w:caps w:val="0"/>
                <w:color w:val="auto"/>
                <w:spacing w:val="0"/>
                <w:sz w:val="32"/>
                <w:szCs w:val="32"/>
                <w:shd w:val="clear" w:fill="FFFFFF"/>
              </w:rPr>
              <w:t>加盖公章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54F498F6">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5.近3年完成至少5件中医药/健康设备领域发明专利代理。</w:t>
            </w:r>
          </w:p>
          <w:p w14:paraId="1FFFA81E">
            <w:pPr>
              <w:pStyle w:val="26"/>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.本项目不接受联合体参与报价，成交后不允许转包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提交承诺函。</w:t>
            </w:r>
          </w:p>
        </w:tc>
        <w:tc>
          <w:tcPr>
            <w:tcW w:w="1617" w:type="dxa"/>
            <w:noWrap w:val="0"/>
            <w:vAlign w:val="center"/>
          </w:tcPr>
          <w:p w14:paraId="7A738478">
            <w:pPr>
              <w:keepNext w:val="0"/>
              <w:keepLines w:val="0"/>
              <w:pageBreakBefore w:val="0"/>
              <w:kinsoku/>
              <w:wordWrap/>
              <w:overflowPunct/>
              <w:topLinePunct w:val="0"/>
              <w:autoSpaceDE/>
              <w:autoSpaceDN/>
              <w:bidi w:val="0"/>
              <w:adjustRightInd w:val="0"/>
              <w:snapToGrid w:val="0"/>
              <w:spacing w:line="520" w:lineRule="exact"/>
              <w:ind w:left="0" w:leftChars="0"/>
              <w:jc w:val="center"/>
              <w:rPr>
                <w:rFonts w:hint="eastAsia" w:ascii="仿宋" w:hAnsi="仿宋" w:eastAsia="仿宋" w:cs="仿宋"/>
                <w:color w:val="auto"/>
                <w:sz w:val="32"/>
                <w:szCs w:val="32"/>
                <w:lang w:val="en-US"/>
              </w:rPr>
            </w:pPr>
            <w:r>
              <w:rPr>
                <w:rFonts w:hint="eastAsia" w:ascii="仿宋" w:hAnsi="仿宋" w:eastAsia="仿宋" w:cs="仿宋"/>
                <w:bCs w:val="0"/>
                <w:color w:val="auto"/>
                <w:kern w:val="0"/>
                <w:sz w:val="32"/>
                <w:szCs w:val="32"/>
                <w:lang w:val="en-US" w:eastAsia="zh-CN" w:bidi="ar-SA"/>
              </w:rPr>
              <w:t>12000.00</w:t>
            </w:r>
          </w:p>
        </w:tc>
      </w:tr>
    </w:tbl>
    <w:p w14:paraId="5E5549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51001C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四、投标人须知</w:t>
      </w:r>
    </w:p>
    <w:p w14:paraId="3AB7846F">
      <w:pPr>
        <w:keepNext w:val="0"/>
        <w:keepLines w:val="0"/>
        <w:pageBreakBefore w:val="0"/>
        <w:widowControl w:val="0"/>
        <w:kinsoku/>
        <w:wordWrap/>
        <w:overflowPunct/>
        <w:topLinePunct w:val="0"/>
        <w:autoSpaceDE/>
        <w:autoSpaceDN/>
        <w:bidi w:val="0"/>
        <w:adjustRightInd w:val="0"/>
        <w:snapToGrid w:val="0"/>
        <w:spacing w:line="540" w:lineRule="exact"/>
        <w:ind w:left="319" w:leftChars="114"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22</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17 </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分（北京时间，法定节假日除外），逾期不再受理。</w:t>
      </w:r>
    </w:p>
    <w:p w14:paraId="74E0D5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67286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采购文件获取方式：</w:t>
      </w:r>
      <w:r>
        <w:rPr>
          <w:rFonts w:hint="eastAsia" w:ascii="仿宋" w:hAnsi="仿宋" w:eastAsia="仿宋" w:cs="仿宋"/>
          <w:sz w:val="32"/>
          <w:szCs w:val="32"/>
          <w:lang w:val="en-US" w:eastAsia="zh-CN"/>
        </w:rPr>
        <w:t>海南卫生健康职业学院官方</w:t>
      </w:r>
      <w:r>
        <w:rPr>
          <w:rFonts w:hint="eastAsia" w:ascii="仿宋" w:hAnsi="仿宋" w:eastAsia="仿宋" w:cs="仿宋"/>
          <w:sz w:val="32"/>
          <w:szCs w:val="32"/>
        </w:rPr>
        <w:t>网站（https://www.hnhvc.edu.cn/1036/list.htm）自行下载。</w:t>
      </w:r>
    </w:p>
    <w:p w14:paraId="41C7C2E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递交报价文件时间及地点：</w:t>
      </w:r>
    </w:p>
    <w:p w14:paraId="582CE46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 时间：报价文件递交截止时间202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21日上午9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分（北京时间），逾期未提交报价文件者视为自动放弃本项目报价资格。</w:t>
      </w:r>
    </w:p>
    <w:p w14:paraId="47F00E9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sz w:val="32"/>
          <w:szCs w:val="32"/>
          <w:lang w:val="en-US" w:eastAsia="zh-CN"/>
        </w:rPr>
        <w:t>海口市秀英区秀华路32号海南卫生健康职业学院行政办公楼301会议室</w:t>
      </w:r>
      <w:r>
        <w:rPr>
          <w:rFonts w:hint="eastAsia" w:ascii="仿宋" w:hAnsi="仿宋" w:eastAsia="仿宋" w:cs="仿宋"/>
          <w:sz w:val="32"/>
          <w:szCs w:val="32"/>
        </w:rPr>
        <w:t>。</w:t>
      </w:r>
    </w:p>
    <w:p w14:paraId="64476E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开标时间及地点：</w:t>
      </w:r>
    </w:p>
    <w:p w14:paraId="2DCED1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 时间：2</w:t>
      </w:r>
      <w:r>
        <w:rPr>
          <w:rFonts w:hint="eastAsia" w:ascii="仿宋" w:hAnsi="仿宋" w:eastAsia="仿宋" w:cs="仿宋"/>
          <w:sz w:val="32"/>
          <w:szCs w:val="32"/>
          <w:lang w:val="en-US" w:eastAsia="zh-CN"/>
        </w:rPr>
        <w:t>025年8月21日上午9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分（北京时间）；</w:t>
      </w:r>
    </w:p>
    <w:p w14:paraId="094F943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sz w:val="32"/>
          <w:szCs w:val="32"/>
          <w:lang w:val="en-US" w:eastAsia="zh-CN"/>
        </w:rPr>
        <w:t>海口市秀英区秀华路32号海南卫生健康职业学院行政办公室301会议室</w:t>
      </w:r>
      <w:r>
        <w:rPr>
          <w:rFonts w:hint="eastAsia" w:ascii="仿宋" w:hAnsi="仿宋" w:eastAsia="仿宋" w:cs="仿宋"/>
          <w:sz w:val="32"/>
          <w:szCs w:val="32"/>
        </w:rPr>
        <w:t>。</w:t>
      </w:r>
    </w:p>
    <w:p w14:paraId="430AA43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报价要求及成交原则：</w:t>
      </w:r>
    </w:p>
    <w:p w14:paraId="5DF4C1E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50C7EF2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w:t>
      </w:r>
      <w:r>
        <w:rPr>
          <w:rFonts w:hint="eastAsia" w:ascii="仿宋" w:hAnsi="仿宋" w:eastAsia="仿宋" w:cs="仿宋"/>
          <w:sz w:val="32"/>
          <w:szCs w:val="32"/>
          <w:lang w:val="en-US" w:eastAsia="zh-CN"/>
        </w:rPr>
        <w:t>允许现场二次报价，</w:t>
      </w:r>
      <w:r>
        <w:rPr>
          <w:rFonts w:hint="eastAsia" w:ascii="仿宋" w:hAnsi="仿宋" w:eastAsia="仿宋" w:cs="仿宋"/>
          <w:sz w:val="32"/>
          <w:szCs w:val="32"/>
        </w:rPr>
        <w:t>供应商报价和承诺一经认可，即为成交的合同价。</w:t>
      </w:r>
    </w:p>
    <w:p w14:paraId="5D7F160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r>
        <w:rPr>
          <w:rFonts w:hint="eastAsia" w:ascii="仿宋" w:hAnsi="仿宋" w:eastAsia="仿宋" w:cs="仿宋"/>
          <w:color w:val="0000FF"/>
          <w:sz w:val="32"/>
          <w:szCs w:val="32"/>
        </w:rPr>
        <w:br w:type="textWrapping"/>
      </w:r>
      <w:r>
        <w:rPr>
          <w:rFonts w:hint="eastAsia" w:ascii="仿宋" w:hAnsi="仿宋" w:eastAsia="仿宋" w:cs="仿宋"/>
          <w:sz w:val="32"/>
          <w:szCs w:val="32"/>
          <w:lang w:val="en-US" w:eastAsia="zh-CN"/>
        </w:rPr>
        <w:t xml:space="preserve">    7</w:t>
      </w:r>
      <w:r>
        <w:rPr>
          <w:rFonts w:hint="eastAsia" w:ascii="仿宋" w:hAnsi="仿宋" w:eastAsia="仿宋" w:cs="仿宋"/>
          <w:sz w:val="32"/>
          <w:szCs w:val="32"/>
          <w:lang w:eastAsia="zh-CN"/>
        </w:rPr>
        <w:t>.</w:t>
      </w:r>
      <w:r>
        <w:rPr>
          <w:rFonts w:hint="eastAsia" w:ascii="仿宋" w:hAnsi="仿宋" w:eastAsia="仿宋" w:cs="仿宋"/>
          <w:sz w:val="32"/>
          <w:szCs w:val="32"/>
        </w:rPr>
        <w:t>报价文件编制要求：</w:t>
      </w:r>
    </w:p>
    <w:p w14:paraId="2184A71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.1 本项目相关的资质证明材料；</w:t>
      </w:r>
    </w:p>
    <w:p w14:paraId="78DE4CC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.2 近三年内，在经营活动中没有重大违法记录的声明原件；</w:t>
      </w:r>
    </w:p>
    <w:p w14:paraId="34D5FA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64D449B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报价文件一式三份（包含相应材料，须胶装打印）电子文档1份（U盘</w:t>
      </w:r>
      <w:r>
        <w:rPr>
          <w:rFonts w:hint="eastAsia" w:ascii="仿宋" w:hAnsi="仿宋" w:eastAsia="仿宋" w:cs="仿宋"/>
          <w:color w:val="auto"/>
          <w:sz w:val="32"/>
          <w:szCs w:val="32"/>
          <w:lang w:val="en-US" w:eastAsia="zh-CN"/>
        </w:rPr>
        <w:t>或光盘</w:t>
      </w:r>
      <w:r>
        <w:rPr>
          <w:rFonts w:hint="eastAsia" w:ascii="仿宋" w:hAnsi="仿宋" w:eastAsia="仿宋" w:cs="仿宋"/>
          <w:color w:val="auto"/>
          <w:sz w:val="32"/>
          <w:szCs w:val="32"/>
        </w:rPr>
        <w:t>），其中正本壹份、副本贰份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正本、副本和电子文档一起密封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，“正本”和“副本”之间如有差异，以正本为准。在封面上注明项目名称、编号、盖章密封后递交采购人。</w:t>
      </w:r>
    </w:p>
    <w:p w14:paraId="011CD30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五、联系方式 </w:t>
      </w:r>
      <w:r>
        <w:rPr>
          <w:rFonts w:hint="eastAsia" w:ascii="方正仿宋_GB2312" w:hAnsi="方正仿宋_GB2312" w:eastAsia="方正仿宋_GB2312" w:cs="方正仿宋_GB2312"/>
          <w:sz w:val="32"/>
          <w:szCs w:val="32"/>
        </w:rPr>
        <w:t xml:space="preserve">  </w:t>
      </w:r>
    </w:p>
    <w:p w14:paraId="1FF7A7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凌老师、喻老师</w:t>
      </w:r>
    </w:p>
    <w:p w14:paraId="7EFDFE1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0898-68642247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0898-68662169</w:t>
      </w:r>
      <w:r>
        <w:rPr>
          <w:rFonts w:hint="eastAsia" w:ascii="仿宋_GB2312" w:hAnsi="仿宋_GB2312" w:eastAsia="仿宋_GB2312" w:cs="仿宋_GB2312"/>
          <w:sz w:val="32"/>
          <w:szCs w:val="32"/>
        </w:rPr>
        <w:t xml:space="preserve">   </w:t>
      </w:r>
    </w:p>
    <w:p w14:paraId="391B839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邮箱：hnwjy0898@163.com</w:t>
      </w:r>
    </w:p>
    <w:p w14:paraId="34A5D0F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海南卫生健康职业学院校长办公室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海口市秀英区秀华路32号行政办公楼3楼305办公室</w:t>
      </w:r>
      <w:r>
        <w:rPr>
          <w:rFonts w:hint="eastAsia" w:ascii="仿宋_GB2312" w:hAnsi="仿宋_GB2312" w:eastAsia="仿宋_GB2312" w:cs="仿宋_GB2312"/>
          <w:sz w:val="32"/>
          <w:szCs w:val="32"/>
        </w:rPr>
        <w:t>)</w:t>
      </w:r>
    </w:p>
    <w:p w14:paraId="58D03FF4">
      <w:pPr>
        <w:rPr>
          <w:rFonts w:hint="eastAsia"/>
        </w:rPr>
      </w:pPr>
      <w:bookmarkStart w:id="13" w:name="_Toc356491306"/>
      <w:r>
        <w:rPr>
          <w:rFonts w:hint="eastAsia"/>
        </w:rPr>
        <w:br w:type="page"/>
      </w:r>
      <w:bookmarkStart w:id="14" w:name="_Toc40089789"/>
      <w:bookmarkStart w:id="15" w:name="_Toc29613"/>
    </w:p>
    <w:p w14:paraId="234946FD">
      <w:pPr>
        <w:pStyle w:val="3"/>
        <w:pageBreakBefore w:val="0"/>
        <w:kinsoku/>
        <w:wordWrap/>
        <w:overflowPunct/>
        <w:topLinePunct w:val="0"/>
        <w:autoSpaceDE/>
        <w:autoSpaceDN/>
        <w:bidi w:val="0"/>
        <w:adjustRightInd w:val="0"/>
        <w:snapToGrid w:val="0"/>
        <w:spacing w:line="560" w:lineRule="exact"/>
        <w:ind w:left="0" w:leftChars="0"/>
        <w:rPr>
          <w:rFonts w:hint="eastAsia" w:ascii="宋体" w:hAnsi="宋体" w:eastAsia="宋体" w:cs="宋体"/>
          <w:sz w:val="44"/>
          <w:szCs w:val="44"/>
        </w:rPr>
      </w:pPr>
      <w:bookmarkStart w:id="16" w:name="_Toc12253"/>
      <w:r>
        <w:rPr>
          <w:rFonts w:hint="eastAsia" w:ascii="宋体" w:hAnsi="宋体" w:eastAsia="宋体" w:cs="宋体"/>
          <w:sz w:val="44"/>
          <w:szCs w:val="44"/>
        </w:rPr>
        <w:t>第二部分  开标、评标、定标</w:t>
      </w:r>
      <w:bookmarkEnd w:id="16"/>
    </w:p>
    <w:p w14:paraId="0065F6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17" w:name="_Toc325620714"/>
      <w:bookmarkStart w:id="18" w:name="_Toc29040"/>
      <w:bookmarkStart w:id="19" w:name="_Toc332979555"/>
      <w:r>
        <w:rPr>
          <w:rFonts w:hint="eastAsia" w:ascii="黑体" w:hAnsi="黑体" w:eastAsia="黑体" w:cs="黑体"/>
          <w:sz w:val="32"/>
          <w:szCs w:val="32"/>
        </w:rPr>
        <w:t>一、开标</w:t>
      </w:r>
      <w:bookmarkEnd w:id="17"/>
      <w:bookmarkEnd w:id="18"/>
      <w:bookmarkEnd w:id="19"/>
    </w:p>
    <w:p w14:paraId="2850A11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文件规定的时间、地点开标。开标由采购人主持，供应商和有关方面的代表参加。供应商法定代表人或其授权代理人应参加并签名报到以证明其出席。</w:t>
      </w:r>
    </w:p>
    <w:p w14:paraId="347405A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开标时，由供应商或者其推选的代表检查响应文件的密封情况。</w:t>
      </w:r>
    </w:p>
    <w:p w14:paraId="517A3B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工作人员当众拆封，宣读供应商名称、投标价格和响应文件的其他主要内容。采购人在</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文件要求提交响应文件的截止时间前收到的所有响应文件，开标时当众予以拆封、宣读。</w:t>
      </w:r>
    </w:p>
    <w:p w14:paraId="5E0D5B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记录员将唱价内容记录并由供应商法定代表人或授权代理人签字确认。</w:t>
      </w:r>
    </w:p>
    <w:p w14:paraId="685BAEA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20" w:name="_Toc325620715"/>
      <w:bookmarkStart w:id="21" w:name="_Toc332979556"/>
      <w:bookmarkStart w:id="22" w:name="_Toc27176"/>
      <w:r>
        <w:rPr>
          <w:rFonts w:hint="eastAsia" w:ascii="黑体" w:hAnsi="黑体" w:eastAsia="黑体" w:cs="黑体"/>
          <w:b w:val="0"/>
          <w:bCs/>
          <w:sz w:val="32"/>
          <w:szCs w:val="32"/>
        </w:rPr>
        <w:t>二、</w:t>
      </w:r>
      <w:bookmarkEnd w:id="20"/>
      <w:bookmarkEnd w:id="21"/>
      <w:bookmarkEnd w:id="22"/>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小组</w:t>
      </w:r>
    </w:p>
    <w:p w14:paraId="6C9F47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本项目将根据项目特点组成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小组，其成员由</w:t>
      </w:r>
      <w:r>
        <w:rPr>
          <w:rFonts w:hint="eastAsia" w:ascii="仿宋_GB2312" w:hAnsi="仿宋_GB2312" w:eastAsia="仿宋_GB2312" w:cs="仿宋_GB2312"/>
          <w:sz w:val="32"/>
          <w:szCs w:val="32"/>
          <w:lang w:val="en-US" w:eastAsia="zh-CN"/>
        </w:rPr>
        <w:t>学校推荐</w:t>
      </w:r>
      <w:r>
        <w:rPr>
          <w:rFonts w:hint="eastAsia" w:ascii="仿宋_GB2312" w:hAnsi="仿宋_GB2312" w:eastAsia="仿宋_GB2312" w:cs="仿宋_GB2312"/>
          <w:sz w:val="32"/>
          <w:szCs w:val="32"/>
        </w:rPr>
        <w:t>专家、采购人代表</w:t>
      </w:r>
      <w:r>
        <w:rPr>
          <w:rFonts w:hint="eastAsia" w:ascii="仿宋_GB2312" w:hAnsi="仿宋_GB2312" w:eastAsia="仿宋_GB2312" w:cs="仿宋_GB2312"/>
          <w:sz w:val="32"/>
          <w:szCs w:val="32"/>
          <w:lang w:eastAsia="zh-CN"/>
        </w:rPr>
        <w:t>、法务</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小组负责对响应文件进行审查、质疑、评审，推荐成交候选供应商。</w:t>
      </w:r>
    </w:p>
    <w:p w14:paraId="7E3DFD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3" w:name="_Toc332979557"/>
      <w:bookmarkStart w:id="24" w:name="_Toc325620716"/>
      <w:bookmarkStart w:id="25" w:name="_Toc27961"/>
      <w:r>
        <w:rPr>
          <w:rFonts w:hint="eastAsia" w:ascii="黑体" w:hAnsi="黑体" w:eastAsia="黑体" w:cs="黑体"/>
          <w:sz w:val="32"/>
          <w:szCs w:val="32"/>
        </w:rPr>
        <w:t>三、评审原则</w:t>
      </w:r>
      <w:bookmarkEnd w:id="23"/>
      <w:bookmarkEnd w:id="24"/>
      <w:bookmarkEnd w:id="25"/>
    </w:p>
    <w:p w14:paraId="2D07C5B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“公平、公正、择优、效益”为本次招标的基本原则，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小组按照这一原则的要求，公正、平等地对待各供应商。同时，在评审过程中恪守以下原则：</w:t>
      </w:r>
    </w:p>
    <w:p w14:paraId="2AC9FB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小组将严格按照</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文件要求的内容，对供应商的响应文件进行认真评审；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小组对响应文件的评审仅依据响应文件本身，而不依靠响应文件以外的任何因素；</w:t>
      </w:r>
    </w:p>
    <w:p w14:paraId="63F8091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小组将按照统一的原则和方法，对各供应商的响应文件进行评审；</w:t>
      </w:r>
    </w:p>
    <w:p w14:paraId="4A9C7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独立性原则：评标工作在</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小组内部独立进行，不受外界任何因素的干扰和影响，</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小组成员对出具的专家意见承担个人责任；</w:t>
      </w:r>
    </w:p>
    <w:p w14:paraId="01F6E5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小组成员及有关工作人员将保守供应商的商业秘密；</w:t>
      </w:r>
    </w:p>
    <w:p w14:paraId="4B86736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综合性原则：</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小组将综合分析评审供应商的各项指标，而不以单项指标的优劣评定中标人；</w:t>
      </w:r>
    </w:p>
    <w:p w14:paraId="22D05A9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26" w:name="_Toc9800"/>
      <w:bookmarkStart w:id="27" w:name="_Toc332979558"/>
      <w:bookmarkStart w:id="28" w:name="_Toc325620717"/>
      <w:r>
        <w:rPr>
          <w:rFonts w:hint="eastAsia" w:ascii="黑体" w:hAnsi="黑体" w:eastAsia="黑体" w:cs="黑体"/>
          <w:sz w:val="32"/>
          <w:szCs w:val="32"/>
        </w:rPr>
        <w:t>四、</w:t>
      </w:r>
      <w:bookmarkEnd w:id="26"/>
      <w:bookmarkEnd w:id="27"/>
      <w:bookmarkEnd w:id="28"/>
      <w:r>
        <w:rPr>
          <w:rFonts w:hint="eastAsia" w:ascii="黑体" w:hAnsi="黑体" w:eastAsia="黑体" w:cs="黑体"/>
          <w:sz w:val="32"/>
          <w:szCs w:val="32"/>
          <w:lang w:eastAsia="zh-CN"/>
        </w:rPr>
        <w:t>谈判</w:t>
      </w:r>
      <w:r>
        <w:rPr>
          <w:rFonts w:hint="eastAsia" w:ascii="黑体" w:hAnsi="黑体" w:eastAsia="黑体" w:cs="黑体"/>
          <w:sz w:val="32"/>
          <w:szCs w:val="32"/>
        </w:rPr>
        <w:t>程序</w:t>
      </w:r>
    </w:p>
    <w:p w14:paraId="34338A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bookmarkStart w:id="29" w:name="_Toc325620718"/>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公开报价：采购人将对所有参与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的供应商的报价内容进行公开报价。</w:t>
      </w:r>
    </w:p>
    <w:p w14:paraId="435B28C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小组对供应商进行资格审查、审查供应商是否按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1762C06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供应商提供的有关资格、资质证明文件不真实或提供虚假材料；</w:t>
      </w:r>
    </w:p>
    <w:p w14:paraId="33654A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供应商未按</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文件要求装订的；</w:t>
      </w:r>
    </w:p>
    <w:p w14:paraId="1CDBE4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在整个</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过程中，供应商有企图影响采购结果公正性的任何活动；</w:t>
      </w:r>
    </w:p>
    <w:p w14:paraId="505C039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供应商以任何方式诋毁其他供应商；</w:t>
      </w:r>
    </w:p>
    <w:p w14:paraId="7DA23F4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供应商串通报价；</w:t>
      </w:r>
    </w:p>
    <w:p w14:paraId="293B6E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以他人名义报价或者以其他方式弄虚作假，骗取成交；</w:t>
      </w:r>
    </w:p>
    <w:p w14:paraId="1DBDD98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成交供应商不按要求签订合同；</w:t>
      </w:r>
    </w:p>
    <w:p w14:paraId="3B3F38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提供多个报价方案的；</w:t>
      </w:r>
    </w:p>
    <w:p w14:paraId="45F6A4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供应商必须明确所报产品的品牌、型号及规格参数，描述不清楚的视为无效报价；</w:t>
      </w:r>
    </w:p>
    <w:p w14:paraId="4B1AC6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法律、法规规定的其他情况。</w:t>
      </w:r>
    </w:p>
    <w:p w14:paraId="557E4E4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资格审查合格供应商按照报名顺序或签到顺序确定</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顺序。</w:t>
      </w:r>
    </w:p>
    <w:p w14:paraId="25CED92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小组所有成员集中与单一供应商进行一对一的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sz w:val="32"/>
          <w:szCs w:val="32"/>
          <w:lang w:eastAsia="zh-CN"/>
        </w:rPr>
        <w:t>谈</w:t>
      </w:r>
      <w:r>
        <w:rPr>
          <w:rFonts w:hint="eastAsia" w:ascii="仿宋_GB2312" w:hAnsi="仿宋_GB2312" w:eastAsia="仿宋_GB2312" w:cs="仿宋_GB2312"/>
          <w:sz w:val="32"/>
          <w:szCs w:val="32"/>
          <w:lang w:eastAsia="zh-CN"/>
        </w:rPr>
        <w:t>判</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的任何一方不得透露与</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有关的其他供应商的技术资料、价格和其他信息。</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文件有实质性变动时（仅包括采购需求中的技术、服务要求以及合同草案条款），</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小组以书面形式通知所有参加</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的供应商。</w:t>
      </w:r>
    </w:p>
    <w:p w14:paraId="0C944C2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在报价范围及技术要求不变的前提下，最终报价不得高于初始报价，否则按照无效报价处理。</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重点：主要针对供应商所投货物性能特点、质量等是否满足采购人的要求进行</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w:t>
      </w:r>
    </w:p>
    <w:p w14:paraId="3F8B59C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1）供应商所报货物的性能特点、质量；</w:t>
      </w:r>
    </w:p>
    <w:p w14:paraId="21D250A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2）商务条款的陈述；</w:t>
      </w:r>
    </w:p>
    <w:p w14:paraId="67B54F9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3）专家针对各供应商响应文件对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文件的响应情况提问；</w:t>
      </w:r>
    </w:p>
    <w:p w14:paraId="4920DFE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结束后，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小组要求所有参加</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的供应商在规定的时间内进行最后报价及有关承诺。如果</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过程未对文件做实质性变动，供应商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最后报价不得高于其初始报价。</w:t>
      </w:r>
    </w:p>
    <w:p w14:paraId="27B763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评审方法</w:t>
      </w:r>
    </w:p>
    <w:p w14:paraId="7A9FB76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小组应当从质量和服务均能满足采购文件实质性响应要求的供应商中，按照最后报价总分值由低到高的顺序提出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名成交候选人，并编写评审报告。若最后报价出现两家或两家以上供应商最低时，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小组直接确定成交供应商。采购人逾期未确定成交供应商且不提出异议的，视为确定评审报告提出的最后报价最低的供应商为成交供应商。</w:t>
      </w:r>
    </w:p>
    <w:p w14:paraId="2ACF36E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2）如出现供应商达不到法定数量、全部不符合</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文件要求、串通报价、报价均超项目预算，导致</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小组无法评审时，</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小组有权停止本次</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采购，否决所有供应商的报价，采购人有权改用其它采购方式进行采购。</w:t>
      </w:r>
    </w:p>
    <w:p w14:paraId="76F572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3）禁止供应商相互串通报价：</w:t>
      </w:r>
    </w:p>
    <w:p w14:paraId="3F54662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有下列情形之一的，属于供应商相互串通报价：</w:t>
      </w:r>
    </w:p>
    <w:p w14:paraId="77B361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（1）供应商之间协商报价等响应文件的实质性内容；</w:t>
      </w:r>
    </w:p>
    <w:p w14:paraId="34DB862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（2）供应商之间约定成交供应商；</w:t>
      </w:r>
    </w:p>
    <w:p w14:paraId="48B6C7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（3）供应商之间约定部分供应商放弃报价或者成交；</w:t>
      </w:r>
    </w:p>
    <w:p w14:paraId="1D536B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（4）属于同一集团、协会、商会等组织成员的供应商按照该组织要求协同报价；</w:t>
      </w:r>
    </w:p>
    <w:p w14:paraId="33FEA51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（5）供应商之间为谋取成交或者排斥特定供应商而采取的其他联合行动。</w:t>
      </w:r>
    </w:p>
    <w:p w14:paraId="7B7B15C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4）有下列情形之一的，视为供应商相互串通报价：</w:t>
      </w:r>
    </w:p>
    <w:p w14:paraId="7C70E2B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w:t>
      </w:r>
    </w:p>
    <w:p w14:paraId="5BFF5B7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事宜；</w:t>
      </w:r>
    </w:p>
    <w:p w14:paraId="34F5894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（3）不同供应商的响应文件载明的项目管理成员为同一人；</w:t>
      </w:r>
    </w:p>
    <w:p w14:paraId="7DAE01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（4）不同供应商的响应文件异常一致或者报价呈规律性差异；</w:t>
      </w:r>
    </w:p>
    <w:p w14:paraId="1BFAE6D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14:paraId="04BE232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5）弄虚作假的行为</w:t>
      </w:r>
    </w:p>
    <w:p w14:paraId="73F9CF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使用通过受让或者租借等方式获取的资格、资质证书报价的。</w:t>
      </w:r>
    </w:p>
    <w:p w14:paraId="2C450BA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以其他方式弄虚作假的行为：</w:t>
      </w:r>
    </w:p>
    <w:p w14:paraId="128B042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（1）使用伪造、变造的许可证件；</w:t>
      </w:r>
    </w:p>
    <w:p w14:paraId="7011A88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（2）提供虚假的财务状况或者业绩；</w:t>
      </w:r>
    </w:p>
    <w:p w14:paraId="109326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（3）提供虚假的项目负责人或者主要技术人员简历、劳动关系证明；</w:t>
      </w:r>
    </w:p>
    <w:p w14:paraId="1A172BC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（4）提供虚假的信用状况；</w:t>
      </w:r>
    </w:p>
    <w:p w14:paraId="63F8AEA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（5）其他弄虚作假的行为。</w:t>
      </w:r>
    </w:p>
    <w:p w14:paraId="41A023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sz w:val="32"/>
          <w:szCs w:val="32"/>
        </w:rPr>
      </w:pPr>
      <w:bookmarkStart w:id="30" w:name="_Toc332979559"/>
      <w:bookmarkStart w:id="31" w:name="_Toc22147"/>
      <w:r>
        <w:rPr>
          <w:rFonts w:hint="eastAsia" w:ascii="黑体" w:hAnsi="黑体" w:eastAsia="黑体" w:cs="黑体"/>
          <w:b w:val="0"/>
          <w:bCs/>
          <w:sz w:val="32"/>
          <w:szCs w:val="32"/>
        </w:rPr>
        <w:t>五、废标</w:t>
      </w:r>
      <w:bookmarkEnd w:id="29"/>
      <w:bookmarkEnd w:id="30"/>
      <w:bookmarkEnd w:id="31"/>
    </w:p>
    <w:p w14:paraId="083C20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76952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符合专业条件的供应商或者对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文件作实质响应的供应商不足三家的；</w:t>
      </w:r>
    </w:p>
    <w:p w14:paraId="6108E4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出现影响采购公正的违法、违规行为的；</w:t>
      </w:r>
    </w:p>
    <w:p w14:paraId="6465F67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供应商的报价均超过了预算金额（备注：设定最高限价的，本项内容改为最高限价）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招标人不能支付的；</w:t>
      </w:r>
    </w:p>
    <w:p w14:paraId="2C684D8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采购任务取消的；</w:t>
      </w:r>
    </w:p>
    <w:p w14:paraId="185E6B0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77213E2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3A436C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7.供应商（投标人）之间存在关联关系采购人有权根据学校采购有关规定取消其投标（或取消其提交响应文件），由此产生的一切后果均由相关供应商（投标人）承担。</w:t>
      </w:r>
    </w:p>
    <w:p w14:paraId="27D787D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.法律、法规规定的其他情况。</w:t>
      </w:r>
    </w:p>
    <w:p w14:paraId="2D2F6D1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sz w:val="32"/>
          <w:szCs w:val="32"/>
        </w:rPr>
      </w:pPr>
      <w:bookmarkStart w:id="32" w:name="_Toc325620719"/>
      <w:bookmarkStart w:id="33" w:name="_Toc3341"/>
      <w:bookmarkStart w:id="34" w:name="_Toc332979560"/>
      <w:r>
        <w:rPr>
          <w:rFonts w:hint="eastAsia" w:ascii="黑体" w:hAnsi="黑体" w:eastAsia="黑体" w:cs="黑体"/>
          <w:sz w:val="32"/>
          <w:szCs w:val="32"/>
        </w:rPr>
        <w:t>六、中标通知书</w:t>
      </w:r>
      <w:bookmarkEnd w:id="32"/>
      <w:bookmarkEnd w:id="33"/>
      <w:bookmarkEnd w:id="34"/>
    </w:p>
    <w:p w14:paraId="36958E0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评标结束后，由采购人向中标人签发《中标通知书》。</w:t>
      </w:r>
    </w:p>
    <w:p w14:paraId="6A85432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中标人收到中标通知书后，应于指定的时间、地点与招标人签订采购合同。</w:t>
      </w:r>
    </w:p>
    <w:p w14:paraId="5059654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文件及其补充、中标人的报价文件及澄清文件等，均为签订合同的依据。</w:t>
      </w:r>
    </w:p>
    <w:p w14:paraId="212043DA">
      <w:pPr>
        <w:bidi w:val="0"/>
        <w:jc w:val="center"/>
        <w:rPr>
          <w:rFonts w:hint="eastAsia" w:ascii="宋体" w:hAnsi="宋体" w:eastAsia="宋体" w:cs="宋体"/>
          <w:b/>
          <w:bCs/>
          <w:kern w:val="44"/>
          <w:sz w:val="44"/>
          <w:szCs w:val="44"/>
          <w:lang w:val="en-US" w:eastAsia="zh-CN" w:bidi="ar-SA"/>
        </w:rPr>
      </w:pPr>
      <w:bookmarkStart w:id="35" w:name="_Toc12499"/>
      <w:bookmarkStart w:id="36" w:name="_Toc18290"/>
      <w:bookmarkStart w:id="37" w:name="_Toc332979561"/>
    </w:p>
    <w:p w14:paraId="412D9595">
      <w:pPr>
        <w:bidi w:val="0"/>
        <w:jc w:val="center"/>
        <w:rPr>
          <w:rFonts w:hint="eastAsia" w:ascii="宋体" w:hAnsi="宋体" w:eastAsia="宋体" w:cs="宋体"/>
          <w:b/>
          <w:bCs/>
          <w:kern w:val="44"/>
          <w:sz w:val="44"/>
          <w:szCs w:val="44"/>
          <w:lang w:val="en-US" w:eastAsia="zh-CN" w:bidi="ar-SA"/>
        </w:rPr>
      </w:pPr>
    </w:p>
    <w:p w14:paraId="4248B7BC">
      <w:pPr>
        <w:bidi w:val="0"/>
        <w:jc w:val="center"/>
        <w:rPr>
          <w:rFonts w:hint="eastAsia" w:ascii="宋体" w:hAnsi="宋体" w:eastAsia="宋体" w:cs="宋体"/>
          <w:b/>
          <w:bCs/>
          <w:kern w:val="44"/>
          <w:sz w:val="44"/>
          <w:szCs w:val="44"/>
          <w:lang w:val="en-US" w:eastAsia="zh-CN" w:bidi="ar-SA"/>
        </w:rPr>
      </w:pPr>
    </w:p>
    <w:p w14:paraId="1FC103CC">
      <w:pPr>
        <w:bidi w:val="0"/>
        <w:jc w:val="center"/>
        <w:rPr>
          <w:rFonts w:hint="eastAsia" w:ascii="宋体" w:hAnsi="宋体" w:eastAsia="宋体" w:cs="宋体"/>
          <w:b/>
          <w:bCs/>
          <w:kern w:val="44"/>
          <w:sz w:val="44"/>
          <w:szCs w:val="44"/>
          <w:lang w:val="en-US" w:eastAsia="zh-CN" w:bidi="ar-SA"/>
        </w:rPr>
      </w:pPr>
    </w:p>
    <w:p w14:paraId="1B336048">
      <w:pPr>
        <w:bidi w:val="0"/>
        <w:jc w:val="center"/>
        <w:rPr>
          <w:rFonts w:hint="eastAsia" w:ascii="宋体" w:hAnsi="宋体" w:eastAsia="宋体" w:cs="宋体"/>
          <w:b/>
          <w:bCs/>
          <w:kern w:val="44"/>
          <w:sz w:val="44"/>
          <w:szCs w:val="44"/>
          <w:lang w:val="en-US" w:eastAsia="zh-CN" w:bidi="ar-SA"/>
        </w:rPr>
      </w:pPr>
    </w:p>
    <w:p w14:paraId="453A4DC2">
      <w:pPr>
        <w:bidi w:val="0"/>
        <w:jc w:val="center"/>
        <w:rPr>
          <w:rFonts w:hint="eastAsia" w:ascii="宋体" w:hAnsi="宋体" w:eastAsia="宋体" w:cs="宋体"/>
          <w:b/>
          <w:bCs/>
          <w:kern w:val="44"/>
          <w:sz w:val="44"/>
          <w:szCs w:val="44"/>
          <w:lang w:val="en-US" w:eastAsia="zh-CN" w:bidi="ar-SA"/>
        </w:rPr>
      </w:pPr>
    </w:p>
    <w:p w14:paraId="20FB98E2">
      <w:pPr>
        <w:bidi w:val="0"/>
        <w:jc w:val="center"/>
        <w:rPr>
          <w:rFonts w:hint="eastAsia" w:ascii="宋体" w:hAnsi="宋体" w:eastAsia="宋体" w:cs="宋体"/>
          <w:b/>
          <w:bCs/>
          <w:kern w:val="44"/>
          <w:sz w:val="44"/>
          <w:szCs w:val="44"/>
          <w:lang w:val="en-US" w:eastAsia="zh-CN" w:bidi="ar-SA"/>
        </w:rPr>
      </w:pPr>
    </w:p>
    <w:p w14:paraId="4A1D4597">
      <w:pPr>
        <w:bidi w:val="0"/>
        <w:jc w:val="center"/>
        <w:rPr>
          <w:rFonts w:hint="eastAsia" w:ascii="宋体" w:hAnsi="宋体" w:eastAsia="宋体" w:cs="宋体"/>
          <w:b/>
          <w:bCs/>
          <w:kern w:val="44"/>
          <w:sz w:val="44"/>
          <w:szCs w:val="44"/>
          <w:lang w:val="en-US" w:eastAsia="zh-CN" w:bidi="ar-SA"/>
        </w:rPr>
      </w:pPr>
    </w:p>
    <w:p w14:paraId="3B140FFA">
      <w:pPr>
        <w:bidi w:val="0"/>
        <w:jc w:val="center"/>
        <w:rPr>
          <w:rFonts w:hint="eastAsia" w:ascii="宋体" w:hAnsi="宋体" w:eastAsia="宋体" w:cs="宋体"/>
          <w:b/>
          <w:bCs/>
          <w:kern w:val="44"/>
          <w:sz w:val="44"/>
          <w:szCs w:val="44"/>
          <w:lang w:val="en-US" w:eastAsia="zh-CN" w:bidi="ar-SA"/>
        </w:rPr>
      </w:pPr>
    </w:p>
    <w:p w14:paraId="050CC94F">
      <w:pPr>
        <w:bidi w:val="0"/>
        <w:jc w:val="center"/>
        <w:rPr>
          <w:rFonts w:hint="eastAsia" w:ascii="宋体" w:hAnsi="宋体" w:eastAsia="宋体" w:cs="宋体"/>
          <w:b/>
          <w:bCs/>
          <w:kern w:val="44"/>
          <w:sz w:val="44"/>
          <w:szCs w:val="44"/>
          <w:lang w:val="en-US" w:eastAsia="zh-CN" w:bidi="ar-SA"/>
        </w:rPr>
      </w:pPr>
    </w:p>
    <w:p w14:paraId="719C6784">
      <w:pPr>
        <w:bidi w:val="0"/>
        <w:jc w:val="center"/>
        <w:rPr>
          <w:rFonts w:hint="eastAsia" w:ascii="宋体" w:hAnsi="宋体" w:eastAsia="宋体" w:cs="宋体"/>
          <w:b/>
          <w:bCs/>
          <w:kern w:val="44"/>
          <w:sz w:val="44"/>
          <w:szCs w:val="44"/>
          <w:lang w:val="en-US" w:eastAsia="zh-CN" w:bidi="ar-SA"/>
        </w:rPr>
      </w:pPr>
    </w:p>
    <w:p w14:paraId="392A0CEF">
      <w:pPr>
        <w:bidi w:val="0"/>
        <w:jc w:val="center"/>
        <w:rPr>
          <w:rFonts w:hint="eastAsia" w:ascii="宋体" w:hAnsi="宋体" w:eastAsia="宋体" w:cs="宋体"/>
          <w:b/>
          <w:bCs/>
          <w:kern w:val="44"/>
          <w:sz w:val="44"/>
          <w:szCs w:val="44"/>
          <w:lang w:val="en-US" w:eastAsia="zh-CN" w:bidi="ar-SA"/>
        </w:rPr>
      </w:pPr>
    </w:p>
    <w:p w14:paraId="00AF31F5">
      <w:pPr>
        <w:bidi w:val="0"/>
        <w:jc w:val="center"/>
        <w:rPr>
          <w:rFonts w:hint="eastAsia" w:ascii="宋体" w:hAnsi="宋体" w:eastAsia="宋体" w:cs="宋体"/>
          <w:b/>
          <w:bCs/>
          <w:kern w:val="44"/>
          <w:sz w:val="44"/>
          <w:szCs w:val="44"/>
          <w:lang w:val="en-US" w:eastAsia="zh-CN" w:bidi="ar-SA"/>
        </w:rPr>
      </w:pPr>
    </w:p>
    <w:p w14:paraId="6AB6D87D">
      <w:pPr>
        <w:bidi w:val="0"/>
        <w:jc w:val="center"/>
        <w:rPr>
          <w:rFonts w:hint="eastAsia" w:ascii="宋体" w:hAnsi="宋体" w:eastAsia="宋体" w:cs="宋体"/>
          <w:b/>
          <w:bCs/>
          <w:kern w:val="44"/>
          <w:sz w:val="44"/>
          <w:szCs w:val="44"/>
          <w:lang w:val="en-US" w:eastAsia="zh-CN" w:bidi="ar-SA"/>
        </w:rPr>
      </w:pPr>
    </w:p>
    <w:p w14:paraId="251A1D11">
      <w:pPr>
        <w:bidi w:val="0"/>
        <w:jc w:val="center"/>
        <w:rPr>
          <w:rFonts w:hint="eastAsia" w:ascii="宋体" w:hAnsi="宋体" w:eastAsia="宋体" w:cs="宋体"/>
          <w:b/>
          <w:bCs/>
          <w:kern w:val="44"/>
          <w:sz w:val="44"/>
          <w:szCs w:val="44"/>
          <w:lang w:val="en-US" w:eastAsia="zh-CN" w:bidi="ar-SA"/>
        </w:rPr>
      </w:pPr>
    </w:p>
    <w:p w14:paraId="6C06D8E3">
      <w:pPr>
        <w:bidi w:val="0"/>
        <w:jc w:val="center"/>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第三部分 授予合同</w:t>
      </w:r>
      <w:bookmarkEnd w:id="35"/>
      <w:bookmarkEnd w:id="36"/>
      <w:bookmarkEnd w:id="37"/>
    </w:p>
    <w:p w14:paraId="51789F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38" w:name="_Toc8997"/>
      <w:bookmarkStart w:id="39" w:name="_Toc325620721"/>
      <w:bookmarkStart w:id="40" w:name="_Toc332979562"/>
      <w:r>
        <w:rPr>
          <w:rFonts w:hint="eastAsia" w:ascii="黑体" w:hAnsi="黑体" w:eastAsia="黑体" w:cs="黑体"/>
          <w:sz w:val="32"/>
          <w:szCs w:val="32"/>
        </w:rPr>
        <w:t>一、签订合同</w:t>
      </w:r>
      <w:bookmarkEnd w:id="38"/>
      <w:bookmarkEnd w:id="39"/>
      <w:bookmarkEnd w:id="40"/>
    </w:p>
    <w:p w14:paraId="4DE331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评审工作结束后，采购人向成交供应商签发《中标通知书》，在</w:t>
      </w:r>
      <w:r>
        <w:rPr>
          <w:rFonts w:hint="eastAsia" w:ascii="仿宋_GB2312" w:hAnsi="仿宋_GB2312" w:eastAsia="仿宋_GB2312" w:cs="仿宋_GB2312"/>
          <w:sz w:val="32"/>
          <w:szCs w:val="32"/>
          <w:lang w:val="en-US" w:eastAsia="zh-CN"/>
        </w:rPr>
        <w:t>7个工作日</w:t>
      </w:r>
      <w:r>
        <w:rPr>
          <w:rFonts w:hint="eastAsia" w:ascii="仿宋_GB2312" w:hAnsi="仿宋_GB2312" w:eastAsia="仿宋_GB2312" w:cs="仿宋_GB2312"/>
          <w:sz w:val="32"/>
          <w:szCs w:val="32"/>
        </w:rPr>
        <w:t>内，由采购人和成交供应商签订合同。合同签订的内容不能超出</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文件和响应文件的实质性内容。</w:t>
      </w:r>
    </w:p>
    <w:p w14:paraId="6B64F8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文件、采购人的报价文件及评审过程中有关澄清文件等均</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为合同附件。</w:t>
      </w:r>
    </w:p>
    <w:p w14:paraId="3AD607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bookmarkStart w:id="41" w:name="_Toc332979563"/>
      <w:bookmarkStart w:id="42" w:name="_Toc16534"/>
      <w:bookmarkStart w:id="43" w:name="_Toc325620722"/>
      <w:r>
        <w:rPr>
          <w:rFonts w:hint="eastAsia" w:ascii="黑体" w:hAnsi="黑体" w:eastAsia="黑体" w:cs="黑体"/>
          <w:sz w:val="32"/>
          <w:szCs w:val="32"/>
        </w:rPr>
        <w:t>二、合同格式</w:t>
      </w:r>
      <w:bookmarkEnd w:id="41"/>
      <w:bookmarkEnd w:id="42"/>
      <w:bookmarkEnd w:id="43"/>
    </w:p>
    <w:bookmarkEnd w:id="10"/>
    <w:bookmarkEnd w:id="11"/>
    <w:bookmarkEnd w:id="12"/>
    <w:bookmarkEnd w:id="13"/>
    <w:bookmarkEnd w:id="14"/>
    <w:bookmarkEnd w:id="15"/>
    <w:p w14:paraId="1905A5A7">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(以下简称甲方)</w:t>
      </w:r>
    </w:p>
    <w:p w14:paraId="0E802338">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(以下简称乙方)</w:t>
      </w:r>
    </w:p>
    <w:p w14:paraId="6B39128D">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bCs/>
          <w:color w:val="C00000"/>
          <w:sz w:val="32"/>
          <w:szCs w:val="32"/>
          <w:lang w:val="en-US" w:eastAsia="zh-CN"/>
        </w:rPr>
      </w:pPr>
      <w:r>
        <w:rPr>
          <w:rFonts w:hint="eastAsia" w:ascii="仿宋_GB2312" w:hAnsi="仿宋_GB2312" w:eastAsia="仿宋_GB2312" w:cs="仿宋_GB2312"/>
          <w:sz w:val="32"/>
          <w:szCs w:val="32"/>
          <w:lang w:eastAsia="zh-CN"/>
        </w:rPr>
        <w:t>甲 、乙双方在平等互利的基础上，就甲方委托乙方</w:t>
      </w:r>
      <w:r>
        <w:rPr>
          <w:rFonts w:hint="eastAsia" w:ascii="仿宋_GB2312" w:hAnsi="仿宋_GB2312" w:eastAsia="仿宋_GB2312" w:cs="仿宋_GB2312"/>
          <w:sz w:val="32"/>
          <w:szCs w:val="32"/>
          <w:lang w:val="en-US" w:eastAsia="zh-CN"/>
        </w:rPr>
        <w:t>进行宣传物料设计制作</w:t>
      </w:r>
      <w:r>
        <w:rPr>
          <w:rFonts w:hint="eastAsia" w:ascii="仿宋_GB2312" w:hAnsi="仿宋_GB2312" w:eastAsia="仿宋_GB2312" w:cs="仿宋_GB2312"/>
          <w:sz w:val="32"/>
          <w:szCs w:val="32"/>
          <w:lang w:eastAsia="zh-CN"/>
        </w:rPr>
        <w:t>一事达成一致意见。为明确双方的权利义务，根据《中华人民共和</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和有关法律，订立本合同，以供双方共同遵守。</w:t>
      </w:r>
    </w:p>
    <w:p w14:paraId="2FBE95FF">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en-US" w:eastAsia="zh-CN" w:bidi="zh-CN"/>
        </w:rPr>
        <w:t>二、</w:t>
      </w:r>
      <w:r>
        <w:rPr>
          <w:rFonts w:hint="eastAsia" w:ascii="黑体" w:hAnsi="黑体" w:eastAsia="黑体" w:cs="黑体"/>
          <w:b w:val="0"/>
          <w:bCs w:val="0"/>
          <w:kern w:val="2"/>
          <w:sz w:val="32"/>
          <w:szCs w:val="32"/>
          <w:lang w:val="zh-CN" w:eastAsia="zh-CN" w:bidi="zh-CN"/>
        </w:rPr>
        <w:t>合同费用</w:t>
      </w:r>
    </w:p>
    <w:p w14:paraId="4FFCA495">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1、宣传物料设计制作总费用为</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（大写：柒万捌千肆佰元整）（含增值税普通发票）。</w:t>
      </w:r>
    </w:p>
    <w:p w14:paraId="6FB2695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2、付款方式：项目制作完成，经由甲方验收合格后，一次性向乙方支付该项目97%金额，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（大写：），乙方向甲方提供付款正式有效发票。质保期满一年无质量问题或乙方提供银行保函，15个工作日内，甲方凭乙方开具的正式有效发票向乙方支付合同金额余下的3%质保款，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（大写：贰仟叁佰伍拾贰元整）。质保期内由于乙方产品造成质量问题需要维修(或更换)时,由乙方负责维修(或更换),费用将从质量保证金中扣除,甲方不再承担此费用。</w:t>
      </w:r>
    </w:p>
    <w:p w14:paraId="2C80D8E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3、乙方账户</w:t>
      </w:r>
    </w:p>
    <w:p w14:paraId="734CA3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p w14:paraId="5D9534D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开户银行：</w:t>
      </w:r>
    </w:p>
    <w:p w14:paraId="375BF2B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账号：</w:t>
      </w:r>
    </w:p>
    <w:p w14:paraId="7CD9241A">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kern w:val="2"/>
          <w:sz w:val="32"/>
          <w:szCs w:val="32"/>
          <w:lang w:val="zh-CN" w:eastAsia="zh-CN" w:bidi="zh-CN"/>
        </w:rPr>
      </w:pPr>
      <w:r>
        <w:rPr>
          <w:rFonts w:hint="eastAsia" w:ascii="黑体" w:hAnsi="黑体" w:eastAsia="黑体" w:cs="黑体"/>
          <w:b w:val="0"/>
          <w:bCs w:val="0"/>
          <w:kern w:val="2"/>
          <w:sz w:val="32"/>
          <w:szCs w:val="32"/>
          <w:lang w:val="zh-CN" w:eastAsia="zh-CN" w:bidi="zh-CN"/>
        </w:rPr>
        <w:t>三、违约责任</w:t>
      </w:r>
    </w:p>
    <w:p w14:paraId="5D1C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自本合同签定之日起，双方应严格遵守并认真执行，任何一方出现违约情况，应承担违约责任，守约方有权要求违约方在做出损失赔偿后继续履行其责任；也可在违约方根据法律规定或协商议定做出赔偿后，要求终止本合同。</w:t>
      </w:r>
    </w:p>
    <w:p w14:paraId="283A497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四、争讼条款</w:t>
      </w:r>
    </w:p>
    <w:p w14:paraId="3F051A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因执行本合同所发生的一切争议，双方应本着宽容、热诚、互助和体谅的精神协同解决。如经协商不能达成一致，由甲方所在地人民法院处理。</w:t>
      </w:r>
    </w:p>
    <w:p w14:paraId="2641D23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5ADA8BB3">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1、本合同自双方签字、盖章之日起生效。合同履行完毕即自行失效。</w:t>
      </w:r>
    </w:p>
    <w:p w14:paraId="7333FDA0">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2、本合同履行期间，双方不得随意变更和解除合同，合同如有未尽事宜，由双方共同协商，作出补充规定。补充规定双方签章确认后，与本合同的其他条款具有同等的法律效力。</w:t>
      </w:r>
    </w:p>
    <w:p w14:paraId="2E959C2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3、本合同的解释和执行，适用中华人民共和国法律。</w:t>
      </w:r>
    </w:p>
    <w:p w14:paraId="05010FD7">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4.本合同正本一式</w:t>
      </w:r>
      <w:r>
        <w:rPr>
          <w:rFonts w:hint="eastAsia" w:ascii="仿宋_GB2312" w:hAnsi="仿宋_GB2312" w:eastAsia="仿宋_GB2312" w:cs="仿宋_GB2312"/>
          <w:kern w:val="2"/>
          <w:sz w:val="32"/>
          <w:szCs w:val="32"/>
          <w:u w:val="single"/>
          <w:lang w:val="en-US" w:eastAsia="zh-CN" w:bidi="zh-CN"/>
        </w:rPr>
        <w:t>四</w:t>
      </w:r>
      <w:r>
        <w:rPr>
          <w:rFonts w:hint="eastAsia" w:ascii="仿宋_GB2312" w:hAnsi="仿宋_GB2312" w:eastAsia="仿宋_GB2312" w:cs="仿宋_GB2312"/>
          <w:kern w:val="2"/>
          <w:sz w:val="32"/>
          <w:szCs w:val="32"/>
          <w:lang w:val="en-US" w:eastAsia="zh-CN" w:bidi="zh-CN"/>
        </w:rPr>
        <w:t>份，甲方执</w:t>
      </w:r>
      <w:r>
        <w:rPr>
          <w:rFonts w:hint="eastAsia" w:ascii="仿宋_GB2312" w:hAnsi="仿宋_GB2312" w:eastAsia="仿宋_GB2312" w:cs="仿宋_GB2312"/>
          <w:kern w:val="2"/>
          <w:sz w:val="32"/>
          <w:szCs w:val="32"/>
          <w:u w:val="single"/>
          <w:lang w:val="en-US" w:eastAsia="zh-CN" w:bidi="zh-CN"/>
        </w:rPr>
        <w:t>叁</w:t>
      </w:r>
      <w:r>
        <w:rPr>
          <w:rFonts w:hint="eastAsia" w:ascii="仿宋_GB2312" w:hAnsi="仿宋_GB2312" w:eastAsia="仿宋_GB2312" w:cs="仿宋_GB2312"/>
          <w:kern w:val="2"/>
          <w:sz w:val="32"/>
          <w:szCs w:val="32"/>
          <w:lang w:val="en-US" w:eastAsia="zh-CN" w:bidi="zh-CN"/>
        </w:rPr>
        <w:t>份，乙方执</w:t>
      </w:r>
      <w:r>
        <w:rPr>
          <w:rFonts w:hint="eastAsia" w:ascii="仿宋_GB2312" w:hAnsi="仿宋_GB2312" w:eastAsia="仿宋_GB2312" w:cs="仿宋_GB2312"/>
          <w:kern w:val="2"/>
          <w:sz w:val="32"/>
          <w:szCs w:val="32"/>
          <w:u w:val="single"/>
          <w:lang w:val="en-US" w:eastAsia="zh-CN" w:bidi="zh-CN"/>
        </w:rPr>
        <w:t>一</w:t>
      </w:r>
      <w:r>
        <w:rPr>
          <w:rFonts w:hint="eastAsia" w:ascii="仿宋_GB2312" w:hAnsi="仿宋_GB2312" w:eastAsia="仿宋_GB2312" w:cs="仿宋_GB2312"/>
          <w:kern w:val="2"/>
          <w:sz w:val="32"/>
          <w:szCs w:val="32"/>
          <w:lang w:val="en-US" w:eastAsia="zh-CN" w:bidi="zh-CN"/>
        </w:rPr>
        <w:t>份。</w:t>
      </w:r>
    </w:p>
    <w:p w14:paraId="4DEEAF9E">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甲方(盖章):                   乙方(盖章):</w:t>
      </w:r>
    </w:p>
    <w:p w14:paraId="3B1F8D4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代表签名:                     代表签名:</w:t>
      </w:r>
    </w:p>
    <w:p w14:paraId="5054117C">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日期:    年  月  日          日期:   年  月  日</w:t>
      </w:r>
    </w:p>
    <w:p w14:paraId="1D086A46">
      <w:pPr>
        <w:snapToGrid/>
        <w:spacing w:before="0" w:beforeAutospacing="0" w:after="0" w:afterAutospacing="0" w:line="240" w:lineRule="auto"/>
        <w:jc w:val="both"/>
        <w:textAlignment w:val="baseline"/>
        <w:rPr>
          <w:b w:val="0"/>
          <w:i w:val="0"/>
          <w:caps w:val="0"/>
          <w:spacing w:val="0"/>
          <w:w w:val="100"/>
          <w:sz w:val="21"/>
        </w:rPr>
      </w:pPr>
    </w:p>
    <w:p w14:paraId="34BE6A6D">
      <w:pPr>
        <w:pStyle w:val="3"/>
        <w:jc w:val="center"/>
        <w:rPr>
          <w:rFonts w:hint="eastAsia" w:hAnsi="宋体" w:cs="宋体"/>
          <w:color w:val="auto"/>
          <w:highlight w:val="none"/>
        </w:rPr>
      </w:pPr>
      <w:bookmarkStart w:id="44" w:name="_Toc356491327"/>
      <w:bookmarkStart w:id="45" w:name="_Toc356490388"/>
      <w:bookmarkStart w:id="46" w:name="_Toc325620723"/>
      <w:bookmarkStart w:id="47" w:name="_Toc40089798"/>
      <w:bookmarkStart w:id="48" w:name="_Toc905"/>
      <w:bookmarkStart w:id="49" w:name="_Toc657"/>
      <w:r>
        <w:rPr>
          <w:rFonts w:hint="eastAsia" w:hAnsi="宋体" w:cs="宋体"/>
          <w:color w:val="auto"/>
          <w:highlight w:val="none"/>
        </w:rPr>
        <w:t xml:space="preserve">第四部分 </w:t>
      </w:r>
      <w:bookmarkEnd w:id="44"/>
      <w:bookmarkEnd w:id="45"/>
      <w:bookmarkEnd w:id="46"/>
      <w:r>
        <w:rPr>
          <w:rFonts w:hint="eastAsia" w:hAnsi="宋体" w:cs="宋体"/>
          <w:color w:val="auto"/>
          <w:highlight w:val="none"/>
          <w:lang w:val="en-US" w:eastAsia="zh-CN"/>
        </w:rPr>
        <w:t>项目需</w:t>
      </w:r>
      <w:r>
        <w:rPr>
          <w:rFonts w:hint="eastAsia" w:hAnsi="宋体" w:cs="宋体"/>
          <w:color w:val="auto"/>
          <w:highlight w:val="none"/>
        </w:rPr>
        <w:t>求及说明</w:t>
      </w:r>
      <w:bookmarkEnd w:id="47"/>
      <w:bookmarkEnd w:id="48"/>
      <w:bookmarkEnd w:id="49"/>
    </w:p>
    <w:p w14:paraId="595E496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黑体" w:hAnsi="黑体" w:eastAsia="黑体" w:cs="黑体"/>
          <w:b/>
          <w:bCs w:val="0"/>
          <w:color w:val="auto"/>
          <w:sz w:val="32"/>
          <w:szCs w:val="32"/>
        </w:rPr>
      </w:pPr>
      <w:bookmarkStart w:id="50" w:name="OLE_LINK21"/>
      <w:bookmarkStart w:id="51" w:name="_Toc425948677"/>
      <w:r>
        <w:rPr>
          <w:rFonts w:hint="eastAsia" w:ascii="黑体" w:hAnsi="黑体" w:eastAsia="黑体" w:cs="黑体"/>
          <w:b/>
          <w:bCs w:val="0"/>
          <w:color w:val="auto"/>
          <w:sz w:val="32"/>
          <w:szCs w:val="32"/>
        </w:rPr>
        <w:t>一、项目概况及预算情况</w:t>
      </w:r>
    </w:p>
    <w:p w14:paraId="0913BB7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项目名称：</w:t>
      </w:r>
      <w:r>
        <w:rPr>
          <w:rFonts w:hint="eastAsia" w:ascii="仿宋" w:hAnsi="仿宋" w:eastAsia="仿宋" w:cs="仿宋"/>
          <w:bCs/>
          <w:sz w:val="32"/>
          <w:szCs w:val="32"/>
          <w:lang w:val="en-US" w:eastAsia="zh-CN"/>
        </w:rPr>
        <w:t>中医十二时辰健康行为提醒系统发明专利代理</w:t>
      </w:r>
    </w:p>
    <w:p w14:paraId="6CAE3A7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2.技术领域：G16H20/00（健康管理）+ A61B5/00（可穿戴设备）</w:t>
      </w:r>
    </w:p>
    <w:p w14:paraId="74129B3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项目总预算：</w:t>
      </w:r>
      <w:r>
        <w:rPr>
          <w:rFonts w:hint="eastAsia" w:ascii="仿宋" w:hAnsi="仿宋" w:eastAsia="仿宋" w:cs="仿宋"/>
          <w:color w:val="auto"/>
          <w:sz w:val="32"/>
          <w:szCs w:val="32"/>
          <w:lang w:val="en-US" w:eastAsia="zh-CN"/>
        </w:rPr>
        <w:t>12000.00</w:t>
      </w:r>
      <w:r>
        <w:rPr>
          <w:rFonts w:hint="eastAsia" w:ascii="仿宋" w:hAnsi="仿宋" w:eastAsia="仿宋" w:cs="仿宋"/>
          <w:color w:val="auto"/>
          <w:sz w:val="32"/>
          <w:szCs w:val="32"/>
        </w:rPr>
        <w:t>元（含官费、代理费、答辩服务）。</w:t>
      </w:r>
    </w:p>
    <w:p w14:paraId="75CD47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二、商务要求</w:t>
      </w:r>
    </w:p>
    <w:p w14:paraId="2B66DAF1">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Chars="0" w:firstLine="640" w:firstLineChars="200"/>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（1）服务要求</w:t>
      </w:r>
    </w:p>
    <w:bookmarkEnd w:id="50"/>
    <w:tbl>
      <w:tblPr>
        <w:tblStyle w:val="20"/>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5985"/>
        <w:gridCol w:w="1920"/>
      </w:tblGrid>
      <w:tr w14:paraId="58C3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442C60C9">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阶段</w:t>
            </w:r>
          </w:p>
        </w:tc>
        <w:tc>
          <w:tcPr>
            <w:tcW w:w="5985" w:type="dxa"/>
            <w:vAlign w:val="center"/>
          </w:tcPr>
          <w:p w14:paraId="4B2E54D2">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交付要求</w:t>
            </w:r>
          </w:p>
        </w:tc>
        <w:tc>
          <w:tcPr>
            <w:tcW w:w="1920" w:type="dxa"/>
            <w:vAlign w:val="center"/>
          </w:tcPr>
          <w:p w14:paraId="555D1E0D">
            <w:pPr>
              <w:keepNext w:val="0"/>
              <w:keepLines w:val="0"/>
              <w:pageBreakBefore w:val="0"/>
              <w:widowControl/>
              <w:suppressLineNumbers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vertAlign w:val="baseline"/>
                <w:lang w:val="en-US" w:eastAsia="zh-CN"/>
              </w:rPr>
            </w:pPr>
            <w:r>
              <w:rPr>
                <w:rStyle w:val="22"/>
                <w:rFonts w:hint="eastAsia" w:ascii="仿宋" w:hAnsi="仿宋" w:eastAsia="仿宋" w:cs="仿宋"/>
                <w:bCs/>
                <w:kern w:val="0"/>
                <w:sz w:val="32"/>
                <w:szCs w:val="32"/>
                <w:lang w:val="en-US" w:eastAsia="zh-CN" w:bidi="ar"/>
              </w:rPr>
              <w:t>周期</w:t>
            </w:r>
          </w:p>
        </w:tc>
      </w:tr>
      <w:tr w14:paraId="7885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52F15A58">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技术交底书优化</w:t>
            </w:r>
          </w:p>
        </w:tc>
        <w:tc>
          <w:tcPr>
            <w:tcW w:w="5985" w:type="dxa"/>
            <w:vAlign w:val="center"/>
          </w:tcPr>
          <w:p w14:paraId="7801CF8C">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形成符合《专利审查指南》的说明书草案（含12时辰理论技术映射图）</w:t>
            </w:r>
          </w:p>
        </w:tc>
        <w:tc>
          <w:tcPr>
            <w:tcW w:w="1920" w:type="dxa"/>
            <w:vAlign w:val="center"/>
          </w:tcPr>
          <w:p w14:paraId="02FE45B4">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合同签订后5日</w:t>
            </w:r>
          </w:p>
        </w:tc>
      </w:tr>
      <w:tr w14:paraId="13C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3356A30C">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专利申请文件</w:t>
            </w:r>
          </w:p>
        </w:tc>
        <w:tc>
          <w:tcPr>
            <w:tcW w:w="5985" w:type="dxa"/>
            <w:vAlign w:val="center"/>
          </w:tcPr>
          <w:p w14:paraId="0A90F196">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权利要求书≥8项，说明书≥15页，附图≥5幅（含系统架构图、时辰——行为对应流程图）</w:t>
            </w:r>
          </w:p>
        </w:tc>
        <w:tc>
          <w:tcPr>
            <w:tcW w:w="1920" w:type="dxa"/>
            <w:vAlign w:val="center"/>
          </w:tcPr>
          <w:p w14:paraId="57FF0948">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5-10日</w:t>
            </w:r>
          </w:p>
        </w:tc>
      </w:tr>
      <w:tr w14:paraId="2B4D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14:paraId="0362A905">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审查意见答复</w:t>
            </w:r>
          </w:p>
        </w:tc>
        <w:tc>
          <w:tcPr>
            <w:tcW w:w="5985" w:type="dxa"/>
            <w:vAlign w:val="center"/>
          </w:tcPr>
          <w:p w14:paraId="7C75207E">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提供≥2次官方审查意见答复服务</w:t>
            </w:r>
          </w:p>
        </w:tc>
        <w:tc>
          <w:tcPr>
            <w:tcW w:w="1920" w:type="dxa"/>
            <w:vAlign w:val="center"/>
          </w:tcPr>
          <w:p w14:paraId="42814FC6">
            <w:pPr>
              <w:keepNext w:val="0"/>
              <w:keepLines w:val="0"/>
              <w:pageBreakBefore w:val="0"/>
              <w:widowControl/>
              <w:suppressLineNumbers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bCs/>
                <w:kern w:val="0"/>
                <w:sz w:val="32"/>
                <w:szCs w:val="32"/>
                <w:lang w:val="en-US" w:eastAsia="zh-CN" w:bidi="ar"/>
              </w:rPr>
              <w:t>按官方时限</w:t>
            </w:r>
          </w:p>
        </w:tc>
      </w:tr>
    </w:tbl>
    <w:p w14:paraId="1C577854">
      <w:pPr>
        <w:keepNext w:val="0"/>
        <w:keepLines w:val="0"/>
        <w:pageBreakBefore w:val="0"/>
        <w:numPr>
          <w:numId w:val="0"/>
        </w:numPr>
        <w:kinsoku/>
        <w:wordWrap/>
        <w:overflowPunct/>
        <w:topLinePunct w:val="0"/>
        <w:autoSpaceDE/>
        <w:autoSpaceDN/>
        <w:bidi w:val="0"/>
        <w:adjustRightInd w:val="0"/>
        <w:snapToGrid w:val="0"/>
        <w:spacing w:beforeAutospacing="0" w:afterAutospacing="0" w:line="560" w:lineRule="exact"/>
        <w:ind w:left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lang w:val="en-US" w:eastAsia="zh-CN"/>
        </w:rPr>
        <w:t>2）保密条款</w:t>
      </w:r>
    </w:p>
    <w:p w14:paraId="5D6D129B">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1.签订《保密协议》后方可获取技术资料；</w:t>
      </w:r>
    </w:p>
    <w:p w14:paraId="78F22068">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2.违约泄露需承担50万元赔偿责任。</w:t>
      </w:r>
    </w:p>
    <w:p w14:paraId="5F770778">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技术要求</w:t>
      </w:r>
    </w:p>
    <w:p w14:paraId="5E57965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1.1.专业能力：代理团队需包含2名以上生物医学工程专业背景代理人（提供学历证明）；</w:t>
      </w:r>
      <w:r>
        <w:rPr>
          <w:rFonts w:hint="eastAsia" w:ascii="仿宋" w:hAnsi="仿宋" w:eastAsia="仿宋" w:cs="仿宋"/>
          <w:color w:val="auto"/>
          <w:sz w:val="32"/>
          <w:szCs w:val="32"/>
          <w:lang w:eastAsia="zh-CN"/>
        </w:rPr>
        <w:t>项目负责人（须列明中医专利代理经验）；检索分析师（提供检索工具认证证书）。</w:t>
      </w:r>
      <w:r>
        <w:rPr>
          <w:rFonts w:hint="eastAsia" w:ascii="仿宋" w:hAnsi="仿宋" w:eastAsia="仿宋" w:cs="仿宋"/>
          <w:color w:val="auto"/>
          <w:sz w:val="32"/>
          <w:szCs w:val="32"/>
          <w:lang w:val="en-US" w:eastAsia="zh-CN"/>
        </w:rPr>
        <w:t>团队需提交中医药相关产品或服务专利撰写案例（附授权通知书）。</w:t>
      </w:r>
    </w:p>
    <w:p w14:paraId="19C4B483">
      <w:pPr>
        <w:keepNext w:val="0"/>
        <w:keepLines w:val="0"/>
        <w:pageBreakBefore w:val="0"/>
        <w:widowControl w:val="0"/>
        <w:numPr>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2.质量保障：权利要求书中需包含时辰划分模块（核心创新点）、行为数据库（含子午流注数据）、可穿戴设备传感适配方案；需提供专利侵权风险分析报告。</w:t>
      </w:r>
    </w:p>
    <w:p w14:paraId="3B9F61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722CB6CA">
      <w:pPr>
        <w:rPr>
          <w:rFonts w:hint="eastAsia"/>
          <w:color w:val="auto"/>
          <w:lang w:val="en-US" w:eastAsia="zh-CN"/>
        </w:rPr>
      </w:pPr>
    </w:p>
    <w:p w14:paraId="5FA7A88D">
      <w:pPr>
        <w:rPr>
          <w:rFonts w:hint="eastAsia"/>
          <w:color w:val="auto"/>
          <w:lang w:val="en-US" w:eastAsia="zh-CN"/>
        </w:rPr>
      </w:pPr>
    </w:p>
    <w:p w14:paraId="771A86A4">
      <w:pPr>
        <w:rPr>
          <w:rFonts w:hint="eastAsia"/>
          <w:color w:val="auto"/>
          <w:lang w:val="en-US" w:eastAsia="zh-CN"/>
        </w:rPr>
      </w:pPr>
    </w:p>
    <w:p w14:paraId="44721E66">
      <w:pPr>
        <w:rPr>
          <w:rFonts w:hint="eastAsia"/>
          <w:color w:val="auto"/>
          <w:lang w:val="en-US" w:eastAsia="zh-CN"/>
        </w:rPr>
      </w:pPr>
    </w:p>
    <w:p w14:paraId="040DE03E">
      <w:pPr>
        <w:rPr>
          <w:rFonts w:hint="eastAsia"/>
          <w:color w:val="auto"/>
          <w:lang w:val="en-US" w:eastAsia="zh-CN"/>
        </w:rPr>
      </w:pPr>
    </w:p>
    <w:p w14:paraId="03B7D4CF">
      <w:pPr>
        <w:rPr>
          <w:rFonts w:hint="eastAsia"/>
          <w:color w:val="auto"/>
          <w:lang w:val="en-US" w:eastAsia="zh-CN"/>
        </w:rPr>
      </w:pPr>
    </w:p>
    <w:p w14:paraId="6BC8CF9E">
      <w:pPr>
        <w:rPr>
          <w:rFonts w:hint="eastAsia"/>
          <w:color w:val="auto"/>
          <w:lang w:val="en-US" w:eastAsia="zh-CN"/>
        </w:rPr>
      </w:pPr>
    </w:p>
    <w:p w14:paraId="35D2F1D8">
      <w:pPr>
        <w:rPr>
          <w:rFonts w:hint="eastAsia"/>
          <w:color w:val="auto"/>
          <w:lang w:val="en-US" w:eastAsia="zh-CN"/>
        </w:rPr>
      </w:pPr>
    </w:p>
    <w:p w14:paraId="7E6D4A2A">
      <w:pPr>
        <w:rPr>
          <w:rFonts w:hint="eastAsia"/>
          <w:color w:val="auto"/>
          <w:lang w:val="en-US" w:eastAsia="zh-CN"/>
        </w:rPr>
      </w:pPr>
    </w:p>
    <w:p w14:paraId="14F6E837">
      <w:pPr>
        <w:rPr>
          <w:rFonts w:hint="eastAsia"/>
          <w:color w:val="auto"/>
          <w:lang w:val="en-US" w:eastAsia="zh-CN"/>
        </w:rPr>
      </w:pPr>
    </w:p>
    <w:p w14:paraId="133A0E0A">
      <w:pPr>
        <w:rPr>
          <w:rFonts w:hint="eastAsia"/>
          <w:color w:val="auto"/>
          <w:lang w:val="en-US" w:eastAsia="zh-CN"/>
        </w:rPr>
      </w:pPr>
    </w:p>
    <w:p w14:paraId="160E42A6">
      <w:pPr>
        <w:rPr>
          <w:rFonts w:hint="eastAsia"/>
          <w:color w:val="auto"/>
          <w:lang w:val="en-US" w:eastAsia="zh-CN"/>
        </w:rPr>
      </w:pPr>
    </w:p>
    <w:p w14:paraId="1C775606">
      <w:pPr>
        <w:rPr>
          <w:rFonts w:hint="eastAsia"/>
          <w:color w:val="auto"/>
          <w:lang w:val="en-US" w:eastAsia="zh-CN"/>
        </w:rPr>
      </w:pPr>
    </w:p>
    <w:p w14:paraId="7C7E0E02">
      <w:pPr>
        <w:rPr>
          <w:rFonts w:hint="eastAsia"/>
          <w:color w:val="auto"/>
          <w:lang w:val="en-US" w:eastAsia="zh-CN"/>
        </w:rPr>
      </w:pPr>
    </w:p>
    <w:p w14:paraId="2A7CA6DC">
      <w:pPr>
        <w:rPr>
          <w:rFonts w:hint="eastAsia"/>
          <w:color w:val="auto"/>
          <w:lang w:val="en-US" w:eastAsia="zh-CN"/>
        </w:rPr>
      </w:pPr>
    </w:p>
    <w:p w14:paraId="77E9DC9D">
      <w:pPr>
        <w:rPr>
          <w:rFonts w:hint="eastAsia"/>
          <w:color w:val="auto"/>
          <w:lang w:val="en-US" w:eastAsia="zh-CN"/>
        </w:rPr>
      </w:pPr>
    </w:p>
    <w:p w14:paraId="2E70F6F0">
      <w:pPr>
        <w:rPr>
          <w:rFonts w:hint="eastAsia"/>
          <w:color w:val="auto"/>
          <w:lang w:val="en-US" w:eastAsia="zh-CN"/>
        </w:rPr>
      </w:pPr>
    </w:p>
    <w:p w14:paraId="1F2EEC12">
      <w:pPr>
        <w:rPr>
          <w:rFonts w:hint="eastAsia"/>
          <w:color w:val="auto"/>
          <w:lang w:val="en-US" w:eastAsia="zh-CN"/>
        </w:rPr>
      </w:pPr>
    </w:p>
    <w:p w14:paraId="3A045EAA">
      <w:pPr>
        <w:rPr>
          <w:rFonts w:hint="eastAsia"/>
          <w:color w:val="auto"/>
          <w:lang w:val="en-US" w:eastAsia="zh-CN"/>
        </w:rPr>
      </w:pPr>
    </w:p>
    <w:p w14:paraId="12E5FB5E">
      <w:pPr>
        <w:rPr>
          <w:rFonts w:hint="eastAsia"/>
          <w:color w:val="auto"/>
          <w:lang w:val="en-US" w:eastAsia="zh-CN"/>
        </w:rPr>
      </w:pPr>
    </w:p>
    <w:p w14:paraId="029AF312">
      <w:pPr>
        <w:rPr>
          <w:rFonts w:hint="eastAsia"/>
          <w:color w:val="auto"/>
          <w:lang w:val="en-US" w:eastAsia="zh-CN"/>
        </w:rPr>
      </w:pPr>
    </w:p>
    <w:p w14:paraId="34A0125E">
      <w:pPr>
        <w:rPr>
          <w:rFonts w:hint="eastAsia"/>
          <w:color w:val="auto"/>
          <w:lang w:val="en-US" w:eastAsia="zh-CN"/>
        </w:rPr>
      </w:pPr>
    </w:p>
    <w:p w14:paraId="2EA48FC8">
      <w:pPr>
        <w:rPr>
          <w:rFonts w:hint="eastAsia"/>
          <w:color w:val="auto"/>
          <w:lang w:val="en-US" w:eastAsia="zh-CN"/>
        </w:rPr>
      </w:pPr>
    </w:p>
    <w:p w14:paraId="184E820E">
      <w:pPr>
        <w:rPr>
          <w:rFonts w:hint="eastAsia"/>
          <w:color w:val="auto"/>
          <w:lang w:val="en-US" w:eastAsia="zh-CN"/>
        </w:rPr>
      </w:pPr>
    </w:p>
    <w:p w14:paraId="41EEAFD4">
      <w:pPr>
        <w:rPr>
          <w:rFonts w:hint="eastAsia"/>
          <w:color w:val="auto"/>
          <w:lang w:val="en-US" w:eastAsia="zh-CN"/>
        </w:rPr>
      </w:pPr>
    </w:p>
    <w:p w14:paraId="76A5C360">
      <w:pPr>
        <w:rPr>
          <w:rFonts w:hint="eastAsia"/>
          <w:color w:val="auto"/>
          <w:lang w:val="en-US" w:eastAsia="zh-CN"/>
        </w:rPr>
      </w:pPr>
    </w:p>
    <w:p w14:paraId="211765F6">
      <w:pPr>
        <w:rPr>
          <w:rFonts w:hint="eastAsia"/>
          <w:color w:val="auto"/>
          <w:lang w:val="en-US" w:eastAsia="zh-CN"/>
        </w:rPr>
      </w:pPr>
    </w:p>
    <w:p w14:paraId="29EAF768">
      <w:pPr>
        <w:rPr>
          <w:rFonts w:hint="eastAsia"/>
          <w:color w:val="auto"/>
          <w:lang w:val="en-US" w:eastAsia="zh-CN"/>
        </w:rPr>
      </w:pPr>
    </w:p>
    <w:p w14:paraId="6C27C8EE">
      <w:pPr>
        <w:pStyle w:val="3"/>
        <w:rPr>
          <w:rFonts w:hint="eastAsia" w:hAnsi="宋体" w:cs="宋体"/>
          <w:color w:val="auto"/>
          <w:sz w:val="44"/>
          <w:szCs w:val="44"/>
        </w:rPr>
      </w:pPr>
      <w:bookmarkStart w:id="52" w:name="_Toc40089799"/>
      <w:bookmarkStart w:id="53" w:name="_Toc21799"/>
      <w:bookmarkStart w:id="54" w:name="_Toc7332"/>
      <w:r>
        <w:rPr>
          <w:rFonts w:hint="eastAsia" w:hAnsi="宋体" w:cs="宋体"/>
          <w:color w:val="auto"/>
          <w:sz w:val="44"/>
          <w:szCs w:val="44"/>
        </w:rPr>
        <w:t>第五部分 报价文件格式</w:t>
      </w:r>
      <w:bookmarkEnd w:id="51"/>
      <w:bookmarkEnd w:id="52"/>
      <w:bookmarkEnd w:id="53"/>
      <w:bookmarkEnd w:id="54"/>
    </w:p>
    <w:p w14:paraId="4EDCAC59">
      <w:pPr>
        <w:keepNext w:val="0"/>
        <w:keepLines w:val="0"/>
        <w:pageBreakBefore w:val="0"/>
        <w:widowControl w:val="0"/>
        <w:kinsoku/>
        <w:wordWrap/>
        <w:overflowPunct/>
        <w:topLinePunct w:val="0"/>
        <w:autoSpaceDE/>
        <w:autoSpaceDN/>
        <w:bidi w:val="0"/>
        <w:adjustRightInd w:val="0"/>
        <w:snapToGrid w:val="0"/>
        <w:spacing w:line="560" w:lineRule="exact"/>
        <w:ind w:left="638" w:leftChars="228"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21E6B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★投标函（详见附件1）</w:t>
      </w:r>
    </w:p>
    <w:p w14:paraId="655B94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★如为授权代表签字，提供法定代表人授权书（详见附件2）</w:t>
      </w:r>
    </w:p>
    <w:p w14:paraId="0C135D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★近三年内，在经营活动中没有重大违法记录的声明（详见附件3）</w:t>
      </w:r>
    </w:p>
    <w:p w14:paraId="3FFB8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★商务响应表（详见附件4）</w:t>
      </w:r>
    </w:p>
    <w:p w14:paraId="17B94A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640645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★提供投标人</w:t>
      </w:r>
      <w:r>
        <w:rPr>
          <w:rFonts w:hint="eastAsia" w:ascii="仿宋_GB2312" w:hAnsi="仿宋_GB2312" w:eastAsia="仿宋_GB2312" w:cs="仿宋_GB2312"/>
          <w:color w:val="auto"/>
          <w:sz w:val="32"/>
          <w:szCs w:val="32"/>
          <w:lang w:val="en-US" w:eastAsia="zh-CN"/>
        </w:rPr>
        <w:t>资格要求里的</w:t>
      </w:r>
      <w:r>
        <w:rPr>
          <w:rFonts w:hint="eastAsia" w:ascii="仿宋_GB2312" w:hAnsi="仿宋_GB2312" w:eastAsia="仿宋_GB2312" w:cs="仿宋_GB2312"/>
          <w:color w:val="auto"/>
          <w:sz w:val="32"/>
          <w:szCs w:val="32"/>
        </w:rPr>
        <w:t>证明材料复印件</w:t>
      </w:r>
    </w:p>
    <w:p w14:paraId="22AF7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9EB68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技术响应表（对比要求逐条说明）</w:t>
      </w:r>
    </w:p>
    <w:p w14:paraId="3D58F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★技术响应表（详见附件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p>
    <w:p w14:paraId="6D3A0F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423AE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.团队配置：项目负责人（须列明中医专利代理经验）；检索分析师（提供检索工具认证证书）。</w:t>
      </w:r>
    </w:p>
    <w:p w14:paraId="70223A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.谈判</w:t>
      </w:r>
      <w:r>
        <w:rPr>
          <w:rFonts w:hint="eastAsia" w:ascii="仿宋" w:hAnsi="仿宋" w:eastAsia="仿宋" w:cs="仿宋"/>
          <w:color w:val="auto"/>
          <w:sz w:val="32"/>
          <w:szCs w:val="32"/>
        </w:rPr>
        <w:t>文件规定或供应商认为其它应介绍或提交的资料和文件</w:t>
      </w:r>
      <w:r>
        <w:rPr>
          <w:rFonts w:hint="eastAsia" w:ascii="仿宋" w:hAnsi="仿宋" w:eastAsia="仿宋" w:cs="仿宋"/>
          <w:color w:val="auto"/>
          <w:sz w:val="32"/>
          <w:szCs w:val="32"/>
          <w:lang w:eastAsia="zh-CN"/>
        </w:rPr>
        <w:t>。</w:t>
      </w:r>
    </w:p>
    <w:p w14:paraId="403172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四、报价部分</w:t>
      </w:r>
    </w:p>
    <w:p w14:paraId="7CED07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★报价一览表（详见附件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14:paraId="78492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五、特别说明</w:t>
      </w:r>
    </w:p>
    <w:p w14:paraId="6D490F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以上格式中标注“★”的，供应商必须提供，未提供或未按要求提供的，一律为无效投标。</w:t>
      </w:r>
    </w:p>
    <w:p w14:paraId="7FD839C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bookmarkStart w:id="55" w:name="_Toc14759"/>
      <w:bookmarkStart w:id="56" w:name="_Toc40089800"/>
      <w:bookmarkStart w:id="57" w:name="_Toc356490394"/>
      <w:bookmarkStart w:id="58" w:name="_Toc356491342"/>
    </w:p>
    <w:p w14:paraId="5C56A8E0">
      <w:pPr>
        <w:bidi w:val="0"/>
        <w:rPr>
          <w:rFonts w:hint="eastAsia" w:ascii="仿宋_GB2312" w:hAnsi="仿宋_GB2312" w:eastAsia="仿宋_GB2312" w:cs="仿宋_GB2312"/>
          <w:b/>
          <w:bCs w:val="0"/>
          <w:color w:val="auto"/>
          <w:sz w:val="36"/>
          <w:szCs w:val="36"/>
        </w:rPr>
      </w:pPr>
      <w:r>
        <w:rPr>
          <w:rFonts w:hint="eastAsia" w:ascii="仿宋_GB2312" w:hAnsi="仿宋_GB2312" w:eastAsia="仿宋_GB2312" w:cs="仿宋_GB2312"/>
          <w:b/>
          <w:bCs w:val="0"/>
          <w:color w:val="auto"/>
          <w:sz w:val="36"/>
          <w:szCs w:val="36"/>
        </w:rPr>
        <w:t>附件</w:t>
      </w:r>
      <w:bookmarkEnd w:id="55"/>
      <w:bookmarkEnd w:id="56"/>
    </w:p>
    <w:p w14:paraId="2D8C2DCC">
      <w:pPr>
        <w:jc w:val="center"/>
        <w:rPr>
          <w:rFonts w:hint="eastAsia" w:ascii="仿宋_GB2312" w:hAnsi="仿宋_GB2312" w:eastAsia="仿宋_GB2312" w:cs="仿宋_GB2312"/>
          <w:b/>
          <w:color w:val="auto"/>
        </w:rPr>
      </w:pPr>
    </w:p>
    <w:p w14:paraId="23E2620F">
      <w:pPr>
        <w:jc w:val="center"/>
        <w:rPr>
          <w:rFonts w:hint="eastAsia" w:ascii="仿宋_GB2312" w:hAnsi="仿宋_GB2312" w:eastAsia="仿宋_GB2312" w:cs="仿宋_GB2312"/>
          <w:b/>
          <w:color w:val="auto"/>
        </w:rPr>
      </w:pPr>
    </w:p>
    <w:p w14:paraId="5725F651">
      <w:pPr>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报价文件封面格式</w:t>
      </w:r>
    </w:p>
    <w:p w14:paraId="5039650E">
      <w:pPr>
        <w:jc w:val="right"/>
        <w:rPr>
          <w:rFonts w:hint="eastAsia" w:ascii="仿宋_GB2312" w:hAnsi="仿宋_GB2312" w:eastAsia="仿宋_GB2312" w:cs="仿宋_GB2312"/>
          <w:b/>
          <w:bCs w:val="0"/>
          <w:color w:val="auto"/>
          <w:sz w:val="36"/>
          <w:szCs w:val="36"/>
        </w:rPr>
      </w:pPr>
      <w:bookmarkStart w:id="59" w:name="_Toc1227"/>
      <w:bookmarkStart w:id="60" w:name="_Toc40089801"/>
      <w:r>
        <w:rPr>
          <w:rFonts w:hint="eastAsia" w:ascii="仿宋_GB2312" w:hAnsi="仿宋_GB2312" w:eastAsia="仿宋_GB2312" w:cs="仿宋_GB2312"/>
          <w:b/>
          <w:bCs w:val="0"/>
          <w:color w:val="auto"/>
          <w:sz w:val="36"/>
          <w:szCs w:val="36"/>
        </w:rPr>
        <w:t>正本或副本</w:t>
      </w:r>
      <w:bookmarkEnd w:id="59"/>
      <w:bookmarkEnd w:id="60"/>
    </w:p>
    <w:p w14:paraId="0F16AB07">
      <w:pPr>
        <w:bidi w:val="0"/>
        <w:ind w:firstLine="2168" w:firstLineChars="600"/>
        <w:jc w:val="both"/>
        <w:rPr>
          <w:rFonts w:hint="eastAsia" w:ascii="仿宋_GB2312" w:hAnsi="仿宋_GB2312" w:eastAsia="仿宋_GB2312" w:cs="仿宋_GB2312"/>
          <w:b/>
          <w:bCs w:val="0"/>
          <w:color w:val="auto"/>
          <w:sz w:val="36"/>
          <w:szCs w:val="36"/>
          <w:u w:val="single"/>
          <w:lang w:val="en-US" w:eastAsia="zh-CN"/>
        </w:rPr>
      </w:pPr>
      <w:bookmarkStart w:id="61" w:name="_Toc27492"/>
      <w:bookmarkStart w:id="62" w:name="_Toc40089802"/>
      <w:r>
        <w:rPr>
          <w:rFonts w:hint="eastAsia" w:ascii="仿宋_GB2312" w:hAnsi="仿宋_GB2312" w:eastAsia="仿宋_GB2312" w:cs="仿宋_GB2312"/>
          <w:b/>
          <w:bCs w:val="0"/>
          <w:color w:val="auto"/>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color w:val="auto"/>
          <w:sz w:val="36"/>
          <w:szCs w:val="36"/>
          <w:u w:val="single"/>
          <w:lang w:val="en-US" w:eastAsia="zh-CN"/>
        </w:rPr>
        <w:t xml:space="preserve">             </w:t>
      </w:r>
    </w:p>
    <w:p w14:paraId="64626786">
      <w:pPr>
        <w:rPr>
          <w:rFonts w:hint="eastAsia" w:ascii="仿宋_GB2312" w:hAnsi="仿宋_GB2312" w:eastAsia="仿宋_GB2312" w:cs="仿宋_GB2312"/>
          <w:color w:val="auto"/>
          <w:lang w:val="en-US" w:eastAsia="zh-CN"/>
        </w:rPr>
      </w:pPr>
    </w:p>
    <w:p w14:paraId="71DE74E7">
      <w:pPr>
        <w:bidi w:val="0"/>
        <w:ind w:firstLine="2168" w:firstLineChars="60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val="0"/>
          <w:color w:val="auto"/>
          <w:sz w:val="36"/>
          <w:szCs w:val="36"/>
          <w:u w:val="single"/>
          <w:lang w:val="en-US" w:eastAsia="zh-CN"/>
        </w:rPr>
        <w:t>（项目编号）</w:t>
      </w:r>
      <w:bookmarkEnd w:id="63"/>
      <w:bookmarkEnd w:id="64"/>
      <w:r>
        <w:rPr>
          <w:rFonts w:hint="eastAsia" w:ascii="仿宋_GB2312" w:hAnsi="仿宋_GB2312" w:eastAsia="仿宋_GB2312" w:cs="仿宋_GB2312"/>
          <w:b/>
          <w:bCs w:val="0"/>
          <w:color w:val="auto"/>
          <w:sz w:val="36"/>
          <w:szCs w:val="36"/>
          <w:u w:val="single"/>
          <w:lang w:val="en-US" w:eastAsia="zh-CN"/>
        </w:rPr>
        <w:t xml:space="preserve">             </w:t>
      </w:r>
    </w:p>
    <w:p w14:paraId="44273DBA">
      <w:pPr>
        <w:rPr>
          <w:rFonts w:hint="eastAsia" w:ascii="仿宋_GB2312" w:hAnsi="仿宋_GB2312" w:eastAsia="仿宋_GB2312" w:cs="仿宋_GB2312"/>
          <w:color w:val="auto"/>
        </w:rPr>
      </w:pPr>
    </w:p>
    <w:p w14:paraId="4A3E7EC1">
      <w:pPr>
        <w:rPr>
          <w:rFonts w:hint="eastAsia" w:ascii="仿宋_GB2312" w:hAnsi="仿宋_GB2312" w:eastAsia="仿宋_GB2312" w:cs="仿宋_GB2312"/>
        </w:rPr>
      </w:pPr>
    </w:p>
    <w:p w14:paraId="488EDA98">
      <w:pPr>
        <w:bidi w:val="0"/>
        <w:jc w:val="center"/>
        <w:rPr>
          <w:rFonts w:hint="eastAsia" w:ascii="仿宋_GB2312" w:hAnsi="仿宋_GB2312" w:eastAsia="仿宋_GB2312" w:cs="仿宋_GB2312"/>
          <w:b/>
          <w:bCs w:val="0"/>
          <w:sz w:val="52"/>
          <w:szCs w:val="52"/>
        </w:rPr>
      </w:pPr>
      <w:bookmarkStart w:id="65" w:name="_Toc17456"/>
      <w:bookmarkStart w:id="66" w:name="_Toc40089805"/>
    </w:p>
    <w:p w14:paraId="4B464EC1">
      <w:pPr>
        <w:bidi w:val="0"/>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6F741769">
      <w:pPr>
        <w:rPr>
          <w:rFonts w:hint="eastAsia" w:ascii="仿宋_GB2312" w:hAnsi="仿宋_GB2312" w:eastAsia="仿宋_GB2312" w:cs="仿宋_GB2312"/>
        </w:rPr>
      </w:pPr>
    </w:p>
    <w:p w14:paraId="2A509D3C">
      <w:pPr>
        <w:rPr>
          <w:rFonts w:hint="eastAsia" w:ascii="仿宋_GB2312" w:hAnsi="仿宋_GB2312" w:eastAsia="仿宋_GB2312" w:cs="仿宋_GB2312"/>
        </w:rPr>
      </w:pPr>
    </w:p>
    <w:p w14:paraId="0061E0CC">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9C29489">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b/>
          <w:bCs w:val="0"/>
          <w:sz w:val="32"/>
          <w:szCs w:val="32"/>
          <w:u w:val="single"/>
          <w:lang w:val="en-US" w:eastAsia="zh-CN"/>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 xml:space="preserve">     </w:t>
      </w:r>
    </w:p>
    <w:p w14:paraId="5D6CC64F">
      <w:pPr>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地</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79DD5763">
      <w:pPr>
        <w:pStyle w:val="13"/>
        <w:keepNext w:val="0"/>
        <w:keepLines w:val="0"/>
        <w:pageBreakBefore w:val="0"/>
        <w:widowControl w:val="0"/>
        <w:kinsoku/>
        <w:wordWrap/>
        <w:overflowPunct/>
        <w:topLinePunct w:val="0"/>
        <w:autoSpaceDE/>
        <w:autoSpaceDN/>
        <w:bidi w:val="0"/>
        <w:adjustRightInd w:val="0"/>
        <w:snapToGrid w:val="0"/>
        <w:spacing w:line="560" w:lineRule="exact"/>
        <w:ind w:firstLine="964" w:firstLineChars="3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kern w:val="44"/>
          <w:sz w:val="32"/>
          <w:szCs w:val="32"/>
        </w:rPr>
        <w:t>电</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b/>
          <w:kern w:val="44"/>
          <w:sz w:val="32"/>
          <w:szCs w:val="32"/>
        </w:rPr>
        <w:t>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458CE474">
      <w:pPr>
        <w:rPr>
          <w:rFonts w:hint="eastAsia" w:ascii="仿宋_GB2312" w:hAnsi="仿宋_GB2312" w:eastAsia="仿宋_GB2312" w:cs="仿宋_GB2312"/>
        </w:rPr>
      </w:pPr>
      <w:r>
        <w:rPr>
          <w:rFonts w:hint="eastAsia" w:ascii="仿宋_GB2312" w:hAnsi="仿宋_GB2312" w:eastAsia="仿宋_GB2312" w:cs="仿宋_GB2312"/>
        </w:rPr>
        <w:br w:type="page"/>
      </w:r>
    </w:p>
    <w:p w14:paraId="37B83738">
      <w:pPr>
        <w:pStyle w:val="3"/>
        <w:bidi w:val="0"/>
        <w:spacing w:line="240" w:lineRule="auto"/>
        <w:rPr>
          <w:rFonts w:hint="default"/>
          <w:lang w:val="en-US" w:eastAsia="zh-CN"/>
        </w:rPr>
      </w:pPr>
      <w:bookmarkStart w:id="71" w:name="_Toc14583"/>
      <w:bookmarkStart w:id="72" w:name="_Toc40089808"/>
      <w:bookmarkStart w:id="73" w:name="_Toc25558"/>
      <w:r>
        <w:rPr>
          <w:rFonts w:hint="eastAsia"/>
          <w:lang w:val="en-US" w:eastAsia="zh-CN"/>
        </w:rPr>
        <w:t>一、商务部分</w:t>
      </w:r>
      <w:bookmarkEnd w:id="71"/>
    </w:p>
    <w:p w14:paraId="1AEA8B44">
      <w:pPr>
        <w:pStyle w:val="2"/>
        <w:spacing w:before="120" w:line="240" w:lineRule="auto"/>
        <w:rPr>
          <w:rFonts w:hint="eastAsia" w:ascii="仿宋_GB2312" w:hAnsi="仿宋_GB2312" w:eastAsia="仿宋_GB2312" w:cs="仿宋_GB2312"/>
          <w:b/>
          <w:bCs/>
          <w:sz w:val="36"/>
          <w:szCs w:val="36"/>
        </w:rPr>
      </w:pPr>
      <w:bookmarkStart w:id="74" w:name="_Toc6916"/>
      <w:r>
        <w:rPr>
          <w:rFonts w:hint="eastAsia" w:ascii="仿宋_GB2312" w:hAnsi="仿宋_GB2312" w:eastAsia="仿宋_GB2312" w:cs="仿宋_GB2312"/>
          <w:b/>
          <w:bCs/>
          <w:sz w:val="36"/>
          <w:szCs w:val="36"/>
        </w:rPr>
        <w:t>附件1</w:t>
      </w:r>
      <w:bookmarkEnd w:id="57"/>
      <w:bookmarkEnd w:id="58"/>
      <w:bookmarkEnd w:id="72"/>
      <w:bookmarkEnd w:id="73"/>
      <w:bookmarkEnd w:id="74"/>
    </w:p>
    <w:p w14:paraId="0B69EF32">
      <w:pPr>
        <w:tabs>
          <w:tab w:val="left" w:pos="0"/>
          <w:tab w:val="left" w:pos="720"/>
          <w:tab w:val="left" w:pos="1440"/>
          <w:tab w:val="left" w:pos="2160"/>
          <w:tab w:val="left" w:pos="2880"/>
          <w:tab w:val="left" w:pos="3600"/>
          <w:tab w:val="left" w:pos="4320"/>
        </w:tabs>
        <w:autoSpaceDE w:val="0"/>
        <w:autoSpaceDN w:val="0"/>
        <w:adjustRightInd w:val="0"/>
        <w:spacing w:line="240" w:lineRule="auto"/>
        <w:ind w:left="56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投标函</w:t>
      </w:r>
    </w:p>
    <w:p w14:paraId="6DF9023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 w:val="28"/>
          <w:szCs w:val="28"/>
          <w:lang w:val="en-US" w:eastAsia="zh-CN"/>
        </w:rPr>
      </w:pPr>
    </w:p>
    <w:p w14:paraId="2CFF0A5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海南卫生健康职业学院</w:t>
      </w:r>
      <w:r>
        <w:rPr>
          <w:rFonts w:hint="eastAsia" w:ascii="仿宋" w:hAnsi="仿宋" w:eastAsia="仿宋" w:cs="仿宋"/>
          <w:sz w:val="28"/>
          <w:szCs w:val="28"/>
        </w:rPr>
        <w:t>：</w:t>
      </w:r>
    </w:p>
    <w:p w14:paraId="262034C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经研究，我们决定参加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（项目名称/项目编号）并报价。为此，我方郑重声明以下诸点，并负法律责任。</w:t>
      </w:r>
    </w:p>
    <w:p w14:paraId="3F77D6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我方提交的报价文件，正本一份，副本二份。</w:t>
      </w:r>
    </w:p>
    <w:p w14:paraId="6540C13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如果我方的报价文件被接受，我们将履行</w:t>
      </w:r>
      <w:r>
        <w:rPr>
          <w:rFonts w:hint="eastAsia" w:ascii="仿宋" w:hAnsi="仿宋" w:eastAsia="仿宋" w:cs="仿宋"/>
          <w:sz w:val="28"/>
          <w:szCs w:val="28"/>
          <w:lang w:eastAsia="zh-CN"/>
        </w:rPr>
        <w:t>谈判</w:t>
      </w:r>
      <w:r>
        <w:rPr>
          <w:rFonts w:hint="eastAsia" w:ascii="仿宋" w:hAnsi="仿宋" w:eastAsia="仿宋" w:cs="仿宋"/>
          <w:sz w:val="28"/>
          <w:szCs w:val="28"/>
        </w:rPr>
        <w:t>文件中规定的每一项要求，并按我方报价文件中的承诺按期、保质、保量完成项目的实施。</w:t>
      </w:r>
    </w:p>
    <w:p w14:paraId="6224D63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我们理解，最低报价不是中标的唯一条件，同时认可本次</w:t>
      </w:r>
      <w:r>
        <w:rPr>
          <w:rFonts w:hint="eastAsia" w:ascii="仿宋" w:hAnsi="仿宋" w:eastAsia="仿宋" w:cs="仿宋"/>
          <w:sz w:val="28"/>
          <w:szCs w:val="28"/>
          <w:lang w:eastAsia="zh-CN"/>
        </w:rPr>
        <w:t>谈判</w:t>
      </w:r>
      <w:r>
        <w:rPr>
          <w:rFonts w:hint="eastAsia" w:ascii="仿宋" w:hAnsi="仿宋" w:eastAsia="仿宋" w:cs="仿宋"/>
          <w:sz w:val="28"/>
          <w:szCs w:val="28"/>
        </w:rPr>
        <w:t>文</w:t>
      </w:r>
    </w:p>
    <w:p w14:paraId="323A14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r>
        <w:rPr>
          <w:rFonts w:hint="eastAsia" w:ascii="仿宋" w:hAnsi="仿宋" w:eastAsia="仿宋" w:cs="仿宋"/>
          <w:sz w:val="28"/>
          <w:szCs w:val="28"/>
        </w:rPr>
        <w:t>件中</w:t>
      </w:r>
      <w:r>
        <w:rPr>
          <w:rFonts w:hint="eastAsia" w:ascii="仿宋" w:hAnsi="仿宋" w:eastAsia="仿宋" w:cs="仿宋"/>
          <w:sz w:val="28"/>
          <w:szCs w:val="28"/>
          <w:lang w:eastAsia="zh-CN"/>
        </w:rPr>
        <w:t>谈判</w:t>
      </w:r>
      <w:r>
        <w:rPr>
          <w:rFonts w:hint="eastAsia" w:ascii="仿宋" w:hAnsi="仿宋" w:eastAsia="仿宋" w:cs="仿宋"/>
          <w:sz w:val="28"/>
          <w:szCs w:val="28"/>
        </w:rPr>
        <w:t>小组选择中标候选人的方式和权利。</w:t>
      </w:r>
    </w:p>
    <w:p w14:paraId="4652D08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我们承诺，报价文件不存在复制、粘贴</w:t>
      </w:r>
      <w:r>
        <w:rPr>
          <w:rFonts w:hint="eastAsia" w:ascii="仿宋" w:hAnsi="仿宋" w:eastAsia="仿宋" w:cs="仿宋"/>
          <w:sz w:val="28"/>
          <w:szCs w:val="28"/>
          <w:lang w:eastAsia="zh-CN"/>
        </w:rPr>
        <w:t>谈判</w:t>
      </w:r>
      <w:r>
        <w:rPr>
          <w:rFonts w:hint="eastAsia" w:ascii="仿宋" w:hAnsi="仿宋" w:eastAsia="仿宋" w:cs="仿宋"/>
          <w:sz w:val="28"/>
          <w:szCs w:val="28"/>
        </w:rPr>
        <w:t>文件主要规格技术参数的情况。</w:t>
      </w:r>
    </w:p>
    <w:p w14:paraId="3A1C9ACB">
      <w:pPr>
        <w:numPr>
          <w:ilvl w:val="0"/>
          <w:numId w:val="0"/>
        </w:num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我方已详细检查所有报价文件、附件以及所提供的参考文件，有模糊和误解产生的一切后果，由我方自负。</w:t>
      </w:r>
    </w:p>
    <w:p w14:paraId="5014D56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报价文件在公开报价后</w:t>
      </w:r>
      <w:r>
        <w:rPr>
          <w:rFonts w:hint="eastAsia" w:ascii="仿宋" w:hAnsi="仿宋" w:eastAsia="仿宋" w:cs="仿宋"/>
          <w:sz w:val="28"/>
          <w:szCs w:val="28"/>
          <w:u w:val="single"/>
        </w:rPr>
        <w:t>90</w:t>
      </w:r>
      <w:r>
        <w:rPr>
          <w:rFonts w:hint="eastAsia" w:ascii="仿宋" w:hAnsi="仿宋" w:eastAsia="仿宋" w:cs="仿宋"/>
          <w:sz w:val="28"/>
          <w:szCs w:val="28"/>
        </w:rPr>
        <w:t>日内有效。</w:t>
      </w:r>
    </w:p>
    <w:p w14:paraId="3727B32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我们同意按照</w:t>
      </w:r>
      <w:r>
        <w:rPr>
          <w:rFonts w:hint="eastAsia" w:ascii="仿宋" w:hAnsi="仿宋" w:eastAsia="仿宋" w:cs="仿宋"/>
          <w:sz w:val="28"/>
          <w:szCs w:val="28"/>
          <w:lang w:eastAsia="zh-CN"/>
        </w:rPr>
        <w:t>谈判</w:t>
      </w:r>
      <w:r>
        <w:rPr>
          <w:rFonts w:hint="eastAsia" w:ascii="仿宋" w:hAnsi="仿宋" w:eastAsia="仿宋" w:cs="仿宋"/>
          <w:sz w:val="28"/>
          <w:szCs w:val="28"/>
        </w:rPr>
        <w:t>文件的要求，提供与递交报价文件有关的数据和资料。</w:t>
      </w:r>
    </w:p>
    <w:p w14:paraId="56206AD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我方愿按《中华人民共和国合同法》履行自己的全部责任。</w:t>
      </w:r>
    </w:p>
    <w:p w14:paraId="182699C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 w:hAnsi="仿宋" w:eastAsia="仿宋" w:cs="仿宋"/>
          <w:sz w:val="28"/>
          <w:szCs w:val="28"/>
        </w:rPr>
      </w:pPr>
    </w:p>
    <w:p w14:paraId="48AA9F7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地址：</w:t>
      </w:r>
    </w:p>
    <w:p w14:paraId="6D919B8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邮政编码：</w:t>
      </w:r>
    </w:p>
    <w:p w14:paraId="23AF60DF">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电话：</w:t>
      </w:r>
    </w:p>
    <w:p w14:paraId="722B71F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传真：</w:t>
      </w:r>
    </w:p>
    <w:p w14:paraId="2AA3BAA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投标人全称（公章）：</w:t>
      </w:r>
    </w:p>
    <w:p w14:paraId="0601461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 w:hAnsi="仿宋" w:eastAsia="仿宋" w:cs="仿宋"/>
          <w:sz w:val="28"/>
          <w:szCs w:val="28"/>
        </w:rPr>
      </w:pPr>
      <w:r>
        <w:rPr>
          <w:rFonts w:hint="eastAsia" w:ascii="仿宋" w:hAnsi="仿宋" w:eastAsia="仿宋" w:cs="仿宋"/>
          <w:sz w:val="28"/>
          <w:szCs w:val="28"/>
        </w:rPr>
        <w:t xml:space="preserve">法定代表人或授权代理人签字：                                                 </w:t>
      </w:r>
    </w:p>
    <w:p w14:paraId="6A15A7C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 w:hAnsi="仿宋" w:eastAsia="仿宋" w:cs="仿宋"/>
          <w:sz w:val="28"/>
          <w:szCs w:val="28"/>
        </w:rPr>
      </w:pPr>
      <w:r>
        <w:rPr>
          <w:rFonts w:hint="eastAsia" w:ascii="仿宋" w:hAnsi="仿宋" w:eastAsia="仿宋" w:cs="仿宋"/>
          <w:sz w:val="28"/>
          <w:szCs w:val="28"/>
          <w:lang w:val="en-US" w:eastAsia="zh-CN"/>
        </w:rPr>
        <w:t>日  期：</w:t>
      </w:r>
      <w:r>
        <w:rPr>
          <w:rFonts w:hint="eastAsia" w:ascii="仿宋" w:hAnsi="仿宋" w:eastAsia="仿宋" w:cs="仿宋"/>
          <w:sz w:val="28"/>
          <w:szCs w:val="28"/>
        </w:rPr>
        <w:t>年   月   日</w:t>
      </w:r>
    </w:p>
    <w:p w14:paraId="547B5E98">
      <w:pPr>
        <w:pStyle w:val="2"/>
        <w:spacing w:before="120" w:line="240" w:lineRule="auto"/>
        <w:rPr>
          <w:rFonts w:hint="eastAsia" w:ascii="仿宋_GB2312" w:hAnsi="仿宋_GB2312" w:eastAsia="仿宋_GB2312" w:cs="仿宋_GB2312"/>
        </w:rPr>
      </w:pPr>
      <w:r>
        <w:rPr>
          <w:rFonts w:hint="eastAsia" w:ascii="仿宋" w:hAnsi="仿宋" w:eastAsia="仿宋" w:cs="仿宋"/>
          <w:sz w:val="24"/>
        </w:rPr>
        <w:br w:type="page"/>
      </w:r>
      <w:bookmarkStart w:id="75" w:name="_Toc323129568"/>
      <w:bookmarkStart w:id="76" w:name="_Toc323130135"/>
      <w:bookmarkStart w:id="77" w:name="_Toc40089809"/>
      <w:bookmarkStart w:id="78" w:name="_Toc11196"/>
      <w:bookmarkStart w:id="79" w:name="_Toc26307"/>
      <w:bookmarkStart w:id="80" w:name="_Toc325620729"/>
      <w:bookmarkStart w:id="81" w:name="_Toc356491343"/>
      <w:r>
        <w:rPr>
          <w:rFonts w:hint="eastAsia" w:ascii="仿宋_GB2312" w:hAnsi="仿宋_GB2312" w:eastAsia="仿宋_GB2312" w:cs="仿宋_GB2312"/>
          <w:b/>
          <w:bCs/>
          <w:sz w:val="36"/>
          <w:szCs w:val="36"/>
        </w:rPr>
        <w:t>附件</w:t>
      </w:r>
      <w:bookmarkEnd w:id="75"/>
      <w:bookmarkEnd w:id="76"/>
      <w:r>
        <w:rPr>
          <w:rFonts w:hint="eastAsia" w:ascii="仿宋_GB2312" w:hAnsi="仿宋_GB2312" w:eastAsia="仿宋_GB2312" w:cs="仿宋_GB2312"/>
          <w:b/>
          <w:bCs/>
          <w:sz w:val="36"/>
          <w:szCs w:val="36"/>
        </w:rPr>
        <w:t>2</w:t>
      </w:r>
      <w:bookmarkEnd w:id="77"/>
      <w:bookmarkEnd w:id="78"/>
      <w:bookmarkEnd w:id="79"/>
      <w:bookmarkEnd w:id="80"/>
      <w:bookmarkEnd w:id="81"/>
      <w:bookmarkStart w:id="82" w:name="_Toc356491344"/>
      <w:bookmarkStart w:id="83" w:name="_Toc356490395"/>
    </w:p>
    <w:p w14:paraId="0592A68B">
      <w:pPr>
        <w:pStyle w:val="15"/>
        <w:spacing w:line="360" w:lineRule="auto"/>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法定代表人授权委托书</w:t>
      </w:r>
    </w:p>
    <w:p w14:paraId="0C372EF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w:t>
      </w:r>
    </w:p>
    <w:p w14:paraId="4F0F647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姓</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（姓名、职务或职称）为我单位本次项目的全权代表，以本公司的名义参加</w:t>
      </w:r>
      <w:r>
        <w:rPr>
          <w:rFonts w:hint="eastAsia" w:ascii="仿宋_GB2312" w:hAnsi="仿宋_GB2312" w:eastAsia="仿宋_GB2312" w:cs="仿宋_GB2312"/>
          <w:sz w:val="32"/>
          <w:szCs w:val="32"/>
          <w:lang w:val="en-US" w:eastAsia="zh-CN"/>
        </w:rPr>
        <w:t>海南卫生健康职业学院</w:t>
      </w:r>
      <w:r>
        <w:rPr>
          <w:rFonts w:hint="eastAsia" w:ascii="仿宋_GB2312" w:hAnsi="仿宋_GB2312" w:eastAsia="仿宋_GB2312" w:cs="仿宋_GB2312"/>
          <w:sz w:val="32"/>
          <w:szCs w:val="32"/>
        </w:rPr>
        <w:t>组织的                      （项目名称/项目编号）的招标，全权处理招标过程有关的一切事务。</w:t>
      </w:r>
    </w:p>
    <w:p w14:paraId="428F3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rPr>
        <w:t>签署的所有文件不因授权的撤消而失效。</w:t>
      </w:r>
    </w:p>
    <w:p w14:paraId="06992AE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4BDE7B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p>
    <w:p w14:paraId="41ABE72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777A2B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17224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26B280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7D698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5B45B8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18F87B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697C9A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6AEA3E5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551CA72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0D55DA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D8C92FE">
      <w:pPr>
        <w:pStyle w:val="2"/>
        <w:bidi w:val="0"/>
        <w:rPr>
          <w:rFonts w:hint="eastAsia" w:ascii="仿宋_GB2312" w:hAnsi="仿宋_GB2312" w:eastAsia="仿宋_GB2312" w:cs="仿宋_GB2312"/>
        </w:rPr>
      </w:pPr>
      <w:r>
        <w:rPr>
          <w:rFonts w:hint="eastAsia" w:ascii="仿宋_GB2312" w:hAnsi="仿宋_GB2312" w:eastAsia="仿宋_GB2312" w:cs="仿宋_GB2312"/>
          <w:sz w:val="28"/>
          <w:szCs w:val="28"/>
        </w:rPr>
        <w:br w:type="page"/>
      </w:r>
      <w:bookmarkStart w:id="84" w:name="_Toc301"/>
      <w:bookmarkStart w:id="85" w:name="_Toc513627405"/>
      <w:bookmarkStart w:id="86" w:name="_Toc24686"/>
      <w:bookmarkStart w:id="87" w:name="_Toc40089810"/>
      <w:r>
        <w:rPr>
          <w:rFonts w:hint="eastAsia" w:ascii="仿宋_GB2312" w:hAnsi="仿宋_GB2312" w:eastAsia="仿宋_GB2312" w:cs="仿宋_GB2312"/>
          <w:b/>
          <w:bCs/>
          <w:kern w:val="0"/>
          <w:sz w:val="36"/>
          <w:szCs w:val="36"/>
          <w:lang w:val="en-US" w:eastAsia="zh-CN" w:bidi="ar-SA"/>
        </w:rPr>
        <w:t>附件3</w:t>
      </w:r>
      <w:bookmarkEnd w:id="84"/>
    </w:p>
    <w:p w14:paraId="27E7278F">
      <w:pPr>
        <w:rPr>
          <w:rFonts w:hint="eastAsia" w:ascii="仿宋_GB2312" w:hAnsi="仿宋_GB2312" w:eastAsia="仿宋_GB2312" w:cs="仿宋_GB2312"/>
        </w:rPr>
      </w:pPr>
    </w:p>
    <w:p w14:paraId="5D0197F7">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近三年内，在经营活动中没有重大违法记录的声明</w:t>
      </w:r>
      <w:bookmarkEnd w:id="85"/>
      <w:bookmarkEnd w:id="86"/>
      <w:bookmarkEnd w:id="87"/>
      <w:r>
        <w:rPr>
          <w:rFonts w:hint="eastAsia" w:ascii="仿宋_GB2312" w:hAnsi="仿宋_GB2312" w:eastAsia="仿宋_GB2312" w:cs="仿宋_GB2312"/>
          <w:b/>
          <w:bCs w:val="0"/>
          <w:kern w:val="2"/>
          <w:sz w:val="32"/>
          <w:szCs w:val="32"/>
          <w:lang w:val="en-US" w:eastAsia="zh-CN" w:bidi="ar-SA"/>
        </w:rPr>
        <w:t>函</w:t>
      </w:r>
    </w:p>
    <w:p w14:paraId="2E3968A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4552477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7990CBC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4860920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4B2484B8">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4FC25C46">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41C5F77F">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F2B7B2C">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F08981A">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2A0AE63">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A8644A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政府采购法第二十二条第一款第五项所称重大违法记录，是指供应商因违法经营受到刑事处罚或者责令停产停业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吊销许可证或者执照、较大数额罚款等行政处罚。供应商在参加政府采购活动前3年内因违法经营被禁止在一定期限内参加政府采购活动，期限届满的，可以参加政府采购活动。</w:t>
      </w:r>
    </w:p>
    <w:p w14:paraId="472B077D">
      <w:pPr>
        <w:pStyle w:val="2"/>
        <w:spacing w:before="120" w:after="100"/>
        <w:rPr>
          <w:rFonts w:hint="eastAsia" w:ascii="仿宋_GB2312" w:hAnsi="仿宋_GB2312" w:eastAsia="仿宋_GB2312" w:cs="仿宋_GB2312"/>
        </w:rPr>
      </w:pPr>
      <w:r>
        <w:rPr>
          <w:rFonts w:hint="eastAsia" w:ascii="仿宋_GB2312" w:hAnsi="仿宋_GB2312" w:eastAsia="仿宋_GB2312" w:cs="仿宋_GB2312"/>
          <w:sz w:val="24"/>
        </w:rPr>
        <w:br w:type="page"/>
      </w:r>
      <w:bookmarkStart w:id="88" w:name="_Toc40089811"/>
      <w:bookmarkStart w:id="89" w:name="_Toc9292"/>
      <w:bookmarkStart w:id="90" w:name="_Toc9600"/>
      <w:r>
        <w:rPr>
          <w:rFonts w:hint="eastAsia" w:ascii="仿宋_GB2312" w:hAnsi="仿宋_GB2312" w:eastAsia="仿宋_GB2312" w:cs="仿宋_GB2312"/>
          <w:b/>
          <w:bCs/>
          <w:kern w:val="0"/>
          <w:sz w:val="36"/>
          <w:szCs w:val="36"/>
          <w:lang w:val="en-US" w:eastAsia="zh-CN" w:bidi="ar-SA"/>
        </w:rPr>
        <w:t>附件4</w:t>
      </w:r>
      <w:bookmarkEnd w:id="88"/>
      <w:bookmarkEnd w:id="89"/>
      <w:bookmarkEnd w:id="90"/>
    </w:p>
    <w:p w14:paraId="77845ECB">
      <w:pPr>
        <w:pStyle w:val="6"/>
        <w:spacing w:before="0" w:after="0"/>
        <w:ind w:right="378" w:rightChars="135"/>
        <w:jc w:val="cente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6"/>
          <w:szCs w:val="36"/>
          <w:lang w:val="en-US" w:eastAsia="zh-CN" w:bidi="ar-SA"/>
        </w:rPr>
        <w:t xml:space="preserve"> 商务响应表</w:t>
      </w:r>
    </w:p>
    <w:tbl>
      <w:tblPr>
        <w:tblStyle w:val="1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561"/>
        <w:gridCol w:w="2549"/>
        <w:gridCol w:w="1565"/>
      </w:tblGrid>
      <w:tr w14:paraId="2000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noWrap w:val="0"/>
            <w:vAlign w:val="center"/>
          </w:tcPr>
          <w:p w14:paraId="3F64F1B8">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4561" w:type="dxa"/>
            <w:noWrap w:val="0"/>
            <w:vAlign w:val="center"/>
          </w:tcPr>
          <w:p w14:paraId="62C3C03A">
            <w:pPr>
              <w:adjustRightInd w:val="0"/>
              <w:spacing w:line="500" w:lineRule="atLeast"/>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响应内容</w:t>
            </w:r>
          </w:p>
        </w:tc>
        <w:tc>
          <w:tcPr>
            <w:tcW w:w="2549" w:type="dxa"/>
            <w:noWrap w:val="0"/>
            <w:vAlign w:val="center"/>
          </w:tcPr>
          <w:p w14:paraId="431571DF">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是否响应</w:t>
            </w:r>
          </w:p>
        </w:tc>
        <w:tc>
          <w:tcPr>
            <w:tcW w:w="1565" w:type="dxa"/>
            <w:noWrap w:val="0"/>
            <w:vAlign w:val="center"/>
          </w:tcPr>
          <w:p w14:paraId="3B885AC6">
            <w:pPr>
              <w:adjustRightInd w:val="0"/>
              <w:spacing w:line="50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w:t>
            </w:r>
            <w:r>
              <w:rPr>
                <w:rFonts w:hint="eastAsia" w:ascii="仿宋_GB2312" w:hAnsi="仿宋_GB2312" w:eastAsia="仿宋_GB2312" w:cs="仿宋_GB2312"/>
                <w:b/>
                <w:bCs/>
                <w:sz w:val="32"/>
                <w:szCs w:val="32"/>
                <w:lang w:val="en-US" w:eastAsia="zh-CN"/>
              </w:rPr>
              <w:t>备注</w:t>
            </w:r>
            <w:r>
              <w:rPr>
                <w:rFonts w:hint="eastAsia" w:ascii="仿宋_GB2312" w:hAnsi="仿宋_GB2312" w:eastAsia="仿宋_GB2312" w:cs="仿宋_GB2312"/>
                <w:b/>
                <w:bCs/>
                <w:sz w:val="32"/>
                <w:szCs w:val="32"/>
              </w:rPr>
              <w:t>说明</w:t>
            </w:r>
          </w:p>
        </w:tc>
      </w:tr>
      <w:tr w14:paraId="693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0494FE7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555F6F6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08EF834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46CFB8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15A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3166EE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shd w:val="clear" w:color="auto" w:fill="auto"/>
            <w:noWrap w:val="0"/>
            <w:vAlign w:val="center"/>
          </w:tcPr>
          <w:p w14:paraId="6F7C119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eastAsia="zh-CN"/>
              </w:rPr>
            </w:pPr>
          </w:p>
        </w:tc>
        <w:tc>
          <w:tcPr>
            <w:tcW w:w="2549" w:type="dxa"/>
            <w:shd w:val="clear" w:color="auto" w:fill="auto"/>
            <w:noWrap w:val="0"/>
            <w:vAlign w:val="center"/>
          </w:tcPr>
          <w:p w14:paraId="4C5BDAA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c>
          <w:tcPr>
            <w:tcW w:w="1565" w:type="dxa"/>
            <w:shd w:val="clear" w:color="auto" w:fill="auto"/>
            <w:noWrap w:val="0"/>
            <w:vAlign w:val="center"/>
          </w:tcPr>
          <w:p w14:paraId="4E80702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b/>
                <w:bCs w:val="0"/>
                <w:kern w:val="1"/>
                <w:sz w:val="32"/>
                <w:szCs w:val="32"/>
                <w:lang w:val="en-US" w:eastAsia="zh-CN" w:bidi="ar-SA"/>
              </w:rPr>
            </w:pPr>
          </w:p>
        </w:tc>
      </w:tr>
      <w:tr w14:paraId="6D9E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9" w:type="dxa"/>
            <w:shd w:val="clear" w:color="auto" w:fill="auto"/>
            <w:noWrap w:val="0"/>
            <w:vAlign w:val="center"/>
          </w:tcPr>
          <w:p w14:paraId="642A7A0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kern w:val="2"/>
                <w:sz w:val="32"/>
                <w:szCs w:val="32"/>
                <w:lang w:val="en-US" w:eastAsia="zh-CN" w:bidi="ar-SA"/>
              </w:rPr>
            </w:pPr>
          </w:p>
        </w:tc>
        <w:tc>
          <w:tcPr>
            <w:tcW w:w="4561" w:type="dxa"/>
            <w:shd w:val="clear" w:color="auto" w:fill="auto"/>
            <w:noWrap w:val="0"/>
            <w:vAlign w:val="center"/>
          </w:tcPr>
          <w:p w14:paraId="01495F1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2549" w:type="dxa"/>
            <w:shd w:val="clear" w:color="auto" w:fill="auto"/>
            <w:noWrap w:val="0"/>
            <w:vAlign w:val="center"/>
          </w:tcPr>
          <w:p w14:paraId="3A8890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c>
          <w:tcPr>
            <w:tcW w:w="1565" w:type="dxa"/>
            <w:shd w:val="clear" w:color="auto" w:fill="auto"/>
            <w:noWrap w:val="0"/>
            <w:vAlign w:val="center"/>
          </w:tcPr>
          <w:p w14:paraId="0F6893B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kern w:val="2"/>
                <w:sz w:val="32"/>
                <w:szCs w:val="32"/>
                <w:lang w:val="en-US" w:eastAsia="zh-CN" w:bidi="ar-SA"/>
              </w:rPr>
            </w:pPr>
          </w:p>
        </w:tc>
      </w:tr>
      <w:tr w14:paraId="4C9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79" w:type="dxa"/>
            <w:noWrap w:val="0"/>
            <w:vAlign w:val="center"/>
          </w:tcPr>
          <w:p w14:paraId="4FEBC48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bCs w:val="0"/>
                <w:sz w:val="32"/>
                <w:szCs w:val="32"/>
                <w:lang w:val="en-US" w:eastAsia="zh-CN"/>
              </w:rPr>
            </w:pPr>
          </w:p>
        </w:tc>
        <w:tc>
          <w:tcPr>
            <w:tcW w:w="4561" w:type="dxa"/>
            <w:noWrap w:val="0"/>
            <w:vAlign w:val="center"/>
          </w:tcPr>
          <w:p w14:paraId="2C06394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4DE0E3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c>
          <w:tcPr>
            <w:tcW w:w="1565" w:type="dxa"/>
            <w:noWrap w:val="0"/>
            <w:vAlign w:val="center"/>
          </w:tcPr>
          <w:p w14:paraId="3208DD5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240" w:lineRule="atLeast"/>
              <w:textAlignment w:val="auto"/>
              <w:rPr>
                <w:rFonts w:hint="eastAsia" w:ascii="仿宋_GB2312" w:hAnsi="仿宋_GB2312" w:eastAsia="仿宋_GB2312" w:cs="仿宋_GB2312"/>
                <w:bCs w:val="0"/>
                <w:sz w:val="32"/>
                <w:szCs w:val="32"/>
              </w:rPr>
            </w:pPr>
          </w:p>
        </w:tc>
      </w:tr>
      <w:tr w14:paraId="1FF4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479" w:type="dxa"/>
            <w:noWrap w:val="0"/>
            <w:vAlign w:val="center"/>
          </w:tcPr>
          <w:p w14:paraId="640D433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lang w:val="en-US" w:eastAsia="zh-CN"/>
              </w:rPr>
            </w:pPr>
          </w:p>
        </w:tc>
        <w:tc>
          <w:tcPr>
            <w:tcW w:w="4561" w:type="dxa"/>
            <w:noWrap w:val="0"/>
            <w:vAlign w:val="center"/>
          </w:tcPr>
          <w:p w14:paraId="1668449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lang w:val="en-US"/>
              </w:rPr>
            </w:pPr>
          </w:p>
        </w:tc>
        <w:tc>
          <w:tcPr>
            <w:tcW w:w="2549" w:type="dxa"/>
            <w:noWrap w:val="0"/>
            <w:vAlign w:val="center"/>
          </w:tcPr>
          <w:p w14:paraId="1444472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c>
          <w:tcPr>
            <w:tcW w:w="1565" w:type="dxa"/>
            <w:noWrap w:val="0"/>
            <w:vAlign w:val="center"/>
          </w:tcPr>
          <w:p w14:paraId="36321DE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Cs w:val="0"/>
                <w:sz w:val="32"/>
                <w:szCs w:val="32"/>
              </w:rPr>
            </w:pPr>
          </w:p>
        </w:tc>
      </w:tr>
    </w:tbl>
    <w:p w14:paraId="55789C77">
      <w:pPr>
        <w:rPr>
          <w:rFonts w:hint="eastAsia"/>
          <w:lang w:val="en-US" w:eastAsia="zh-CN"/>
        </w:rPr>
      </w:pPr>
    </w:p>
    <w:p w14:paraId="426E528F">
      <w:pPr>
        <w:keepNext w:val="0"/>
        <w:keepLines w:val="0"/>
        <w:pageBreakBefore w:val="0"/>
        <w:widowControl w:val="0"/>
        <w:kinsoku/>
        <w:wordWrap/>
        <w:overflowPunct/>
        <w:topLinePunct w:val="0"/>
        <w:bidi w:val="0"/>
        <w:spacing w:line="560" w:lineRule="exact"/>
        <w:textAlignment w:val="auto"/>
        <w:rPr>
          <w:rFonts w:hint="eastAsia" w:ascii="仿宋" w:hAnsi="仿宋" w:eastAsia="仿宋" w:cs="仿宋"/>
          <w:bCs w:val="0"/>
          <w:sz w:val="32"/>
          <w:szCs w:val="32"/>
        </w:rPr>
      </w:pPr>
      <w:r>
        <w:rPr>
          <w:rFonts w:hint="eastAsia" w:ascii="仿宋" w:hAnsi="仿宋" w:eastAsia="仿宋" w:cs="仿宋"/>
          <w:sz w:val="32"/>
          <w:szCs w:val="32"/>
          <w:lang w:val="en-US" w:eastAsia="zh-CN"/>
        </w:rPr>
        <w:t>注：1.按照谈判文件第四部分/项目需求及说明/商务</w:t>
      </w:r>
      <w:r>
        <w:rPr>
          <w:rFonts w:hint="eastAsia" w:ascii="仿宋" w:hAnsi="仿宋" w:eastAsia="仿宋" w:cs="仿宋"/>
          <w:sz w:val="32"/>
          <w:szCs w:val="32"/>
        </w:rPr>
        <w:t>需求的顺序对应逐条应答</w:t>
      </w:r>
      <w:r>
        <w:rPr>
          <w:rFonts w:hint="eastAsia" w:ascii="仿宋" w:hAnsi="仿宋" w:eastAsia="仿宋" w:cs="仿宋"/>
          <w:sz w:val="32"/>
          <w:szCs w:val="32"/>
          <w:lang w:eastAsia="zh-CN"/>
        </w:rPr>
        <w:t>，</w:t>
      </w:r>
      <w:r>
        <w:rPr>
          <w:rFonts w:hint="eastAsia" w:ascii="仿宋" w:hAnsi="仿宋" w:eastAsia="仿宋" w:cs="仿宋"/>
          <w:bCs w:val="0"/>
          <w:sz w:val="32"/>
          <w:szCs w:val="32"/>
        </w:rPr>
        <w:t>对照谈判文件要求在“响应程度”栏填写“无偏离”或“正偏离”或“负偏离”。</w:t>
      </w:r>
    </w:p>
    <w:p w14:paraId="772A63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供应商必须据实填写，不得虚假填写，否则将取消其报价或中选</w:t>
      </w:r>
      <w:r>
        <w:rPr>
          <w:rFonts w:hint="eastAsia" w:ascii="仿宋" w:hAnsi="仿宋" w:eastAsia="仿宋" w:cs="仿宋"/>
          <w:sz w:val="32"/>
          <w:szCs w:val="32"/>
          <w:lang w:eastAsia="zh-CN"/>
        </w:rPr>
        <w:t>。</w:t>
      </w:r>
    </w:p>
    <w:p w14:paraId="0CB67A8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供应商（公章）：</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6C559B6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bCs w:val="0"/>
          <w:sz w:val="32"/>
          <w:szCs w:val="32"/>
        </w:rPr>
      </w:pPr>
      <w:r>
        <w:rPr>
          <w:rFonts w:hint="eastAsia" w:ascii="仿宋" w:hAnsi="仿宋" w:eastAsia="仿宋" w:cs="仿宋"/>
          <w:bCs w:val="0"/>
          <w:sz w:val="32"/>
          <w:szCs w:val="32"/>
        </w:rPr>
        <w:t>法人代表或其授权人（签字）：</w:t>
      </w:r>
      <w:r>
        <w:rPr>
          <w:rFonts w:hint="eastAsia" w:ascii="仿宋" w:hAnsi="仿宋" w:eastAsia="仿宋" w:cs="仿宋"/>
          <w:bCs w:val="0"/>
          <w:sz w:val="32"/>
          <w:szCs w:val="32"/>
          <w:u w:val="single"/>
          <w:lang w:val="en-US" w:eastAsia="zh-CN"/>
        </w:rPr>
        <w:t xml:space="preserve">              </w:t>
      </w:r>
      <w:r>
        <w:rPr>
          <w:rFonts w:hint="eastAsia" w:ascii="仿宋" w:hAnsi="仿宋" w:eastAsia="仿宋" w:cs="仿宋"/>
          <w:bCs w:val="0"/>
          <w:sz w:val="32"/>
          <w:szCs w:val="32"/>
        </w:rPr>
        <w:t xml:space="preserve">               </w:t>
      </w:r>
    </w:p>
    <w:p w14:paraId="0BA4B0D1">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bCs w:val="0"/>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89ED2C8">
      <w:pPr>
        <w:rPr>
          <w:rFonts w:hint="eastAsia"/>
        </w:rPr>
      </w:pPr>
      <w:r>
        <w:rPr>
          <w:rFonts w:hint="eastAsia"/>
        </w:rPr>
        <w:br w:type="page"/>
      </w:r>
      <w:bookmarkStart w:id="91" w:name="_Toc23941"/>
      <w:bookmarkStart w:id="92" w:name="_Toc40089812"/>
    </w:p>
    <w:p w14:paraId="65FBDB1C">
      <w:pPr>
        <w:rPr>
          <w:rFonts w:hint="default"/>
          <w:lang w:val="en-US" w:eastAsia="zh-CN"/>
        </w:rPr>
      </w:pPr>
    </w:p>
    <w:p w14:paraId="771F7E85">
      <w:pPr>
        <w:pStyle w:val="3"/>
        <w:numPr>
          <w:ilvl w:val="0"/>
          <w:numId w:val="4"/>
        </w:numPr>
        <w:bidi w:val="0"/>
        <w:spacing w:line="240" w:lineRule="auto"/>
        <w:rPr>
          <w:rFonts w:hint="eastAsia" w:hAnsi="Times New Roman" w:cs="Times New Roman"/>
          <w:lang w:val="en-US" w:eastAsia="zh-CN"/>
        </w:rPr>
      </w:pPr>
      <w:bookmarkStart w:id="93" w:name="_Toc22594"/>
      <w:r>
        <w:rPr>
          <w:rFonts w:hint="eastAsia" w:hAnsi="Times New Roman" w:cs="Times New Roman"/>
          <w:lang w:val="en-US" w:eastAsia="zh-CN"/>
        </w:rPr>
        <w:t>资信部分</w:t>
      </w:r>
      <w:bookmarkEnd w:id="93"/>
    </w:p>
    <w:p w14:paraId="6755E853">
      <w:pPr>
        <w:rPr>
          <w:rFonts w:hint="eastAsia" w:ascii="仿宋_GB2312" w:hAnsi="仿宋_GB2312" w:eastAsia="仿宋_GB2312" w:cs="仿宋_GB2312"/>
          <w:color w:val="auto"/>
          <w:kern w:val="0"/>
          <w:sz w:val="32"/>
          <w:szCs w:val="32"/>
        </w:rPr>
      </w:pPr>
    </w:p>
    <w:p w14:paraId="32767D37">
      <w:pPr>
        <w:numPr>
          <w:ilvl w:val="0"/>
          <w:numId w:val="5"/>
        </w:num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符合《中华人民共和国政府采购法》第二十二条规定，在中国境内注册的具有独立法人资格或个体户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提供营业执照）</w:t>
      </w:r>
    </w:p>
    <w:p w14:paraId="13BA4A0E">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55BBBBFF">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持有国家知识产权局颁发的专利代理机构注册证</w:t>
      </w:r>
    </w:p>
    <w:p w14:paraId="265A37AC">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lang w:val="en-US" w:eastAsia="zh-CN"/>
        </w:rPr>
      </w:pPr>
    </w:p>
    <w:p w14:paraId="500C0022">
      <w:pPr>
        <w:pStyle w:val="26"/>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未被“信用中国”网站（www.creditchina.gov.cn）列入失信被执行人、重大税收违法案件当事人名单、政府采购严重失信行为记录名单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提供网上截图</w:t>
      </w:r>
      <w:r>
        <w:rPr>
          <w:rFonts w:ascii="仿宋_GB2312" w:hAnsi="宋体" w:eastAsia="仿宋_GB2312" w:cs="仿宋_GB2312"/>
          <w:i w:val="0"/>
          <w:iCs w:val="0"/>
          <w:caps w:val="0"/>
          <w:color w:val="auto"/>
          <w:spacing w:val="0"/>
          <w:sz w:val="31"/>
          <w:szCs w:val="31"/>
          <w:shd w:val="clear" w:color="auto" w:fill="FFFFFF"/>
        </w:rPr>
        <w:t>加盖公章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或信用报告</w:t>
      </w:r>
      <w:r>
        <w:rPr>
          <w:rFonts w:hint="eastAsia" w:ascii="仿宋_GB2312" w:hAnsi="仿宋_GB2312" w:eastAsia="仿宋_GB2312" w:cs="仿宋_GB2312"/>
          <w:color w:val="auto"/>
          <w:kern w:val="0"/>
          <w:sz w:val="32"/>
          <w:szCs w:val="32"/>
        </w:rPr>
        <w:t>。</w:t>
      </w:r>
    </w:p>
    <w:p w14:paraId="79D369F0">
      <w:pPr>
        <w:numPr>
          <w:ilvl w:val="0"/>
          <w:numId w:val="0"/>
        </w:numPr>
        <w:rPr>
          <w:rFonts w:hint="eastAsia" w:ascii="仿宋_GB2312" w:hAnsi="仿宋_GB2312" w:eastAsia="仿宋_GB2312" w:cs="仿宋_GB2312"/>
          <w:color w:val="auto"/>
          <w:kern w:val="0"/>
          <w:sz w:val="32"/>
          <w:szCs w:val="32"/>
          <w:lang w:val="en-US" w:eastAsia="zh-CN"/>
        </w:rPr>
      </w:pPr>
    </w:p>
    <w:p w14:paraId="0E6A4E7E">
      <w:pPr>
        <w:numPr>
          <w:ilvl w:val="0"/>
          <w:numId w:val="0"/>
        </w:numPr>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color w:val="auto"/>
          <w:kern w:val="0"/>
          <w:sz w:val="32"/>
          <w:szCs w:val="32"/>
          <w:lang w:val="en-US" w:eastAsia="zh-CN"/>
        </w:rPr>
        <w:t>4.近3年完成至少5件中医药/健康设备领域发明专利代理</w:t>
      </w:r>
    </w:p>
    <w:p w14:paraId="1D1BFB86">
      <w:pPr>
        <w:numPr>
          <w:ilvl w:val="0"/>
          <w:numId w:val="0"/>
        </w:numPr>
        <w:rPr>
          <w:rFonts w:hint="eastAsia" w:ascii="仿宋_GB2312" w:hAnsi="仿宋_GB2312" w:eastAsia="仿宋_GB2312" w:cs="仿宋_GB2312"/>
          <w:color w:val="auto"/>
          <w:kern w:val="0"/>
          <w:sz w:val="32"/>
          <w:szCs w:val="32"/>
          <w:lang w:val="en-US" w:eastAsia="zh-CN"/>
        </w:rPr>
      </w:pPr>
    </w:p>
    <w:p w14:paraId="59DA0046">
      <w:pPr>
        <w:numPr>
          <w:ilvl w:val="0"/>
          <w:numId w:val="0"/>
        </w:numPr>
        <w:rPr>
          <w:rFonts w:hint="eastAsia" w:ascii="仿宋_GB2312" w:hAnsi="仿宋_GB2312" w:eastAsia="仿宋_GB2312" w:cs="仿宋_GB2312"/>
          <w:color w:val="auto"/>
          <w:kern w:val="0"/>
          <w:sz w:val="32"/>
          <w:szCs w:val="32"/>
          <w:lang w:val="en-US" w:eastAsia="zh-CN"/>
        </w:rPr>
      </w:pPr>
    </w:p>
    <w:p w14:paraId="0B542D8D">
      <w:pPr>
        <w:numPr>
          <w:ilvl w:val="0"/>
          <w:numId w:val="0"/>
        </w:numPr>
        <w:rPr>
          <w:rFonts w:hint="eastAsia" w:ascii="仿宋_GB2312" w:hAnsi="仿宋_GB2312" w:eastAsia="仿宋_GB2312" w:cs="仿宋_GB2312"/>
          <w:color w:val="auto"/>
          <w:kern w:val="0"/>
          <w:sz w:val="32"/>
          <w:szCs w:val="32"/>
          <w:lang w:val="en-US" w:eastAsia="zh-CN"/>
        </w:rPr>
      </w:pPr>
    </w:p>
    <w:p w14:paraId="74726120">
      <w:pPr>
        <w:numPr>
          <w:ilvl w:val="0"/>
          <w:numId w:val="0"/>
        </w:numPr>
        <w:rPr>
          <w:rFonts w:hint="eastAsia" w:ascii="仿宋_GB2312" w:hAnsi="仿宋_GB2312" w:eastAsia="仿宋_GB2312" w:cs="仿宋_GB2312"/>
          <w:color w:val="auto"/>
          <w:kern w:val="0"/>
          <w:sz w:val="32"/>
          <w:szCs w:val="32"/>
          <w:lang w:val="en-US" w:eastAsia="zh-CN"/>
        </w:rPr>
      </w:pPr>
    </w:p>
    <w:p w14:paraId="2207F35C">
      <w:pPr>
        <w:numPr>
          <w:ilvl w:val="0"/>
          <w:numId w:val="0"/>
        </w:numPr>
        <w:rPr>
          <w:rFonts w:hint="eastAsia" w:ascii="仿宋_GB2312" w:hAnsi="仿宋_GB2312" w:eastAsia="仿宋_GB2312" w:cs="仿宋_GB2312"/>
          <w:color w:val="auto"/>
          <w:kern w:val="0"/>
          <w:sz w:val="32"/>
          <w:szCs w:val="32"/>
          <w:lang w:val="en-US" w:eastAsia="zh-CN"/>
        </w:rPr>
      </w:pPr>
    </w:p>
    <w:p w14:paraId="6B723099">
      <w:pPr>
        <w:numPr>
          <w:ilvl w:val="0"/>
          <w:numId w:val="0"/>
        </w:numPr>
        <w:rPr>
          <w:rFonts w:hint="eastAsia" w:ascii="仿宋_GB2312" w:hAnsi="仿宋_GB2312" w:eastAsia="仿宋_GB2312" w:cs="仿宋_GB2312"/>
          <w:color w:val="auto"/>
          <w:kern w:val="0"/>
          <w:sz w:val="32"/>
          <w:szCs w:val="32"/>
          <w:lang w:val="en-US" w:eastAsia="zh-CN"/>
        </w:rPr>
      </w:pPr>
    </w:p>
    <w:p w14:paraId="6F98C894">
      <w:pPr>
        <w:numPr>
          <w:ilvl w:val="0"/>
          <w:numId w:val="0"/>
        </w:numPr>
        <w:rPr>
          <w:rFonts w:hint="eastAsia" w:ascii="仿宋_GB2312" w:hAnsi="仿宋_GB2312" w:eastAsia="仿宋_GB2312" w:cs="仿宋_GB2312"/>
          <w:color w:val="auto"/>
          <w:kern w:val="0"/>
          <w:sz w:val="32"/>
          <w:szCs w:val="32"/>
          <w:lang w:val="en-US" w:eastAsia="zh-CN"/>
        </w:rPr>
      </w:pPr>
    </w:p>
    <w:p w14:paraId="3B2E5469">
      <w:pPr>
        <w:numPr>
          <w:ilvl w:val="0"/>
          <w:numId w:val="0"/>
        </w:numPr>
        <w:rPr>
          <w:rFonts w:hint="eastAsia" w:ascii="仿宋_GB2312" w:hAnsi="仿宋_GB2312" w:eastAsia="仿宋_GB2312" w:cs="仿宋_GB2312"/>
          <w:color w:val="auto"/>
          <w:kern w:val="0"/>
          <w:sz w:val="32"/>
          <w:szCs w:val="32"/>
          <w:lang w:val="en-US" w:eastAsia="zh-CN"/>
        </w:rPr>
      </w:pPr>
    </w:p>
    <w:p w14:paraId="3909CF0B">
      <w:pPr>
        <w:numPr>
          <w:ilvl w:val="0"/>
          <w:numId w:val="0"/>
        </w:numPr>
        <w:rPr>
          <w:rFonts w:hint="eastAsia" w:ascii="仿宋_GB2312" w:hAnsi="仿宋_GB2312" w:eastAsia="仿宋_GB2312" w:cs="仿宋_GB2312"/>
          <w:color w:val="auto"/>
          <w:kern w:val="0"/>
          <w:sz w:val="32"/>
          <w:szCs w:val="32"/>
          <w:lang w:val="en-US" w:eastAsia="zh-CN"/>
        </w:rPr>
      </w:pPr>
    </w:p>
    <w:p w14:paraId="42AE7A60">
      <w:pPr>
        <w:numPr>
          <w:ilvl w:val="0"/>
          <w:numId w:val="0"/>
        </w:numPr>
        <w:rPr>
          <w:rFonts w:hint="eastAsia" w:ascii="仿宋_GB2312" w:hAnsi="仿宋_GB2312" w:eastAsia="仿宋_GB2312" w:cs="仿宋_GB2312"/>
          <w:color w:val="auto"/>
          <w:kern w:val="0"/>
          <w:sz w:val="32"/>
          <w:szCs w:val="32"/>
          <w:lang w:val="en-US" w:eastAsia="zh-CN"/>
        </w:rPr>
      </w:pPr>
    </w:p>
    <w:p w14:paraId="7B506038">
      <w:pPr>
        <w:numPr>
          <w:ilvl w:val="0"/>
          <w:numId w:val="0"/>
        </w:numPr>
        <w:rPr>
          <w:rFonts w:hint="eastAsia" w:ascii="仿宋_GB2312" w:hAnsi="仿宋_GB2312" w:eastAsia="仿宋_GB2312" w:cs="仿宋_GB2312"/>
          <w:color w:val="auto"/>
          <w:kern w:val="0"/>
          <w:sz w:val="32"/>
          <w:szCs w:val="32"/>
          <w:lang w:val="en-US" w:eastAsia="zh-CN"/>
        </w:rPr>
      </w:pPr>
    </w:p>
    <w:p w14:paraId="157975C4">
      <w:pPr>
        <w:numPr>
          <w:ilvl w:val="0"/>
          <w:numId w:val="0"/>
        </w:numPr>
        <w:rPr>
          <w:rFonts w:hint="eastAsia" w:ascii="仿宋_GB2312" w:hAnsi="仿宋_GB2312" w:eastAsia="仿宋_GB2312" w:cs="仿宋_GB2312"/>
          <w:color w:val="auto"/>
          <w:kern w:val="0"/>
          <w:sz w:val="32"/>
          <w:szCs w:val="32"/>
          <w:lang w:val="en-US" w:eastAsia="zh-CN"/>
        </w:rPr>
      </w:pPr>
    </w:p>
    <w:p w14:paraId="7D4AFFCD">
      <w:pPr>
        <w:numPr>
          <w:ilvl w:val="0"/>
          <w:numId w:val="0"/>
        </w:numPr>
        <w:rPr>
          <w:rFonts w:hint="eastAsia" w:ascii="仿宋_GB2312" w:hAnsi="仿宋_GB2312" w:eastAsia="仿宋_GB2312" w:cs="仿宋_GB2312"/>
          <w:color w:val="auto"/>
          <w:kern w:val="0"/>
          <w:sz w:val="32"/>
          <w:szCs w:val="32"/>
          <w:lang w:val="en-US" w:eastAsia="zh-CN"/>
        </w:rPr>
      </w:pPr>
    </w:p>
    <w:p w14:paraId="1145447F">
      <w:pPr>
        <w:numPr>
          <w:ilvl w:val="0"/>
          <w:numId w:val="0"/>
        </w:numPr>
        <w:rPr>
          <w:rFonts w:hint="eastAsia" w:ascii="仿宋_GB2312" w:hAnsi="仿宋_GB2312" w:eastAsia="仿宋_GB2312" w:cs="仿宋_GB2312"/>
          <w:color w:val="auto"/>
          <w:kern w:val="0"/>
          <w:sz w:val="32"/>
          <w:szCs w:val="32"/>
          <w:lang w:val="en-US" w:eastAsia="zh-CN"/>
        </w:rPr>
      </w:pPr>
    </w:p>
    <w:p w14:paraId="54A45CD6">
      <w:pPr>
        <w:numPr>
          <w:ilvl w:val="0"/>
          <w:numId w:val="0"/>
        </w:numPr>
        <w:rPr>
          <w:rFonts w:hint="eastAsia" w:ascii="仿宋_GB2312" w:hAnsi="仿宋_GB2312" w:eastAsia="仿宋_GB2312" w:cs="仿宋_GB2312"/>
          <w:color w:val="auto"/>
          <w:kern w:val="0"/>
          <w:sz w:val="32"/>
          <w:szCs w:val="32"/>
          <w:lang w:val="en-US" w:eastAsia="zh-CN"/>
        </w:rPr>
      </w:pPr>
    </w:p>
    <w:p w14:paraId="0FBA6AFC">
      <w:pPr>
        <w:numPr>
          <w:ilvl w:val="0"/>
          <w:numId w:val="0"/>
        </w:numPr>
        <w:rPr>
          <w:rFonts w:hint="eastAsia" w:ascii="仿宋_GB2312" w:hAnsi="仿宋_GB2312" w:eastAsia="仿宋_GB2312" w:cs="仿宋_GB2312"/>
          <w:color w:val="auto"/>
          <w:kern w:val="0"/>
          <w:sz w:val="32"/>
          <w:szCs w:val="32"/>
          <w:lang w:val="en-US" w:eastAsia="zh-CN"/>
        </w:rPr>
      </w:pPr>
    </w:p>
    <w:p w14:paraId="2B877906">
      <w:pPr>
        <w:numPr>
          <w:ilvl w:val="0"/>
          <w:numId w:val="0"/>
        </w:numPr>
        <w:rPr>
          <w:rFonts w:hint="eastAsia" w:ascii="仿宋_GB2312" w:hAnsi="仿宋_GB2312" w:eastAsia="仿宋_GB2312" w:cs="仿宋_GB2312"/>
          <w:color w:val="auto"/>
          <w:kern w:val="0"/>
          <w:sz w:val="32"/>
          <w:szCs w:val="32"/>
          <w:lang w:val="en-US" w:eastAsia="zh-CN"/>
        </w:rPr>
      </w:pPr>
    </w:p>
    <w:p w14:paraId="3EAEDF56">
      <w:pPr>
        <w:numPr>
          <w:ilvl w:val="0"/>
          <w:numId w:val="0"/>
        </w:numPr>
        <w:rPr>
          <w:rFonts w:hint="eastAsia" w:ascii="仿宋_GB2312" w:hAnsi="仿宋_GB2312" w:eastAsia="仿宋_GB2312" w:cs="仿宋_GB2312"/>
          <w:color w:val="auto"/>
          <w:kern w:val="0"/>
          <w:sz w:val="32"/>
          <w:szCs w:val="32"/>
          <w:lang w:val="en-US" w:eastAsia="zh-CN"/>
        </w:rPr>
      </w:pPr>
    </w:p>
    <w:p w14:paraId="487DE9BE">
      <w:pPr>
        <w:numPr>
          <w:ilvl w:val="0"/>
          <w:numId w:val="0"/>
        </w:numPr>
        <w:rPr>
          <w:rFonts w:hint="eastAsia" w:ascii="仿宋_GB2312" w:hAnsi="仿宋_GB2312" w:eastAsia="仿宋_GB2312" w:cs="仿宋_GB2312"/>
          <w:color w:val="auto"/>
          <w:kern w:val="0"/>
          <w:sz w:val="32"/>
          <w:szCs w:val="32"/>
          <w:lang w:val="en-US" w:eastAsia="zh-CN"/>
        </w:rPr>
      </w:pPr>
    </w:p>
    <w:p w14:paraId="15B6845C">
      <w:pPr>
        <w:numPr>
          <w:ilvl w:val="0"/>
          <w:numId w:val="0"/>
        </w:numPr>
        <w:rPr>
          <w:rFonts w:hint="eastAsia" w:ascii="仿宋_GB2312" w:hAnsi="仿宋_GB2312" w:eastAsia="仿宋_GB2312" w:cs="仿宋_GB2312"/>
          <w:color w:val="auto"/>
          <w:kern w:val="0"/>
          <w:sz w:val="32"/>
          <w:szCs w:val="32"/>
          <w:lang w:val="en-US" w:eastAsia="zh-CN"/>
        </w:rPr>
      </w:pPr>
    </w:p>
    <w:p w14:paraId="67579063">
      <w:pPr>
        <w:pStyle w:val="15"/>
        <w:keepNext w:val="0"/>
        <w:keepLines w:val="0"/>
        <w:pageBreakBefore w:val="0"/>
        <w:widowControl w:val="0"/>
        <w:kinsoku/>
        <w:wordWrap/>
        <w:overflowPunct/>
        <w:topLinePunct w:val="0"/>
        <w:bidi w:val="0"/>
        <w:adjustRightInd/>
        <w:snapToGrid w:val="0"/>
        <w:spacing w:after="0" w:line="560" w:lineRule="exact"/>
        <w:jc w:val="center"/>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5.</w:t>
      </w:r>
      <w:r>
        <w:rPr>
          <w:rFonts w:hint="eastAsia" w:ascii="仿宋_GB2312" w:hAnsi="仿宋_GB2312" w:eastAsia="仿宋_GB2312" w:cs="仿宋_GB2312"/>
          <w:b/>
          <w:bCs w:val="0"/>
          <w:kern w:val="2"/>
          <w:sz w:val="32"/>
          <w:szCs w:val="32"/>
          <w:lang w:val="en-US" w:eastAsia="zh-CN" w:bidi="ar-SA"/>
        </w:rPr>
        <w:t>承诺函</w:t>
      </w:r>
    </w:p>
    <w:p w14:paraId="57A9938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p>
    <w:p w14:paraId="38ADF72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海南卫生健康职业学院</w:t>
      </w:r>
    </w:p>
    <w:p w14:paraId="4353A68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auto"/>
          <w:kern w:val="0"/>
          <w:sz w:val="32"/>
          <w:szCs w:val="32"/>
          <w:lang w:val="en-US" w:eastAsia="zh-CN"/>
        </w:rPr>
        <w:t>不是</w:t>
      </w:r>
      <w:r>
        <w:rPr>
          <w:rFonts w:hint="eastAsia" w:ascii="仿宋_GB2312" w:hAnsi="仿宋_GB2312" w:eastAsia="仿宋_GB2312" w:cs="仿宋_GB2312"/>
          <w:color w:val="auto"/>
          <w:kern w:val="0"/>
          <w:sz w:val="32"/>
          <w:szCs w:val="32"/>
        </w:rPr>
        <w:t>联合体参与报价，</w:t>
      </w:r>
      <w:r>
        <w:rPr>
          <w:rFonts w:hint="eastAsia" w:ascii="仿宋_GB2312" w:hAnsi="仿宋_GB2312" w:eastAsia="仿宋_GB2312" w:cs="仿宋_GB2312"/>
          <w:color w:val="auto"/>
          <w:kern w:val="0"/>
          <w:sz w:val="32"/>
          <w:szCs w:val="32"/>
          <w:lang w:val="en-US" w:eastAsia="zh-CN"/>
        </w:rPr>
        <w:t>我单位承诺</w:t>
      </w:r>
      <w:r>
        <w:rPr>
          <w:rFonts w:hint="eastAsia" w:ascii="仿宋_GB2312" w:hAnsi="仿宋_GB2312" w:eastAsia="仿宋_GB2312" w:cs="仿宋_GB2312"/>
          <w:color w:val="auto"/>
          <w:kern w:val="0"/>
          <w:sz w:val="32"/>
          <w:szCs w:val="32"/>
        </w:rPr>
        <w:t>成交后不转包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不分包</w:t>
      </w:r>
      <w:r>
        <w:rPr>
          <w:rFonts w:hint="eastAsia" w:ascii="仿宋_GB2312" w:hAnsi="仿宋_GB2312" w:eastAsia="仿宋_GB2312" w:cs="仿宋_GB2312"/>
          <w:sz w:val="32"/>
          <w:szCs w:val="32"/>
        </w:rPr>
        <w:t>，并承担因此引起的一切后果。</w:t>
      </w:r>
    </w:p>
    <w:p w14:paraId="61FD73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rPr>
      </w:pPr>
    </w:p>
    <w:p w14:paraId="6B9BF364">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6D052EB5">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z w:val="32"/>
          <w:szCs w:val="32"/>
        </w:rPr>
      </w:pPr>
    </w:p>
    <w:p w14:paraId="277AA681">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08C50096">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B1ED47">
      <w:pPr>
        <w:keepNext w:val="0"/>
        <w:keepLines w:val="0"/>
        <w:pageBreakBefore w:val="0"/>
        <w:widowControl w:val="0"/>
        <w:kinsoku/>
        <w:wordWrap/>
        <w:overflowPunct/>
        <w:topLinePunct w:val="0"/>
        <w:bidi w:val="0"/>
        <w:adjustRightInd/>
        <w:snapToGrid w:val="0"/>
        <w:spacing w:line="560" w:lineRule="exact"/>
        <w:ind w:firstLine="48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C093B75">
      <w:pPr>
        <w:rPr>
          <w:rFonts w:hint="eastAsia"/>
          <w:lang w:val="en-US" w:eastAsia="zh-CN"/>
        </w:rPr>
      </w:pPr>
    </w:p>
    <w:p w14:paraId="06D388E0">
      <w:pPr>
        <w:numPr>
          <w:ilvl w:val="0"/>
          <w:numId w:val="0"/>
        </w:numPr>
        <w:rPr>
          <w:rFonts w:hint="default" w:ascii="仿宋_GB2312" w:hAnsi="仿宋_GB2312" w:eastAsia="仿宋_GB2312" w:cs="仿宋_GB2312"/>
          <w:color w:val="auto"/>
          <w:kern w:val="0"/>
          <w:sz w:val="32"/>
          <w:szCs w:val="32"/>
          <w:lang w:val="en-US" w:eastAsia="zh-CN"/>
        </w:rPr>
      </w:pPr>
    </w:p>
    <w:p w14:paraId="5A822E17">
      <w:pPr>
        <w:numPr>
          <w:ilvl w:val="0"/>
          <w:numId w:val="0"/>
        </w:numPr>
        <w:rPr>
          <w:rFonts w:hint="default"/>
          <w:lang w:val="en-US" w:eastAsia="zh-CN"/>
        </w:rPr>
      </w:pPr>
    </w:p>
    <w:p w14:paraId="39F3E8FF">
      <w:pPr>
        <w:numPr>
          <w:ilvl w:val="0"/>
          <w:numId w:val="0"/>
        </w:numPr>
        <w:rPr>
          <w:rFonts w:hint="default"/>
          <w:lang w:val="en-US" w:eastAsia="zh-CN"/>
        </w:rPr>
      </w:pPr>
    </w:p>
    <w:p w14:paraId="217966F1">
      <w:pPr>
        <w:numPr>
          <w:ilvl w:val="0"/>
          <w:numId w:val="0"/>
        </w:numPr>
        <w:rPr>
          <w:rFonts w:hint="default"/>
          <w:lang w:val="en-US" w:eastAsia="zh-CN"/>
        </w:rPr>
      </w:pPr>
    </w:p>
    <w:p w14:paraId="2D1D89F7">
      <w:pPr>
        <w:numPr>
          <w:ilvl w:val="0"/>
          <w:numId w:val="0"/>
        </w:numPr>
        <w:rPr>
          <w:rFonts w:hint="default"/>
          <w:lang w:val="en-US" w:eastAsia="zh-CN"/>
        </w:rPr>
      </w:pPr>
    </w:p>
    <w:p w14:paraId="4F68B129">
      <w:pPr>
        <w:numPr>
          <w:ilvl w:val="0"/>
          <w:numId w:val="0"/>
        </w:numPr>
        <w:rPr>
          <w:rFonts w:hint="default"/>
          <w:lang w:val="en-US" w:eastAsia="zh-CN"/>
        </w:rPr>
      </w:pPr>
    </w:p>
    <w:p w14:paraId="2CDFD02A">
      <w:pPr>
        <w:numPr>
          <w:ilvl w:val="0"/>
          <w:numId w:val="0"/>
        </w:numPr>
        <w:rPr>
          <w:rFonts w:hint="default"/>
          <w:lang w:val="en-US" w:eastAsia="zh-CN"/>
        </w:rPr>
      </w:pPr>
    </w:p>
    <w:p w14:paraId="23776052">
      <w:pPr>
        <w:numPr>
          <w:ilvl w:val="0"/>
          <w:numId w:val="0"/>
        </w:numPr>
        <w:rPr>
          <w:rFonts w:hint="default"/>
          <w:lang w:val="en-US" w:eastAsia="zh-CN"/>
        </w:rPr>
      </w:pPr>
    </w:p>
    <w:p w14:paraId="220DFC66">
      <w:pPr>
        <w:numPr>
          <w:ilvl w:val="0"/>
          <w:numId w:val="0"/>
        </w:numPr>
        <w:rPr>
          <w:rFonts w:hint="default"/>
          <w:lang w:val="en-US" w:eastAsia="zh-CN"/>
        </w:rPr>
      </w:pPr>
    </w:p>
    <w:p w14:paraId="1C948595">
      <w:pPr>
        <w:numPr>
          <w:ilvl w:val="0"/>
          <w:numId w:val="0"/>
        </w:numPr>
        <w:rPr>
          <w:rFonts w:hint="default"/>
          <w:lang w:val="en-US" w:eastAsia="zh-CN"/>
        </w:rPr>
      </w:pPr>
    </w:p>
    <w:p w14:paraId="13832A49">
      <w:pPr>
        <w:numPr>
          <w:ilvl w:val="0"/>
          <w:numId w:val="0"/>
        </w:numPr>
        <w:rPr>
          <w:rFonts w:hint="default"/>
          <w:lang w:val="en-US" w:eastAsia="zh-CN"/>
        </w:rPr>
      </w:pPr>
    </w:p>
    <w:p w14:paraId="32FFCEC3">
      <w:pPr>
        <w:numPr>
          <w:ilvl w:val="0"/>
          <w:numId w:val="0"/>
        </w:numPr>
        <w:rPr>
          <w:rFonts w:hint="default"/>
          <w:lang w:val="en-US" w:eastAsia="zh-CN"/>
        </w:rPr>
      </w:pPr>
    </w:p>
    <w:p w14:paraId="69B3139D">
      <w:pPr>
        <w:numPr>
          <w:ilvl w:val="0"/>
          <w:numId w:val="0"/>
        </w:numPr>
        <w:rPr>
          <w:rFonts w:hint="default"/>
          <w:lang w:val="en-US" w:eastAsia="zh-CN"/>
        </w:rPr>
      </w:pPr>
    </w:p>
    <w:p w14:paraId="74893911">
      <w:pPr>
        <w:numPr>
          <w:ilvl w:val="0"/>
          <w:numId w:val="0"/>
        </w:numPr>
        <w:rPr>
          <w:rFonts w:hint="default"/>
          <w:lang w:val="en-US" w:eastAsia="zh-CN"/>
        </w:rPr>
      </w:pPr>
    </w:p>
    <w:p w14:paraId="48206EF1">
      <w:pPr>
        <w:numPr>
          <w:ilvl w:val="0"/>
          <w:numId w:val="0"/>
        </w:numPr>
        <w:rPr>
          <w:rFonts w:hint="default"/>
          <w:lang w:val="en-US" w:eastAsia="zh-CN"/>
        </w:rPr>
      </w:pPr>
    </w:p>
    <w:p w14:paraId="002F0B47">
      <w:pPr>
        <w:numPr>
          <w:ilvl w:val="0"/>
          <w:numId w:val="0"/>
        </w:numPr>
        <w:rPr>
          <w:rFonts w:hint="default"/>
          <w:lang w:val="en-US" w:eastAsia="zh-CN"/>
        </w:rPr>
      </w:pPr>
    </w:p>
    <w:p w14:paraId="642A5FCD">
      <w:pPr>
        <w:numPr>
          <w:ilvl w:val="0"/>
          <w:numId w:val="0"/>
        </w:numPr>
        <w:rPr>
          <w:rFonts w:hint="default"/>
          <w:lang w:val="en-US" w:eastAsia="zh-CN"/>
        </w:rPr>
      </w:pPr>
    </w:p>
    <w:p w14:paraId="1FE085FB">
      <w:pPr>
        <w:numPr>
          <w:ilvl w:val="0"/>
          <w:numId w:val="0"/>
        </w:numPr>
        <w:rPr>
          <w:rFonts w:hint="default"/>
          <w:lang w:val="en-US" w:eastAsia="zh-CN"/>
        </w:rPr>
      </w:pPr>
    </w:p>
    <w:p w14:paraId="697091EB">
      <w:pPr>
        <w:numPr>
          <w:ilvl w:val="0"/>
          <w:numId w:val="0"/>
        </w:numPr>
        <w:rPr>
          <w:rFonts w:hint="default"/>
          <w:lang w:val="en-US" w:eastAsia="zh-CN"/>
        </w:rPr>
      </w:pPr>
    </w:p>
    <w:bookmarkEnd w:id="91"/>
    <w:bookmarkEnd w:id="92"/>
    <w:p w14:paraId="09432CF8">
      <w:pPr>
        <w:pStyle w:val="2"/>
        <w:keepNext w:val="0"/>
        <w:keepLines w:val="0"/>
        <w:pageBreakBefore w:val="0"/>
        <w:kinsoku/>
        <w:wordWrap/>
        <w:overflowPunct/>
        <w:topLinePunct w:val="0"/>
        <w:bidi w:val="0"/>
        <w:adjustRightInd w:val="0"/>
        <w:snapToGrid w:val="0"/>
        <w:spacing w:before="0" w:beforeLines="0" w:line="560" w:lineRule="exact"/>
        <w:ind w:right="0"/>
        <w:textAlignment w:val="auto"/>
        <w:rPr>
          <w:rFonts w:hint="eastAsia" w:ascii="仿宋_GB2312" w:hAnsi="仿宋_GB2312" w:eastAsia="仿宋_GB2312" w:cs="仿宋_GB2312"/>
          <w:sz w:val="36"/>
          <w:szCs w:val="36"/>
        </w:rPr>
      </w:pPr>
      <w:bookmarkStart w:id="94" w:name="_Toc7441"/>
      <w:bookmarkStart w:id="95" w:name="_Toc40089813"/>
      <w:bookmarkStart w:id="96" w:name="_Toc27942"/>
      <w:r>
        <w:rPr>
          <w:rFonts w:hint="eastAsia" w:ascii="仿宋_GB2312" w:hAnsi="仿宋_GB2312" w:eastAsia="仿宋_GB2312" w:cs="仿宋_GB2312"/>
          <w:b/>
          <w:bCs/>
          <w:kern w:val="0"/>
          <w:sz w:val="36"/>
          <w:szCs w:val="36"/>
          <w:u w:val="none"/>
          <w:lang w:val="en-US" w:eastAsia="zh-CN" w:bidi="ar-SA"/>
        </w:rPr>
        <w:t>附件</w:t>
      </w:r>
      <w:bookmarkEnd w:id="94"/>
      <w:bookmarkEnd w:id="95"/>
      <w:r>
        <w:rPr>
          <w:rFonts w:hint="eastAsia" w:ascii="仿宋_GB2312" w:hAnsi="仿宋_GB2312" w:eastAsia="仿宋_GB2312" w:cs="仿宋_GB2312"/>
          <w:b/>
          <w:bCs/>
          <w:kern w:val="0"/>
          <w:sz w:val="36"/>
          <w:szCs w:val="36"/>
          <w:u w:val="none"/>
          <w:lang w:val="en-US" w:eastAsia="zh-CN" w:bidi="ar-SA"/>
        </w:rPr>
        <w:t>5</w:t>
      </w:r>
      <w:bookmarkEnd w:id="96"/>
    </w:p>
    <w:p w14:paraId="6EB8C276">
      <w:pPr>
        <w:pStyle w:val="6"/>
        <w:spacing w:before="0" w:after="0"/>
        <w:ind w:right="378" w:rightChars="135"/>
        <w:jc w:val="center"/>
        <w:rPr>
          <w:rFonts w:hint="eastAsia" w:ascii="仿宋_GB2312" w:hAnsi="仿宋_GB2312" w:eastAsia="仿宋_GB2312" w:cs="仿宋_GB2312"/>
          <w:b/>
          <w:bCs w:val="0"/>
          <w:kern w:val="2"/>
          <w:sz w:val="36"/>
          <w:szCs w:val="36"/>
          <w:lang w:val="en-US" w:eastAsia="zh-CN" w:bidi="ar-SA"/>
        </w:rPr>
      </w:pPr>
      <w:r>
        <w:rPr>
          <w:rFonts w:hint="eastAsia" w:ascii="仿宋_GB2312" w:hAnsi="仿宋_GB2312" w:eastAsia="仿宋_GB2312" w:cs="仿宋_GB2312"/>
          <w:b/>
          <w:bCs w:val="0"/>
          <w:kern w:val="2"/>
          <w:sz w:val="36"/>
          <w:szCs w:val="36"/>
          <w:lang w:val="en-US" w:eastAsia="zh-CN" w:bidi="ar-SA"/>
        </w:rPr>
        <w:t>技术响应表</w:t>
      </w:r>
    </w:p>
    <w:tbl>
      <w:tblPr>
        <w:tblStyle w:val="1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83"/>
        <w:gridCol w:w="2465"/>
        <w:gridCol w:w="2246"/>
        <w:gridCol w:w="2190"/>
      </w:tblGrid>
      <w:tr w14:paraId="1FE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noWrap w:val="0"/>
            <w:vAlign w:val="center"/>
          </w:tcPr>
          <w:p w14:paraId="62DCD630">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lang w:eastAsia="zh-CN"/>
              </w:rPr>
            </w:pPr>
            <w:r>
              <w:rPr>
                <w:rStyle w:val="27"/>
                <w:rFonts w:hint="eastAsia" w:ascii="仿宋" w:hAnsi="仿宋" w:eastAsia="仿宋" w:cs="仿宋"/>
                <w:b/>
                <w:bCs w:val="0"/>
                <w:sz w:val="32"/>
                <w:szCs w:val="32"/>
                <w:lang w:eastAsia="zh-CN"/>
              </w:rPr>
              <w:t>序号</w:t>
            </w:r>
          </w:p>
        </w:tc>
        <w:tc>
          <w:tcPr>
            <w:tcW w:w="1683" w:type="dxa"/>
            <w:noWrap w:val="0"/>
            <w:vAlign w:val="center"/>
          </w:tcPr>
          <w:p w14:paraId="2F986BD3">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项目</w:t>
            </w:r>
          </w:p>
        </w:tc>
        <w:tc>
          <w:tcPr>
            <w:tcW w:w="2465" w:type="dxa"/>
            <w:noWrap w:val="0"/>
            <w:vAlign w:val="center"/>
          </w:tcPr>
          <w:p w14:paraId="0B65524A">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lang w:eastAsia="zh-CN"/>
              </w:rPr>
              <w:t>谈判</w:t>
            </w:r>
            <w:r>
              <w:rPr>
                <w:rStyle w:val="27"/>
                <w:rFonts w:hint="eastAsia" w:ascii="仿宋" w:hAnsi="仿宋" w:eastAsia="仿宋" w:cs="仿宋"/>
                <w:b/>
                <w:bCs w:val="0"/>
                <w:sz w:val="32"/>
                <w:szCs w:val="32"/>
              </w:rPr>
              <w:t>文件要求</w:t>
            </w:r>
          </w:p>
        </w:tc>
        <w:tc>
          <w:tcPr>
            <w:tcW w:w="2246" w:type="dxa"/>
            <w:noWrap w:val="0"/>
            <w:vAlign w:val="center"/>
          </w:tcPr>
          <w:p w14:paraId="129E4A08">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响应程度</w:t>
            </w:r>
          </w:p>
        </w:tc>
        <w:tc>
          <w:tcPr>
            <w:tcW w:w="2190" w:type="dxa"/>
            <w:noWrap w:val="0"/>
            <w:vAlign w:val="center"/>
          </w:tcPr>
          <w:p w14:paraId="6A671691">
            <w:pPr>
              <w:widowControl/>
              <w:autoSpaceDE w:val="0"/>
              <w:autoSpaceDN w:val="0"/>
              <w:adjustRightInd w:val="0"/>
              <w:spacing w:before="50" w:after="50" w:line="440" w:lineRule="exact"/>
              <w:jc w:val="center"/>
              <w:rPr>
                <w:rStyle w:val="27"/>
                <w:rFonts w:hint="eastAsia" w:ascii="仿宋" w:hAnsi="仿宋" w:eastAsia="仿宋" w:cs="仿宋"/>
                <w:b/>
                <w:bCs w:val="0"/>
                <w:sz w:val="32"/>
                <w:szCs w:val="32"/>
              </w:rPr>
            </w:pPr>
            <w:r>
              <w:rPr>
                <w:rStyle w:val="27"/>
                <w:rFonts w:hint="eastAsia" w:ascii="仿宋" w:hAnsi="仿宋" w:eastAsia="仿宋" w:cs="仿宋"/>
                <w:b/>
                <w:bCs w:val="0"/>
                <w:sz w:val="32"/>
                <w:szCs w:val="32"/>
              </w:rPr>
              <w:t>正偏离理由</w:t>
            </w:r>
          </w:p>
        </w:tc>
      </w:tr>
      <w:tr w14:paraId="5678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noWrap w:val="0"/>
            <w:vAlign w:val="center"/>
          </w:tcPr>
          <w:p w14:paraId="6FBEBA5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2FC6869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534C1E8">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36E522D5">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7F3A19B2">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422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noWrap w:val="0"/>
            <w:vAlign w:val="center"/>
          </w:tcPr>
          <w:p w14:paraId="06653C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1683" w:type="dxa"/>
            <w:noWrap w:val="0"/>
            <w:vAlign w:val="center"/>
          </w:tcPr>
          <w:p w14:paraId="627FD0C0">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465" w:type="dxa"/>
            <w:noWrap w:val="0"/>
            <w:vAlign w:val="center"/>
          </w:tcPr>
          <w:p w14:paraId="40383997">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246" w:type="dxa"/>
            <w:noWrap w:val="0"/>
            <w:vAlign w:val="top"/>
          </w:tcPr>
          <w:p w14:paraId="58FF943C">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c>
          <w:tcPr>
            <w:tcW w:w="2190" w:type="dxa"/>
            <w:noWrap w:val="0"/>
            <w:vAlign w:val="top"/>
          </w:tcPr>
          <w:p w14:paraId="521E153B">
            <w:pPr>
              <w:widowControl/>
              <w:autoSpaceDE w:val="0"/>
              <w:autoSpaceDN w:val="0"/>
              <w:adjustRightInd w:val="0"/>
              <w:spacing w:before="50" w:after="50" w:line="440" w:lineRule="exact"/>
              <w:jc w:val="center"/>
              <w:rPr>
                <w:rStyle w:val="27"/>
                <w:rFonts w:hint="eastAsia" w:ascii="仿宋_GB2312" w:hAnsi="仿宋_GB2312" w:eastAsia="仿宋_GB2312" w:cs="仿宋_GB2312"/>
                <w:sz w:val="32"/>
                <w:szCs w:val="32"/>
              </w:rPr>
            </w:pPr>
          </w:p>
        </w:tc>
      </w:tr>
      <w:tr w14:paraId="1B33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noWrap w:val="0"/>
            <w:vAlign w:val="center"/>
          </w:tcPr>
          <w:p w14:paraId="2BCD7C9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61446D8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7FA8007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DE2E8B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433415D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BCF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noWrap w:val="0"/>
            <w:vAlign w:val="center"/>
          </w:tcPr>
          <w:p w14:paraId="63F273D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32EA367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6AE0785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5631D5A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05F68CF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4E2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noWrap w:val="0"/>
            <w:vAlign w:val="center"/>
          </w:tcPr>
          <w:p w14:paraId="70F9D93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1683" w:type="dxa"/>
            <w:noWrap w:val="0"/>
            <w:vAlign w:val="center"/>
          </w:tcPr>
          <w:p w14:paraId="4C23D2B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465" w:type="dxa"/>
            <w:noWrap w:val="0"/>
            <w:vAlign w:val="center"/>
          </w:tcPr>
          <w:p w14:paraId="351B59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246" w:type="dxa"/>
            <w:noWrap w:val="0"/>
            <w:vAlign w:val="top"/>
          </w:tcPr>
          <w:p w14:paraId="049BD50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90" w:type="dxa"/>
            <w:noWrap w:val="0"/>
            <w:vAlign w:val="top"/>
          </w:tcPr>
          <w:p w14:paraId="6BC5265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04F69CE5">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注：1</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供应商应根据投标货物的性能参数、对照</w:t>
      </w:r>
      <w:r>
        <w:rPr>
          <w:rFonts w:hint="eastAsia" w:ascii="仿宋" w:hAnsi="仿宋" w:eastAsia="仿宋" w:cs="仿宋"/>
          <w:bCs w:val="0"/>
          <w:sz w:val="32"/>
          <w:szCs w:val="32"/>
          <w:lang w:eastAsia="zh-CN"/>
        </w:rPr>
        <w:t>谈判</w:t>
      </w:r>
      <w:r>
        <w:rPr>
          <w:rFonts w:hint="eastAsia" w:ascii="仿宋" w:hAnsi="仿宋" w:eastAsia="仿宋" w:cs="仿宋"/>
          <w:bCs w:val="0"/>
          <w:sz w:val="32"/>
          <w:szCs w:val="32"/>
        </w:rPr>
        <w:t>文件</w:t>
      </w:r>
      <w:r>
        <w:rPr>
          <w:rFonts w:hint="eastAsia" w:ascii="仿宋" w:hAnsi="仿宋" w:eastAsia="仿宋" w:cs="仿宋"/>
          <w:b w:val="0"/>
          <w:bCs w:val="0"/>
          <w:color w:val="auto"/>
          <w:sz w:val="32"/>
          <w:szCs w:val="32"/>
          <w:lang w:val="en-US" w:eastAsia="zh-CN"/>
        </w:rPr>
        <w:t>第四部分/项目需求</w:t>
      </w:r>
      <w:r>
        <w:rPr>
          <w:rFonts w:hint="eastAsia" w:ascii="仿宋" w:hAnsi="仿宋" w:eastAsia="仿宋" w:cs="仿宋"/>
          <w:bCs w:val="0"/>
          <w:sz w:val="32"/>
          <w:szCs w:val="32"/>
          <w:lang w:val="en-US" w:eastAsia="zh-CN"/>
        </w:rPr>
        <w:t>及说明/三、</w:t>
      </w:r>
      <w:r>
        <w:rPr>
          <w:rFonts w:hint="eastAsia" w:ascii="仿宋" w:hAnsi="仿宋" w:eastAsia="仿宋" w:cs="仿宋"/>
          <w:bCs w:val="0"/>
          <w:sz w:val="32"/>
          <w:szCs w:val="32"/>
          <w:lang w:eastAsia="zh-CN"/>
        </w:rPr>
        <w:t>技术要求</w:t>
      </w:r>
      <w:r>
        <w:rPr>
          <w:rFonts w:hint="eastAsia" w:ascii="仿宋" w:hAnsi="仿宋" w:eastAsia="仿宋" w:cs="仿宋"/>
          <w:bCs w:val="0"/>
          <w:sz w:val="32"/>
          <w:szCs w:val="32"/>
        </w:rPr>
        <w:t>要求顺序</w:t>
      </w:r>
      <w:r>
        <w:rPr>
          <w:rFonts w:hint="eastAsia" w:ascii="仿宋" w:hAnsi="仿宋" w:eastAsia="仿宋" w:cs="仿宋"/>
          <w:b w:val="0"/>
          <w:bCs w:val="0"/>
          <w:color w:val="auto"/>
          <w:sz w:val="32"/>
          <w:szCs w:val="32"/>
        </w:rPr>
        <w:t>逐条应答</w:t>
      </w:r>
      <w:r>
        <w:rPr>
          <w:rFonts w:hint="eastAsia" w:ascii="仿宋" w:hAnsi="仿宋" w:eastAsia="仿宋" w:cs="仿宋"/>
          <w:b w:val="0"/>
          <w:bCs w:val="0"/>
          <w:color w:val="auto"/>
          <w:sz w:val="32"/>
          <w:szCs w:val="32"/>
          <w:lang w:eastAsia="zh-CN"/>
        </w:rPr>
        <w:t>，</w:t>
      </w:r>
      <w:r>
        <w:rPr>
          <w:rFonts w:hint="eastAsia" w:ascii="仿宋" w:hAnsi="仿宋" w:eastAsia="仿宋" w:cs="仿宋"/>
          <w:bCs w:val="0"/>
          <w:sz w:val="32"/>
          <w:szCs w:val="32"/>
        </w:rPr>
        <w:t>在“响应程度”栏填写“无偏离”或“正偏离”或“负偏离”。</w:t>
      </w:r>
    </w:p>
    <w:p w14:paraId="2E635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 w:hAnsi="仿宋" w:eastAsia="仿宋" w:cs="仿宋"/>
          <w:bCs w:val="0"/>
          <w:sz w:val="32"/>
          <w:szCs w:val="32"/>
        </w:rPr>
      </w:pPr>
      <w:r>
        <w:rPr>
          <w:rFonts w:hint="eastAsia" w:ascii="仿宋" w:hAnsi="仿宋" w:eastAsia="仿宋" w:cs="仿宋"/>
          <w:bCs w:val="0"/>
          <w:sz w:val="32"/>
          <w:szCs w:val="32"/>
        </w:rPr>
        <w:t>2</w:t>
      </w:r>
      <w:r>
        <w:rPr>
          <w:rFonts w:hint="eastAsia" w:ascii="仿宋" w:hAnsi="仿宋" w:eastAsia="仿宋" w:cs="仿宋"/>
          <w:bCs w:val="0"/>
          <w:sz w:val="32"/>
          <w:szCs w:val="32"/>
          <w:lang w:val="en-US" w:eastAsia="zh-CN"/>
        </w:rPr>
        <w:t>.</w:t>
      </w:r>
      <w:r>
        <w:rPr>
          <w:rFonts w:hint="eastAsia" w:ascii="仿宋" w:hAnsi="仿宋" w:eastAsia="仿宋" w:cs="仿宋"/>
          <w:bCs w:val="0"/>
          <w:sz w:val="32"/>
          <w:szCs w:val="32"/>
        </w:rPr>
        <w:t>不填写对应指标，而只填写响应情况或弄虚作假、前后不一致的，其报价文件有可能被拒绝。</w:t>
      </w:r>
    </w:p>
    <w:p w14:paraId="519720F8">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22F24CB">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4D30C269">
      <w:pPr>
        <w:keepNext w:val="0"/>
        <w:keepLines w:val="0"/>
        <w:pageBreakBefore w:val="0"/>
        <w:widowControl w:val="0"/>
        <w:kinsoku/>
        <w:wordWrap/>
        <w:overflowPunct/>
        <w:topLinePunct w:val="0"/>
        <w:bidi w:val="0"/>
        <w:adjustRightInd w:val="0"/>
        <w:snapToGrid w:val="0"/>
        <w:spacing w:line="500" w:lineRule="exact"/>
        <w:ind w:firstLine="4160" w:firstLineChars="1300"/>
        <w:textAlignment w:val="auto"/>
        <w:rPr>
          <w:rFonts w:hint="eastAsia" w:ascii="仿宋" w:hAnsi="仿宋" w:eastAsia="仿宋" w:cs="仿宋"/>
          <w:b w:val="0"/>
          <w:bCs/>
          <w:kern w:val="2"/>
          <w:sz w:val="32"/>
          <w:szCs w:val="32"/>
          <w:u w:val="single"/>
          <w:lang w:val="en-US" w:eastAsia="zh-CN" w:bidi="ar-SA"/>
        </w:rPr>
      </w:pPr>
      <w:r>
        <w:rPr>
          <w:rFonts w:hint="eastAsia" w:ascii="仿宋" w:hAnsi="仿宋" w:eastAsia="仿宋" w:cs="仿宋"/>
          <w:b w:val="0"/>
          <w:bCs/>
          <w:kern w:val="2"/>
          <w:sz w:val="32"/>
          <w:szCs w:val="32"/>
          <w:lang w:val="en-US" w:eastAsia="zh-CN" w:bidi="ar-SA"/>
        </w:rPr>
        <w:t>日   期：</w:t>
      </w:r>
      <w:bookmarkStart w:id="97" w:name="_Toc28595"/>
      <w:bookmarkStart w:id="98" w:name="_Toc40089814"/>
      <w:r>
        <w:rPr>
          <w:rFonts w:hint="eastAsia" w:ascii="仿宋" w:hAnsi="仿宋" w:eastAsia="仿宋" w:cs="仿宋"/>
          <w:b w:val="0"/>
          <w:bCs/>
          <w:kern w:val="2"/>
          <w:sz w:val="32"/>
          <w:szCs w:val="32"/>
          <w:u w:val="single"/>
          <w:lang w:val="en-US" w:eastAsia="zh-CN" w:bidi="ar-SA"/>
        </w:rPr>
        <w:t xml:space="preserve">                                 </w:t>
      </w:r>
    </w:p>
    <w:p w14:paraId="1308519C">
      <w:pPr>
        <w:rPr>
          <w:rFonts w:hint="eastAsia"/>
          <w:lang w:val="en-US" w:eastAsia="zh-CN"/>
        </w:rPr>
      </w:pPr>
      <w:bookmarkStart w:id="99" w:name="_Toc17207"/>
    </w:p>
    <w:p w14:paraId="17168650">
      <w:pPr>
        <w:rPr>
          <w:rFonts w:hint="eastAsia"/>
          <w:lang w:val="en-US" w:eastAsia="zh-CN"/>
        </w:rPr>
      </w:pPr>
    </w:p>
    <w:p w14:paraId="3A3B1194">
      <w:pPr>
        <w:rPr>
          <w:rFonts w:hint="eastAsia"/>
          <w:lang w:val="en-US" w:eastAsia="zh-CN"/>
        </w:rPr>
      </w:pPr>
    </w:p>
    <w:p w14:paraId="58644E26">
      <w:pPr>
        <w:rPr>
          <w:rFonts w:hint="eastAsia"/>
          <w:lang w:val="en-US" w:eastAsia="zh-CN"/>
        </w:rPr>
      </w:pPr>
    </w:p>
    <w:p w14:paraId="6A84FFE1">
      <w:pPr>
        <w:rPr>
          <w:rFonts w:hint="eastAsia"/>
          <w:lang w:val="en-US" w:eastAsia="zh-CN"/>
        </w:rPr>
      </w:pPr>
    </w:p>
    <w:p w14:paraId="5B7D6492">
      <w:pPr>
        <w:rPr>
          <w:rFonts w:hint="eastAsia"/>
          <w:lang w:val="en-US" w:eastAsia="zh-CN"/>
        </w:rPr>
      </w:pPr>
    </w:p>
    <w:p w14:paraId="238E17C0">
      <w:pPr>
        <w:rPr>
          <w:rFonts w:hint="eastAsia"/>
          <w:lang w:val="en-US" w:eastAsia="zh-CN"/>
        </w:rPr>
      </w:pPr>
    </w:p>
    <w:p w14:paraId="1D26D8C4">
      <w:pPr>
        <w:rPr>
          <w:rFonts w:hint="eastAsia"/>
          <w:lang w:val="en-US" w:eastAsia="zh-CN"/>
        </w:rPr>
      </w:pPr>
    </w:p>
    <w:p w14:paraId="4476DECF">
      <w:pPr>
        <w:rPr>
          <w:rFonts w:hint="eastAsia"/>
          <w:lang w:val="en-US" w:eastAsia="zh-CN"/>
        </w:rPr>
      </w:pPr>
    </w:p>
    <w:p w14:paraId="654E8506">
      <w:pPr>
        <w:jc w:val="center"/>
        <w:rPr>
          <w:sz w:val="32"/>
          <w:szCs w:val="32"/>
        </w:rPr>
      </w:pPr>
      <w:r>
        <w:rPr>
          <w:sz w:val="32"/>
          <w:szCs w:val="32"/>
        </w:rPr>
        <w:t>技术证明材料</w:t>
      </w:r>
    </w:p>
    <w:p w14:paraId="385D8C91">
      <w:pPr>
        <w:pStyle w:val="8"/>
        <w:spacing w:before="84"/>
        <w:jc w:val="left"/>
        <w:rPr>
          <w:spacing w:val="-2"/>
        </w:rPr>
      </w:pPr>
    </w:p>
    <w:p w14:paraId="742C28D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1.专业能力：代理团队需包含2名以上生物医学工程专业背景代理人（提供学历证明）；</w:t>
      </w:r>
      <w:r>
        <w:rPr>
          <w:rFonts w:hint="eastAsia" w:ascii="仿宋" w:hAnsi="仿宋" w:eastAsia="仿宋" w:cs="仿宋"/>
          <w:color w:val="auto"/>
          <w:sz w:val="32"/>
          <w:szCs w:val="32"/>
          <w:lang w:eastAsia="zh-CN"/>
        </w:rPr>
        <w:t>项目负责人（须列明中医专利代理经验）；检索分析师（提供检索工具认证证书）。</w:t>
      </w:r>
      <w:r>
        <w:rPr>
          <w:rFonts w:hint="eastAsia" w:ascii="仿宋" w:hAnsi="仿宋" w:eastAsia="仿宋" w:cs="仿宋"/>
          <w:color w:val="auto"/>
          <w:sz w:val="32"/>
          <w:szCs w:val="32"/>
          <w:lang w:val="en-US" w:eastAsia="zh-CN"/>
        </w:rPr>
        <w:t>团队需提交中医药相关产品或服务专利撰写案例（附授权通知书）。</w:t>
      </w:r>
    </w:p>
    <w:p w14:paraId="2A4A33F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p>
    <w:p w14:paraId="147C98A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p>
    <w:p w14:paraId="1014EE1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2.质量保障：权利要求书中需包含时辰划分模块（核心创新点）、行为数据库（含子午流注数据）、可穿戴设备传感适配方案；需提供专利侵权风险分析报告。</w:t>
      </w:r>
    </w:p>
    <w:p w14:paraId="3F3EE126">
      <w:pPr>
        <w:rPr>
          <w:rFonts w:hint="eastAsia"/>
          <w:lang w:val="en-US" w:eastAsia="zh-CN"/>
        </w:rPr>
      </w:pPr>
    </w:p>
    <w:p w14:paraId="7A94CE39">
      <w:pPr>
        <w:rPr>
          <w:rFonts w:hint="eastAsia"/>
          <w:lang w:val="en-US" w:eastAsia="zh-CN"/>
        </w:rPr>
      </w:pPr>
    </w:p>
    <w:p w14:paraId="4EF716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.服务方案：技术交底书转化计划（附流程图）；中医理论技术特征提取方法论。</w:t>
      </w:r>
    </w:p>
    <w:p w14:paraId="67E0FA4B">
      <w:pPr>
        <w:rPr>
          <w:rFonts w:hint="eastAsia"/>
          <w:lang w:val="en-US" w:eastAsia="zh-CN"/>
        </w:rPr>
      </w:pPr>
    </w:p>
    <w:p w14:paraId="2E752741">
      <w:pPr>
        <w:rPr>
          <w:rFonts w:hint="eastAsia"/>
          <w:lang w:val="en-US" w:eastAsia="zh-CN"/>
        </w:rPr>
      </w:pPr>
    </w:p>
    <w:p w14:paraId="7F6DF7DC">
      <w:pPr>
        <w:rPr>
          <w:rFonts w:hint="eastAsia"/>
          <w:lang w:val="en-US" w:eastAsia="zh-CN"/>
        </w:rPr>
      </w:pPr>
    </w:p>
    <w:p w14:paraId="743628BF">
      <w:pPr>
        <w:rPr>
          <w:rFonts w:hint="eastAsia"/>
          <w:lang w:val="en-US" w:eastAsia="zh-CN"/>
        </w:rPr>
      </w:pPr>
    </w:p>
    <w:p w14:paraId="0CF44476">
      <w:pPr>
        <w:rPr>
          <w:rFonts w:hint="eastAsia"/>
          <w:lang w:val="en-US" w:eastAsia="zh-CN"/>
        </w:rPr>
      </w:pPr>
    </w:p>
    <w:p w14:paraId="78600B1D">
      <w:pPr>
        <w:rPr>
          <w:rFonts w:hint="eastAsia"/>
          <w:lang w:val="en-US" w:eastAsia="zh-CN"/>
        </w:rPr>
      </w:pPr>
    </w:p>
    <w:p w14:paraId="77CB2982">
      <w:pPr>
        <w:rPr>
          <w:rFonts w:hint="eastAsia"/>
          <w:lang w:val="en-US" w:eastAsia="zh-CN"/>
        </w:rPr>
      </w:pPr>
    </w:p>
    <w:p w14:paraId="27DD824F">
      <w:pPr>
        <w:rPr>
          <w:rFonts w:hint="eastAsia"/>
          <w:lang w:val="en-US" w:eastAsia="zh-CN"/>
        </w:rPr>
      </w:pPr>
    </w:p>
    <w:p w14:paraId="37302F58">
      <w:pPr>
        <w:rPr>
          <w:rFonts w:hint="eastAsia"/>
          <w:lang w:val="en-US" w:eastAsia="zh-CN"/>
        </w:rPr>
      </w:pPr>
    </w:p>
    <w:p w14:paraId="0B967DD3">
      <w:pPr>
        <w:rPr>
          <w:rFonts w:hint="eastAsia"/>
          <w:lang w:val="en-US" w:eastAsia="zh-CN"/>
        </w:rPr>
      </w:pPr>
    </w:p>
    <w:p w14:paraId="01002817">
      <w:pPr>
        <w:rPr>
          <w:rFonts w:hint="eastAsia"/>
          <w:lang w:val="en-US" w:eastAsia="zh-CN"/>
        </w:rPr>
      </w:pPr>
    </w:p>
    <w:p w14:paraId="7A26FD66">
      <w:pPr>
        <w:rPr>
          <w:rFonts w:hint="eastAsia"/>
          <w:lang w:val="en-US" w:eastAsia="zh-CN"/>
        </w:rPr>
      </w:pPr>
    </w:p>
    <w:p w14:paraId="4286F868">
      <w:pPr>
        <w:rPr>
          <w:rFonts w:hint="eastAsia"/>
          <w:lang w:val="en-US" w:eastAsia="zh-CN"/>
        </w:rPr>
      </w:pPr>
    </w:p>
    <w:p w14:paraId="7AB073D4">
      <w:pPr>
        <w:rPr>
          <w:rFonts w:hint="eastAsia"/>
          <w:lang w:val="en-US" w:eastAsia="zh-CN"/>
        </w:rPr>
      </w:pPr>
    </w:p>
    <w:p w14:paraId="53A29B27">
      <w:pPr>
        <w:rPr>
          <w:rFonts w:hint="eastAsia"/>
          <w:lang w:val="en-US" w:eastAsia="zh-CN"/>
        </w:rPr>
      </w:pPr>
    </w:p>
    <w:p w14:paraId="57FDE8E7">
      <w:pPr>
        <w:rPr>
          <w:rFonts w:hint="eastAsia"/>
          <w:lang w:val="en-US" w:eastAsia="zh-CN"/>
        </w:rPr>
      </w:pPr>
    </w:p>
    <w:p w14:paraId="5DF001FA">
      <w:pPr>
        <w:rPr>
          <w:rFonts w:hint="eastAsia"/>
          <w:lang w:val="en-US" w:eastAsia="zh-CN"/>
        </w:rPr>
      </w:pPr>
    </w:p>
    <w:p w14:paraId="74927EEB">
      <w:pPr>
        <w:rPr>
          <w:rFonts w:hint="eastAsia"/>
          <w:lang w:val="en-US" w:eastAsia="zh-CN"/>
        </w:rPr>
      </w:pPr>
    </w:p>
    <w:p w14:paraId="4CF75D88">
      <w:pPr>
        <w:rPr>
          <w:rFonts w:hint="eastAsia"/>
          <w:lang w:val="en-US" w:eastAsia="zh-CN"/>
        </w:rPr>
      </w:pPr>
    </w:p>
    <w:p w14:paraId="6EC87C88">
      <w:pPr>
        <w:rPr>
          <w:rFonts w:hint="eastAsia"/>
          <w:lang w:val="en-US" w:eastAsia="zh-CN"/>
        </w:rPr>
      </w:pPr>
      <w:bookmarkStart w:id="104" w:name="_GoBack"/>
      <w:bookmarkEnd w:id="104"/>
    </w:p>
    <w:p w14:paraId="373A1A90">
      <w:pPr>
        <w:pStyle w:val="3"/>
        <w:bidi w:val="0"/>
        <w:spacing w:line="240" w:lineRule="auto"/>
        <w:rPr>
          <w:rFonts w:hint="eastAsia" w:hAnsi="Times New Roman" w:cs="Times New Roman"/>
          <w:lang w:val="en-US" w:eastAsia="zh-CN"/>
        </w:rPr>
      </w:pPr>
      <w:bookmarkStart w:id="100" w:name="_Toc24514"/>
      <w:r>
        <w:rPr>
          <w:rFonts w:hint="eastAsia" w:hAnsi="Times New Roman" w:cs="Times New Roman"/>
          <w:lang w:val="en-US" w:eastAsia="zh-CN"/>
        </w:rPr>
        <w:t>四、报价部分</w:t>
      </w:r>
      <w:bookmarkEnd w:id="100"/>
    </w:p>
    <w:p w14:paraId="0AE3E82A">
      <w:pPr>
        <w:pStyle w:val="2"/>
        <w:spacing w:before="120"/>
        <w:rPr>
          <w:rFonts w:hint="eastAsia" w:ascii="仿宋_GB2312" w:hAnsi="仿宋_GB2312" w:eastAsia="仿宋_GB2312" w:cs="仿宋_GB2312"/>
          <w:sz w:val="36"/>
          <w:szCs w:val="36"/>
          <w:lang w:val="en-US" w:eastAsia="zh-CN"/>
        </w:rPr>
      </w:pPr>
      <w:bookmarkStart w:id="101" w:name="_Toc25652"/>
      <w:r>
        <w:rPr>
          <w:rFonts w:hint="eastAsia" w:ascii="仿宋_GB2312" w:hAnsi="仿宋_GB2312" w:eastAsia="仿宋_GB2312" w:cs="仿宋_GB2312"/>
          <w:sz w:val="36"/>
          <w:szCs w:val="36"/>
        </w:rPr>
        <w:t>附件</w:t>
      </w:r>
      <w:bookmarkEnd w:id="82"/>
      <w:bookmarkEnd w:id="83"/>
      <w:bookmarkEnd w:id="97"/>
      <w:bookmarkEnd w:id="98"/>
      <w:bookmarkEnd w:id="99"/>
      <w:r>
        <w:rPr>
          <w:rFonts w:hint="eastAsia" w:ascii="仿宋_GB2312" w:hAnsi="仿宋_GB2312" w:eastAsia="仿宋_GB2312" w:cs="仿宋_GB2312"/>
          <w:sz w:val="36"/>
          <w:szCs w:val="36"/>
          <w:lang w:val="en-US" w:eastAsia="zh-CN"/>
        </w:rPr>
        <w:t>6</w:t>
      </w:r>
      <w:bookmarkEnd w:id="101"/>
    </w:p>
    <w:p w14:paraId="3AC2B2D9">
      <w:pPr>
        <w:bidi w:val="0"/>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13E4CBF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0605C23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6848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noWrap w:val="0"/>
            <w:vAlign w:val="center"/>
          </w:tcPr>
          <w:p w14:paraId="4E68B0D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noWrap w:val="0"/>
            <w:vAlign w:val="center"/>
          </w:tcPr>
          <w:p w14:paraId="650BDDB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64C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noWrap w:val="0"/>
            <w:vAlign w:val="center"/>
          </w:tcPr>
          <w:p w14:paraId="0B68651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09222E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noWrap w:val="0"/>
            <w:vAlign w:val="center"/>
          </w:tcPr>
          <w:p w14:paraId="00B877B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68CD5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668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noWrap w:val="0"/>
            <w:vAlign w:val="center"/>
          </w:tcPr>
          <w:p w14:paraId="373E978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文件的</w:t>
            </w:r>
          </w:p>
          <w:p w14:paraId="4E75D76E">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认同程度</w:t>
            </w:r>
          </w:p>
        </w:tc>
        <w:tc>
          <w:tcPr>
            <w:tcW w:w="7141" w:type="dxa"/>
            <w:noWrap w:val="0"/>
            <w:vAlign w:val="center"/>
          </w:tcPr>
          <w:p w14:paraId="50791C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r w14:paraId="178A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noWrap w:val="0"/>
            <w:vAlign w:val="center"/>
          </w:tcPr>
          <w:p w14:paraId="6805890D">
            <w:pPr>
              <w:keepNext w:val="0"/>
              <w:keepLines w:val="0"/>
              <w:pageBreakBefore w:val="0"/>
              <w:widowControl w:val="0"/>
              <w:tabs>
                <w:tab w:val="left" w:pos="720"/>
                <w:tab w:val="left" w:pos="144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noWrap w:val="0"/>
            <w:vAlign w:val="center"/>
          </w:tcPr>
          <w:p w14:paraId="565ECA3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rPr>
            </w:pPr>
          </w:p>
        </w:tc>
      </w:tr>
    </w:tbl>
    <w:p w14:paraId="4DEE182A">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bCs w:val="0"/>
          <w:sz w:val="32"/>
          <w:szCs w:val="32"/>
        </w:rPr>
      </w:pPr>
    </w:p>
    <w:p w14:paraId="2D7FF40B">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u w:val="single"/>
          <w:lang w:eastAsia="zh-CN"/>
        </w:rPr>
      </w:pPr>
      <w:r>
        <w:rPr>
          <w:rFonts w:hint="eastAsia" w:ascii="仿宋_GB2312" w:hAnsi="仿宋_GB2312" w:eastAsia="仿宋_GB2312" w:cs="仿宋_GB2312"/>
          <w:sz w:val="32"/>
          <w:szCs w:val="32"/>
        </w:rPr>
        <w:t>投标人名称（公章）</w:t>
      </w:r>
      <w:r>
        <w:rPr>
          <w:rFonts w:hint="eastAsia" w:ascii="仿宋_GB2312" w:hAnsi="仿宋_GB2312" w:eastAsia="仿宋_GB2312" w:cs="仿宋_GB2312"/>
          <w:sz w:val="32"/>
          <w:szCs w:val="32"/>
          <w:lang w:eastAsia="zh-CN"/>
        </w:rPr>
        <w:t>：</w:t>
      </w:r>
    </w:p>
    <w:p w14:paraId="32124537">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sz w:val="32"/>
          <w:szCs w:val="32"/>
        </w:rPr>
      </w:pPr>
    </w:p>
    <w:p w14:paraId="56D1A8BA">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sz w:val="32"/>
          <w:szCs w:val="32"/>
        </w:rPr>
        <w:t>法定代表人或授权代理人（签字）</w:t>
      </w:r>
      <w:r>
        <w:rPr>
          <w:rFonts w:hint="eastAsia" w:ascii="仿宋_GB2312" w:hAnsi="仿宋_GB2312" w:eastAsia="仿宋_GB2312" w:cs="仿宋_GB2312"/>
          <w:sz w:val="32"/>
          <w:szCs w:val="32"/>
          <w:lang w:eastAsia="zh-CN"/>
        </w:rPr>
        <w:t>：</w:t>
      </w:r>
    </w:p>
    <w:p w14:paraId="083A688B">
      <w:pPr>
        <w:keepNext w:val="0"/>
        <w:keepLines w:val="0"/>
        <w:pageBreakBefore w:val="0"/>
        <w:widowControl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0F5CA63D">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14:paraId="6299356F">
      <w:pPr>
        <w:pStyle w:val="3"/>
        <w:bidi w:val="0"/>
        <w:spacing w:line="240" w:lineRule="auto"/>
        <w:rPr>
          <w:rFonts w:hint="eastAsia" w:hAnsi="Times New Roman" w:cs="Times New Roman"/>
          <w:lang w:val="en-US" w:eastAsia="zh-CN"/>
        </w:rPr>
      </w:pPr>
      <w:bookmarkStart w:id="102" w:name="_Toc4812"/>
      <w:bookmarkStart w:id="103" w:name="_Toc1015"/>
      <w:r>
        <w:rPr>
          <w:rFonts w:hint="eastAsia" w:hAnsi="Times New Roman" w:cs="Times New Roman"/>
          <w:lang w:val="en-US" w:eastAsia="zh-CN"/>
        </w:rPr>
        <w:t>封套格式</w:t>
      </w:r>
      <w:bookmarkEnd w:id="102"/>
      <w:bookmarkEnd w:id="103"/>
    </w:p>
    <w:tbl>
      <w:tblPr>
        <w:tblStyle w:val="19"/>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723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9080" w:type="dxa"/>
            <w:noWrap w:val="0"/>
            <w:vAlign w:val="top"/>
          </w:tcPr>
          <w:p w14:paraId="59A91363">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p>
          <w:p w14:paraId="1D5F404B">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rPr>
            </w:pPr>
          </w:p>
          <w:p w14:paraId="7AAF63AE">
            <w:pPr>
              <w:pStyle w:val="9"/>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报价文件（正本/副本）</w:t>
            </w:r>
          </w:p>
          <w:p w14:paraId="65216082">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项目编号：      </w:t>
            </w:r>
          </w:p>
          <w:p w14:paraId="403DA57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项目名称：</w:t>
            </w:r>
          </w:p>
          <w:p w14:paraId="57D38156">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投标人名称（公章）：</w:t>
            </w:r>
          </w:p>
          <w:p w14:paraId="5183C725">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地址：</w:t>
            </w:r>
          </w:p>
          <w:p w14:paraId="66217214">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电话：</w:t>
            </w:r>
          </w:p>
          <w:p w14:paraId="4977CE97">
            <w:pPr>
              <w:keepNext w:val="0"/>
              <w:keepLines w:val="0"/>
              <w:pageBreakBefore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传真：</w:t>
            </w:r>
          </w:p>
        </w:tc>
      </w:tr>
    </w:tbl>
    <w:p w14:paraId="46E7BC9E">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p w14:paraId="2D00BF11">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vanish/>
          <w:sz w:val="32"/>
          <w:szCs w:val="32"/>
        </w:rPr>
      </w:pPr>
    </w:p>
    <w:tbl>
      <w:tblPr>
        <w:tblStyle w:val="19"/>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7695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noWrap w:val="0"/>
            <w:vAlign w:val="center"/>
          </w:tcPr>
          <w:p w14:paraId="2ACCA4F0">
            <w:pPr>
              <w:pStyle w:val="9"/>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时之前不准启封（公章）………</w:t>
            </w:r>
          </w:p>
        </w:tc>
      </w:tr>
    </w:tbl>
    <w:p w14:paraId="3BD1B86F">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247" w:right="1587" w:bottom="1418" w:left="1587"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8088D3-467E-4BB5-86BF-7E407EA92C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52D0549-0ED0-4FCE-91CB-62498B0DFC4E}"/>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EAA5C4A-00D2-4E70-ADB8-1A98FBEA2EFB}"/>
  </w:font>
  <w:font w:name="方正仿宋_GB2312">
    <w:altName w:val="仿宋"/>
    <w:panose1 w:val="02000000000000000000"/>
    <w:charset w:val="86"/>
    <w:family w:val="auto"/>
    <w:pitch w:val="default"/>
    <w:sig w:usb0="00000000" w:usb1="00000000" w:usb2="00000012" w:usb3="00000000" w:csb0="00040001" w:csb1="00000000"/>
    <w:embedRegular r:id="rId4" w:fontKey="{9246BDBA-37E7-4E40-8701-48E998C54F8E}"/>
  </w:font>
  <w:font w:name="Tahoma">
    <w:panose1 w:val="020B0604030504040204"/>
    <w:charset w:val="00"/>
    <w:family w:val="auto"/>
    <w:pitch w:val="default"/>
    <w:sig w:usb0="E1002EFF" w:usb1="C000605B" w:usb2="00000029" w:usb3="00000000" w:csb0="200101FF" w:csb1="20280000"/>
  </w:font>
  <w:font w:name="方正公文仿宋">
    <w:panose1 w:val="02000500000000000000"/>
    <w:charset w:val="86"/>
    <w:family w:val="auto"/>
    <w:pitch w:val="default"/>
    <w:sig w:usb0="A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标准粗黑">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23F5">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6605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34A6605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EFE562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65EF">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14:paraId="2991CCE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670D">
    <w:pPr>
      <w:pStyle w:val="11"/>
      <w:ind w:right="360" w:firstLine="4860" w:firstLineChars="270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FA4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62336;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5WZn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LlZmfjICAABjBAAADgAAAAAAAAABACAAAAAlAQAAZHJzL2Uyb0RvYy54&#10;bWxQSwUGAAAAAAYABgBZAQAAyQUAAAAA&#10;">
              <v:fill on="f" focussize="0,0"/>
              <v:stroke on="f" weight="0.5pt"/>
              <v:imagedata o:title=""/>
              <o:lock v:ext="edit" aspectratio="f"/>
              <v:textbox inset="0mm,0mm,0mm,0mm" style="mso-fit-shape-to-text:t;">
                <w:txbxContent>
                  <w:p w14:paraId="0B74FA4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1FF7">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32</w:t>
    </w:r>
    <w:r>
      <w:fldChar w:fldCharType="end"/>
    </w:r>
  </w:p>
  <w:p w14:paraId="01ECDEE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F52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109E">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250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A40E">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80E3">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F213">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14BDA446"/>
    <w:multiLevelType w:val="singleLevel"/>
    <w:tmpl w:val="14BDA446"/>
    <w:lvl w:ilvl="0" w:tentative="0">
      <w:start w:val="1"/>
      <w:numFmt w:val="decimal"/>
      <w:lvlText w:val="%1."/>
      <w:lvlJc w:val="left"/>
      <w:pPr>
        <w:tabs>
          <w:tab w:val="left" w:pos="312"/>
        </w:tabs>
      </w:p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387414F7"/>
    <w:multiLevelType w:val="singleLevel"/>
    <w:tmpl w:val="387414F7"/>
    <w:lvl w:ilvl="0" w:tentative="0">
      <w:start w:val="1"/>
      <w:numFmt w:val="decimal"/>
      <w:lvlText w:val="%1."/>
      <w:lvlJc w:val="left"/>
      <w:pPr>
        <w:tabs>
          <w:tab w:val="left" w:pos="312"/>
        </w:tabs>
      </w:pPr>
    </w:lvl>
  </w:abstractNum>
  <w:abstractNum w:abstractNumId="4">
    <w:nsid w:val="66D9E6B0"/>
    <w:multiLevelType w:val="singleLevel"/>
    <w:tmpl w:val="66D9E6B0"/>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Yjc3MmEyY2Y0YTkyNjY2MDZmNDQzMWZhODgwNjIifQ=="/>
  </w:docVars>
  <w:rsids>
    <w:rsidRoot w:val="32986C49"/>
    <w:rsid w:val="00C22774"/>
    <w:rsid w:val="00E1233B"/>
    <w:rsid w:val="010E4F6E"/>
    <w:rsid w:val="013712F7"/>
    <w:rsid w:val="01535BBA"/>
    <w:rsid w:val="01AF3A4F"/>
    <w:rsid w:val="02644444"/>
    <w:rsid w:val="026F7BA0"/>
    <w:rsid w:val="028C62E2"/>
    <w:rsid w:val="02DB7CB9"/>
    <w:rsid w:val="02EC2996"/>
    <w:rsid w:val="02FE5FA0"/>
    <w:rsid w:val="03215DBB"/>
    <w:rsid w:val="03B92498"/>
    <w:rsid w:val="04210BBD"/>
    <w:rsid w:val="04BD1B14"/>
    <w:rsid w:val="04C21C5A"/>
    <w:rsid w:val="0521245C"/>
    <w:rsid w:val="0524197F"/>
    <w:rsid w:val="0539563E"/>
    <w:rsid w:val="053F286C"/>
    <w:rsid w:val="05653FB6"/>
    <w:rsid w:val="06220A34"/>
    <w:rsid w:val="063D115E"/>
    <w:rsid w:val="063D7F45"/>
    <w:rsid w:val="06515A71"/>
    <w:rsid w:val="069D2831"/>
    <w:rsid w:val="06B362BB"/>
    <w:rsid w:val="06CC1424"/>
    <w:rsid w:val="06E03B70"/>
    <w:rsid w:val="06E67100"/>
    <w:rsid w:val="07586296"/>
    <w:rsid w:val="07854B6B"/>
    <w:rsid w:val="086A1DAA"/>
    <w:rsid w:val="08DA0EE6"/>
    <w:rsid w:val="098A46BA"/>
    <w:rsid w:val="09A432A2"/>
    <w:rsid w:val="09BE64C0"/>
    <w:rsid w:val="0A3F0100"/>
    <w:rsid w:val="0AE147AE"/>
    <w:rsid w:val="0B16263E"/>
    <w:rsid w:val="0BED6A7B"/>
    <w:rsid w:val="0C5A7F34"/>
    <w:rsid w:val="0C6C07D5"/>
    <w:rsid w:val="0C8353F1"/>
    <w:rsid w:val="0CA5180B"/>
    <w:rsid w:val="0CB63A18"/>
    <w:rsid w:val="0CF74AB8"/>
    <w:rsid w:val="0D181FDD"/>
    <w:rsid w:val="0D3D1A44"/>
    <w:rsid w:val="0D761459"/>
    <w:rsid w:val="0D766D04"/>
    <w:rsid w:val="0DA160D2"/>
    <w:rsid w:val="0DA43871"/>
    <w:rsid w:val="0E812BF3"/>
    <w:rsid w:val="0E9733D5"/>
    <w:rsid w:val="0EB10E23"/>
    <w:rsid w:val="0EF07055"/>
    <w:rsid w:val="0F317386"/>
    <w:rsid w:val="0F5574D8"/>
    <w:rsid w:val="0F993EEE"/>
    <w:rsid w:val="0FA1275E"/>
    <w:rsid w:val="0FB76D11"/>
    <w:rsid w:val="0FE16FFE"/>
    <w:rsid w:val="1088396D"/>
    <w:rsid w:val="10D02F24"/>
    <w:rsid w:val="111700D2"/>
    <w:rsid w:val="11B83D8F"/>
    <w:rsid w:val="127C4028"/>
    <w:rsid w:val="12DE7825"/>
    <w:rsid w:val="12E070F9"/>
    <w:rsid w:val="131821D8"/>
    <w:rsid w:val="132A2348"/>
    <w:rsid w:val="13347445"/>
    <w:rsid w:val="133C34EE"/>
    <w:rsid w:val="138F79D2"/>
    <w:rsid w:val="13E56991"/>
    <w:rsid w:val="145C05DA"/>
    <w:rsid w:val="147A357D"/>
    <w:rsid w:val="15334D17"/>
    <w:rsid w:val="15945E81"/>
    <w:rsid w:val="15DF7B3C"/>
    <w:rsid w:val="165D6CB3"/>
    <w:rsid w:val="16940005"/>
    <w:rsid w:val="16D96054"/>
    <w:rsid w:val="17127A9D"/>
    <w:rsid w:val="17141B46"/>
    <w:rsid w:val="17417AEF"/>
    <w:rsid w:val="17617B9E"/>
    <w:rsid w:val="18883998"/>
    <w:rsid w:val="18C33745"/>
    <w:rsid w:val="191B532F"/>
    <w:rsid w:val="191C10A7"/>
    <w:rsid w:val="191C2DD1"/>
    <w:rsid w:val="19770119"/>
    <w:rsid w:val="197B254B"/>
    <w:rsid w:val="19A1343A"/>
    <w:rsid w:val="19A46172"/>
    <w:rsid w:val="19C46CD8"/>
    <w:rsid w:val="19E61D8E"/>
    <w:rsid w:val="19F245C4"/>
    <w:rsid w:val="1A0A7151"/>
    <w:rsid w:val="1A18186E"/>
    <w:rsid w:val="1A2C531A"/>
    <w:rsid w:val="1A361CF4"/>
    <w:rsid w:val="1A5361CB"/>
    <w:rsid w:val="1AA2382E"/>
    <w:rsid w:val="1ACD674A"/>
    <w:rsid w:val="1B46065D"/>
    <w:rsid w:val="1B787980"/>
    <w:rsid w:val="1B9969DF"/>
    <w:rsid w:val="1BA50EE0"/>
    <w:rsid w:val="1BAB583C"/>
    <w:rsid w:val="1BDD4B1E"/>
    <w:rsid w:val="1C146065"/>
    <w:rsid w:val="1C3E1F2C"/>
    <w:rsid w:val="1CDD3FA9"/>
    <w:rsid w:val="1DE91A1B"/>
    <w:rsid w:val="1E122A78"/>
    <w:rsid w:val="1E7554E1"/>
    <w:rsid w:val="1E7A7A86"/>
    <w:rsid w:val="1ECE2E43"/>
    <w:rsid w:val="1EF62324"/>
    <w:rsid w:val="1F765554"/>
    <w:rsid w:val="20350AB8"/>
    <w:rsid w:val="20386843"/>
    <w:rsid w:val="205B0693"/>
    <w:rsid w:val="209B0A84"/>
    <w:rsid w:val="209E20DF"/>
    <w:rsid w:val="20C0056A"/>
    <w:rsid w:val="21DB2A55"/>
    <w:rsid w:val="21E87D78"/>
    <w:rsid w:val="225F6B0C"/>
    <w:rsid w:val="22AD2D70"/>
    <w:rsid w:val="22B660C8"/>
    <w:rsid w:val="22D1242A"/>
    <w:rsid w:val="23005595"/>
    <w:rsid w:val="233139A1"/>
    <w:rsid w:val="23451001"/>
    <w:rsid w:val="2412563B"/>
    <w:rsid w:val="24B91EA0"/>
    <w:rsid w:val="257348FE"/>
    <w:rsid w:val="25C94365"/>
    <w:rsid w:val="269A09F7"/>
    <w:rsid w:val="26BC4204"/>
    <w:rsid w:val="26F61189"/>
    <w:rsid w:val="27433CA3"/>
    <w:rsid w:val="278136ED"/>
    <w:rsid w:val="27A75FE0"/>
    <w:rsid w:val="28991C3D"/>
    <w:rsid w:val="28B3769A"/>
    <w:rsid w:val="29076737"/>
    <w:rsid w:val="29E9585C"/>
    <w:rsid w:val="2A307B20"/>
    <w:rsid w:val="2A566664"/>
    <w:rsid w:val="2A701253"/>
    <w:rsid w:val="2A8274CB"/>
    <w:rsid w:val="2A8D3BB3"/>
    <w:rsid w:val="2AAF03D5"/>
    <w:rsid w:val="2ADF07C0"/>
    <w:rsid w:val="2AF1729B"/>
    <w:rsid w:val="2C301C6E"/>
    <w:rsid w:val="2CBC077F"/>
    <w:rsid w:val="2D71156A"/>
    <w:rsid w:val="2D7553F1"/>
    <w:rsid w:val="2DD732E8"/>
    <w:rsid w:val="2DEF248E"/>
    <w:rsid w:val="2E1E55CD"/>
    <w:rsid w:val="2E8F1B19"/>
    <w:rsid w:val="2E9B79E3"/>
    <w:rsid w:val="2ED40002"/>
    <w:rsid w:val="2F283F03"/>
    <w:rsid w:val="2F487110"/>
    <w:rsid w:val="2F544C9F"/>
    <w:rsid w:val="2F7470EF"/>
    <w:rsid w:val="2FA1635F"/>
    <w:rsid w:val="302E54F0"/>
    <w:rsid w:val="3058256D"/>
    <w:rsid w:val="306F2075"/>
    <w:rsid w:val="32986C49"/>
    <w:rsid w:val="32A7158A"/>
    <w:rsid w:val="333B7BAD"/>
    <w:rsid w:val="33B97A34"/>
    <w:rsid w:val="33EE0701"/>
    <w:rsid w:val="33F7209D"/>
    <w:rsid w:val="33FB7DDF"/>
    <w:rsid w:val="34476B80"/>
    <w:rsid w:val="344828F8"/>
    <w:rsid w:val="347B0F20"/>
    <w:rsid w:val="349E076A"/>
    <w:rsid w:val="34D02B3F"/>
    <w:rsid w:val="34E44900"/>
    <w:rsid w:val="35487054"/>
    <w:rsid w:val="35B74975"/>
    <w:rsid w:val="35E52AF5"/>
    <w:rsid w:val="367B0D63"/>
    <w:rsid w:val="370E07D2"/>
    <w:rsid w:val="37215DAE"/>
    <w:rsid w:val="37E56DDC"/>
    <w:rsid w:val="37FA5416"/>
    <w:rsid w:val="38B13162"/>
    <w:rsid w:val="38C56C0D"/>
    <w:rsid w:val="39936065"/>
    <w:rsid w:val="3A1D5A85"/>
    <w:rsid w:val="3A7B57D6"/>
    <w:rsid w:val="3B0A0908"/>
    <w:rsid w:val="3B153CF8"/>
    <w:rsid w:val="3B251BE5"/>
    <w:rsid w:val="3B571B87"/>
    <w:rsid w:val="3B7D32FB"/>
    <w:rsid w:val="3B925F04"/>
    <w:rsid w:val="3C137C90"/>
    <w:rsid w:val="3C1C4D96"/>
    <w:rsid w:val="3C577B7C"/>
    <w:rsid w:val="3C6D183D"/>
    <w:rsid w:val="3C830972"/>
    <w:rsid w:val="3C940DD1"/>
    <w:rsid w:val="3CD15B81"/>
    <w:rsid w:val="3CD5381D"/>
    <w:rsid w:val="3CE112D9"/>
    <w:rsid w:val="3DBF1E7D"/>
    <w:rsid w:val="3DDC1999"/>
    <w:rsid w:val="3E6B3412"/>
    <w:rsid w:val="3E976956"/>
    <w:rsid w:val="3EFA354B"/>
    <w:rsid w:val="3F7A2D95"/>
    <w:rsid w:val="3F8841F5"/>
    <w:rsid w:val="3FCC0881"/>
    <w:rsid w:val="401C2EE6"/>
    <w:rsid w:val="408D71EA"/>
    <w:rsid w:val="40C15F0C"/>
    <w:rsid w:val="40C51802"/>
    <w:rsid w:val="40E3030D"/>
    <w:rsid w:val="40F25411"/>
    <w:rsid w:val="416A6500"/>
    <w:rsid w:val="419D4069"/>
    <w:rsid w:val="41A97E1E"/>
    <w:rsid w:val="429D17C3"/>
    <w:rsid w:val="43291B47"/>
    <w:rsid w:val="43300153"/>
    <w:rsid w:val="43344A35"/>
    <w:rsid w:val="448B0D0B"/>
    <w:rsid w:val="44AD1531"/>
    <w:rsid w:val="451F3201"/>
    <w:rsid w:val="452167FC"/>
    <w:rsid w:val="45394A3E"/>
    <w:rsid w:val="45856265"/>
    <w:rsid w:val="45871674"/>
    <w:rsid w:val="45FF375F"/>
    <w:rsid w:val="482F5E51"/>
    <w:rsid w:val="486453C9"/>
    <w:rsid w:val="4891774B"/>
    <w:rsid w:val="48A50E28"/>
    <w:rsid w:val="48F65CAE"/>
    <w:rsid w:val="490966A2"/>
    <w:rsid w:val="496C5713"/>
    <w:rsid w:val="49935F6C"/>
    <w:rsid w:val="4A1365B8"/>
    <w:rsid w:val="4A1946C3"/>
    <w:rsid w:val="4B1878F5"/>
    <w:rsid w:val="4B4C383A"/>
    <w:rsid w:val="4B670273"/>
    <w:rsid w:val="4B746C0F"/>
    <w:rsid w:val="4C51283A"/>
    <w:rsid w:val="4C581661"/>
    <w:rsid w:val="4C5E6D05"/>
    <w:rsid w:val="4C7F417C"/>
    <w:rsid w:val="4C875185"/>
    <w:rsid w:val="4CBE7103"/>
    <w:rsid w:val="4D3F6BF3"/>
    <w:rsid w:val="4D942C25"/>
    <w:rsid w:val="4DA91E14"/>
    <w:rsid w:val="4E0B430A"/>
    <w:rsid w:val="4E305CD9"/>
    <w:rsid w:val="4E9609D8"/>
    <w:rsid w:val="4F0C71D9"/>
    <w:rsid w:val="4F2B26E0"/>
    <w:rsid w:val="4F2E6E63"/>
    <w:rsid w:val="4F9E7FF4"/>
    <w:rsid w:val="4FB93147"/>
    <w:rsid w:val="4FCD4A8E"/>
    <w:rsid w:val="503462A6"/>
    <w:rsid w:val="50745474"/>
    <w:rsid w:val="50B27620"/>
    <w:rsid w:val="511E6A63"/>
    <w:rsid w:val="513748EB"/>
    <w:rsid w:val="513E3C53"/>
    <w:rsid w:val="51501312"/>
    <w:rsid w:val="516B7B44"/>
    <w:rsid w:val="524644C3"/>
    <w:rsid w:val="52691F60"/>
    <w:rsid w:val="529C6EA6"/>
    <w:rsid w:val="529F7C3F"/>
    <w:rsid w:val="52A1781D"/>
    <w:rsid w:val="53B42118"/>
    <w:rsid w:val="544F44F7"/>
    <w:rsid w:val="54640C31"/>
    <w:rsid w:val="54E57FC4"/>
    <w:rsid w:val="54F77CF7"/>
    <w:rsid w:val="55172147"/>
    <w:rsid w:val="5587107B"/>
    <w:rsid w:val="55AB5C7A"/>
    <w:rsid w:val="55B900D0"/>
    <w:rsid w:val="55CE0A58"/>
    <w:rsid w:val="55D4285A"/>
    <w:rsid w:val="5616066A"/>
    <w:rsid w:val="585D494D"/>
    <w:rsid w:val="586B6A32"/>
    <w:rsid w:val="58CB5722"/>
    <w:rsid w:val="590757B1"/>
    <w:rsid w:val="590A280C"/>
    <w:rsid w:val="59581206"/>
    <w:rsid w:val="5AA82EA1"/>
    <w:rsid w:val="5AC91B3E"/>
    <w:rsid w:val="5AE34010"/>
    <w:rsid w:val="5AE369B4"/>
    <w:rsid w:val="5AE57128"/>
    <w:rsid w:val="5BF27F06"/>
    <w:rsid w:val="5C421DD1"/>
    <w:rsid w:val="5C4E58CF"/>
    <w:rsid w:val="5C78796F"/>
    <w:rsid w:val="5D351CF6"/>
    <w:rsid w:val="5D4F6922"/>
    <w:rsid w:val="5D6109F5"/>
    <w:rsid w:val="5DB03139"/>
    <w:rsid w:val="5DF9688E"/>
    <w:rsid w:val="5E113BD7"/>
    <w:rsid w:val="5E40270F"/>
    <w:rsid w:val="5E82108D"/>
    <w:rsid w:val="5E824AD5"/>
    <w:rsid w:val="5EC54917"/>
    <w:rsid w:val="5FB44B2E"/>
    <w:rsid w:val="60487075"/>
    <w:rsid w:val="60667D3B"/>
    <w:rsid w:val="60D47FE9"/>
    <w:rsid w:val="613F7EC8"/>
    <w:rsid w:val="6192071F"/>
    <w:rsid w:val="61BC02FE"/>
    <w:rsid w:val="626F614B"/>
    <w:rsid w:val="62BC011C"/>
    <w:rsid w:val="62DB2A06"/>
    <w:rsid w:val="62DD258D"/>
    <w:rsid w:val="631D6B7A"/>
    <w:rsid w:val="632A2C4E"/>
    <w:rsid w:val="63527CBF"/>
    <w:rsid w:val="63D7141F"/>
    <w:rsid w:val="64306D81"/>
    <w:rsid w:val="64524F4A"/>
    <w:rsid w:val="64746C6E"/>
    <w:rsid w:val="64AF7CA6"/>
    <w:rsid w:val="65883BF7"/>
    <w:rsid w:val="678533FB"/>
    <w:rsid w:val="67FF3969"/>
    <w:rsid w:val="6819678B"/>
    <w:rsid w:val="685A617B"/>
    <w:rsid w:val="68660FC4"/>
    <w:rsid w:val="68B35AE5"/>
    <w:rsid w:val="68EF0FB9"/>
    <w:rsid w:val="691C1682"/>
    <w:rsid w:val="6933534A"/>
    <w:rsid w:val="69336C29"/>
    <w:rsid w:val="69375D48"/>
    <w:rsid w:val="69766FE4"/>
    <w:rsid w:val="69B96A5B"/>
    <w:rsid w:val="6A042C24"/>
    <w:rsid w:val="6AD2649C"/>
    <w:rsid w:val="6B7036D0"/>
    <w:rsid w:val="6B841E8D"/>
    <w:rsid w:val="6BFB5EC7"/>
    <w:rsid w:val="6C3A69EF"/>
    <w:rsid w:val="6C714041"/>
    <w:rsid w:val="6C89702F"/>
    <w:rsid w:val="6C9A748E"/>
    <w:rsid w:val="6CB31D0E"/>
    <w:rsid w:val="6D2A6A64"/>
    <w:rsid w:val="6D8F4B19"/>
    <w:rsid w:val="6DAA3701"/>
    <w:rsid w:val="6DB17E51"/>
    <w:rsid w:val="6E0E3C8F"/>
    <w:rsid w:val="6E4C2A0A"/>
    <w:rsid w:val="6EA97E5C"/>
    <w:rsid w:val="6F5222A2"/>
    <w:rsid w:val="6F9576D7"/>
    <w:rsid w:val="6F9A01F1"/>
    <w:rsid w:val="702F68EB"/>
    <w:rsid w:val="70AD748E"/>
    <w:rsid w:val="70BB1F0C"/>
    <w:rsid w:val="71092E34"/>
    <w:rsid w:val="711E68DF"/>
    <w:rsid w:val="714874B8"/>
    <w:rsid w:val="722F68CA"/>
    <w:rsid w:val="72AE2727"/>
    <w:rsid w:val="7328089B"/>
    <w:rsid w:val="73F64353"/>
    <w:rsid w:val="73F70C5C"/>
    <w:rsid w:val="74086FE3"/>
    <w:rsid w:val="741E10D9"/>
    <w:rsid w:val="748974E7"/>
    <w:rsid w:val="748A31AB"/>
    <w:rsid w:val="74DC4AE7"/>
    <w:rsid w:val="75274EDB"/>
    <w:rsid w:val="753955FE"/>
    <w:rsid w:val="759E1D9D"/>
    <w:rsid w:val="759E7FEF"/>
    <w:rsid w:val="76E967E8"/>
    <w:rsid w:val="76FB3C15"/>
    <w:rsid w:val="77035C3C"/>
    <w:rsid w:val="770F4E1B"/>
    <w:rsid w:val="7721059C"/>
    <w:rsid w:val="77334767"/>
    <w:rsid w:val="77790089"/>
    <w:rsid w:val="781F1BE1"/>
    <w:rsid w:val="78C23FF4"/>
    <w:rsid w:val="79EB11CB"/>
    <w:rsid w:val="79F521A7"/>
    <w:rsid w:val="7AA317EE"/>
    <w:rsid w:val="7AAC0AB8"/>
    <w:rsid w:val="7AEC35AA"/>
    <w:rsid w:val="7B252618"/>
    <w:rsid w:val="7B5F5B2A"/>
    <w:rsid w:val="7BB221E6"/>
    <w:rsid w:val="7BDA78A7"/>
    <w:rsid w:val="7BF03F60"/>
    <w:rsid w:val="7C077AC2"/>
    <w:rsid w:val="7C3945CD"/>
    <w:rsid w:val="7C8141C6"/>
    <w:rsid w:val="7CC14D89"/>
    <w:rsid w:val="7D2B65E0"/>
    <w:rsid w:val="7D7A4E9D"/>
    <w:rsid w:val="7DBD489D"/>
    <w:rsid w:val="7DFA0FA7"/>
    <w:rsid w:val="7E097FCF"/>
    <w:rsid w:val="7E1A2770"/>
    <w:rsid w:val="7ED76320"/>
    <w:rsid w:val="7F547970"/>
    <w:rsid w:val="7F8A5218"/>
    <w:rsid w:val="7FE42AA2"/>
    <w:rsid w:val="9FFB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5"/>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rPr>
      <w:sz w:val="24"/>
    </w:rPr>
  </w:style>
  <w:style w:type="paragraph" w:styleId="17">
    <w:name w:val="Title"/>
    <w:basedOn w:val="1"/>
    <w:next w:val="1"/>
    <w:qFormat/>
    <w:uiPriority w:val="99"/>
    <w:pPr>
      <w:spacing w:before="240" w:after="60"/>
      <w:jc w:val="left"/>
      <w:outlineLvl w:val="0"/>
    </w:pPr>
    <w:rPr>
      <w:rFonts w:ascii="Cambria" w:hAnsi="Cambria"/>
      <w:b/>
      <w:szCs w:val="32"/>
    </w:rPr>
  </w:style>
  <w:style w:type="paragraph" w:styleId="18">
    <w:name w:val="Body Text First Indent 2"/>
    <w:basedOn w:val="9"/>
    <w:unhideWhenUsed/>
    <w:qFormat/>
    <w:uiPriority w:val="99"/>
    <w:pPr>
      <w:ind w:firstLine="420" w:firstLineChars="200"/>
    </w:pPr>
    <w:rPr>
      <w:rFonts w:ascii="Arial" w:hAnsi="Ari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b/>
      <w:kern w:val="44"/>
      <w:sz w:val="36"/>
      <w:szCs w:val="44"/>
    </w:rPr>
  </w:style>
  <w:style w:type="paragraph" w:styleId="26">
    <w:name w:val="List Paragraph"/>
    <w:basedOn w:val="1"/>
    <w:qFormat/>
    <w:uiPriority w:val="99"/>
    <w:pPr>
      <w:ind w:firstLine="420" w:firstLineChars="200"/>
    </w:pPr>
    <w:rPr>
      <w:rFonts w:ascii="Times New Roman"/>
      <w:bCs w:val="0"/>
      <w:sz w:val="21"/>
      <w:szCs w:val="20"/>
    </w:rPr>
  </w:style>
  <w:style w:type="character" w:customStyle="1" w:styleId="27">
    <w:name w:val="样式 仿宋"/>
    <w:qFormat/>
    <w:uiPriority w:val="0"/>
    <w:rPr>
      <w:rFonts w:ascii="仿宋" w:hAnsi="仿宋" w:eastAsia="仿宋"/>
      <w:kern w:val="1"/>
    </w:rPr>
  </w:style>
  <w:style w:type="table" w:customStyle="1" w:styleId="28">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正文"/>
    <w:basedOn w:val="18"/>
    <w:qFormat/>
    <w:uiPriority w:val="0"/>
    <w:pPr>
      <w:spacing w:before="100" w:beforeAutospacing="1" w:after="100" w:afterAutospacing="1"/>
      <w:ind w:left="0" w:leftChars="0"/>
    </w:pPr>
  </w:style>
  <w:style w:type="paragraph" w:customStyle="1" w:styleId="30">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1">
    <w:name w:val="列表段落1"/>
    <w:basedOn w:val="1"/>
    <w:qFormat/>
    <w:uiPriority w:val="34"/>
    <w:pPr>
      <w:adjustRightInd w:val="0"/>
      <w:snapToGrid w:val="0"/>
      <w:ind w:firstLine="0" w:firstLineChars="0"/>
    </w:pPr>
    <w:rPr>
      <w:rFonts w:hAnsi="宋体"/>
    </w:rPr>
  </w:style>
  <w:style w:type="paragraph" w:customStyle="1" w:styleId="32">
    <w:name w:val="列出段落1"/>
    <w:basedOn w:val="1"/>
    <w:qFormat/>
    <w:uiPriority w:val="99"/>
    <w:pPr>
      <w:ind w:firstLine="420" w:firstLineChars="200"/>
    </w:pPr>
  </w:style>
  <w:style w:type="paragraph" w:customStyle="1" w:styleId="33">
    <w:name w:val="石墨文档正文"/>
    <w:qFormat/>
    <w:uiPriority w:val="0"/>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7705</Words>
  <Characters>8021</Characters>
  <Lines>0</Lines>
  <Paragraphs>0</Paragraphs>
  <TotalTime>2</TotalTime>
  <ScaleCrop>false</ScaleCrop>
  <LinksUpToDate>false</LinksUpToDate>
  <CharactersWithSpaces>8917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2024-12-09T20:17:00Z</dcterms:created>
  <dc:creator>水岸听涛</dc:creator>
  <cp:lastModifiedBy>15103004526</cp:lastModifiedBy>
  <cp:lastPrinted>2024-12-10T16:14:00Z</cp:lastPrinted>
  <dcterms:modified xsi:type="dcterms:W3CDTF">2025-08-17T15:00:45Z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7FE85727B218440FA885D3EF829484B7_13</vt:lpwstr>
  </property>
  <property fmtid="{D5CDD505-2E9C-101B-9397-08002B2CF9AE}" pid="4" name="KSOTemplateDocerSaveRecord">
    <vt:lpwstr>eyJoZGlkIjoiYWY3MWJhMWRkZWU5MDA3MzBlOGQyOTZlN2I0NDVkOTUiLCJ1c2VySWQiOiI3NTE2MzkyOTIifQ==</vt:lpwstr>
  </property>
</Properties>
</file>