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hint="eastAsia" w:ascii="方正公文小标宋" w:hAnsi="方正公文小标宋" w:eastAsia="方正公文小标宋" w:cs="方正公文小标宋"/>
          <w:lang w:eastAsia="zh-CN"/>
        </w:rPr>
      </w:pPr>
    </w:p>
    <w:p w14:paraId="25AED01E">
      <w:pPr>
        <w:jc w:val="center"/>
        <w:rPr>
          <w:rFonts w:hint="eastAsia" w:asciiTheme="majorEastAsia" w:hAnsiTheme="majorEastAsia" w:eastAsiaTheme="majorEastAsia" w:cstheme="majorEastAsia"/>
          <w:b/>
          <w:bCs/>
          <w:sz w:val="52"/>
          <w:szCs w:val="52"/>
          <w:lang w:eastAsia="zh-CN"/>
        </w:rPr>
      </w:pPr>
      <w:bookmarkStart w:id="0" w:name="_Toc415058575"/>
      <w:bookmarkStart w:id="1" w:name="_Toc415058499"/>
      <w:bookmarkStart w:id="2" w:name="_Toc375561633"/>
    </w:p>
    <w:p w14:paraId="136FFDFF">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海南卫生健康职业学院</w:t>
      </w:r>
      <w:r>
        <w:rPr>
          <w:rFonts w:hint="eastAsia" w:asciiTheme="majorEastAsia" w:hAnsiTheme="majorEastAsia" w:eastAsiaTheme="majorEastAsia" w:cstheme="majorEastAsia"/>
          <w:b/>
          <w:bCs/>
          <w:sz w:val="52"/>
          <w:szCs w:val="52"/>
          <w:lang w:val="en-US" w:eastAsia="zh-CN"/>
        </w:rPr>
        <w:t>台式电脑外置摄像头批量采购</w:t>
      </w:r>
      <w:r>
        <w:rPr>
          <w:rFonts w:hint="eastAsia" w:asciiTheme="majorEastAsia" w:hAnsiTheme="majorEastAsia" w:eastAsiaTheme="majorEastAsia" w:cstheme="majorEastAsia"/>
          <w:b/>
          <w:bCs/>
          <w:sz w:val="52"/>
          <w:szCs w:val="52"/>
          <w:lang w:eastAsia="zh-CN"/>
        </w:rPr>
        <w:t>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043A06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r>
        <w:rPr>
          <w:rFonts w:hint="eastAsia" w:asciiTheme="minorEastAsia" w:hAnsiTheme="minorEastAsia" w:eastAsiaTheme="minorEastAsia" w:cstheme="minorEastAsia"/>
          <w:bCs w:val="0"/>
          <w:sz w:val="36"/>
          <w:szCs w:val="36"/>
          <w:highlight w:val="none"/>
        </w:rPr>
        <w:t>项目编号：</w:t>
      </w:r>
      <w:r>
        <w:rPr>
          <w:rFonts w:hint="eastAsia" w:asciiTheme="minorEastAsia" w:hAnsiTheme="minorEastAsia" w:eastAsiaTheme="minorEastAsia" w:cstheme="minorEastAsia"/>
          <w:bCs w:val="0"/>
          <w:sz w:val="36"/>
          <w:szCs w:val="36"/>
          <w:highlight w:val="none"/>
          <w:lang w:val="en-US" w:eastAsia="zh-CN"/>
        </w:rPr>
        <w:t>HNWJY-HW2026007</w:t>
      </w: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5731733"/>
      <w:bookmarkStart w:id="4" w:name="_Toc326783408"/>
      <w:bookmarkStart w:id="5" w:name="_Toc325446794"/>
    </w:p>
    <w:p w14:paraId="73DB6CAA">
      <w:pPr>
        <w:spacing w:line="360" w:lineRule="auto"/>
        <w:ind w:firstLine="723" w:firstLineChars="100"/>
        <w:jc w:val="center"/>
        <w:rPr>
          <w:rFonts w:hAnsi="宋体"/>
          <w:b/>
          <w:sz w:val="72"/>
          <w:szCs w:val="72"/>
        </w:rPr>
      </w:pPr>
      <w:r>
        <w:rPr>
          <w:rFonts w:hint="eastAsia" w:hAnsi="宋体"/>
          <w:b/>
          <w:sz w:val="72"/>
          <w:szCs w:val="72"/>
          <w:lang w:eastAsia="zh-CN"/>
        </w:rPr>
        <w:t>校内</w:t>
      </w:r>
      <w:bookmarkStart w:id="112" w:name="_GoBack"/>
      <w:bookmarkEnd w:id="112"/>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val="en-US" w:eastAsia="zh-CN"/>
        </w:rPr>
        <w:t>5</w:t>
      </w:r>
      <w:r>
        <w:rPr>
          <w:rFonts w:hint="eastAsia" w:asciiTheme="minorEastAsia" w:hAnsiTheme="minorEastAsia" w:eastAsiaTheme="minorEastAsia" w:cstheme="minorEastAsia"/>
          <w:b/>
          <w:bCs w:val="0"/>
          <w:sz w:val="36"/>
          <w:szCs w:val="36"/>
        </w:rPr>
        <w:t>月</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日</w:t>
      </w:r>
    </w:p>
    <w:p w14:paraId="0FE85CF1">
      <w:pPr>
        <w:pStyle w:val="19"/>
        <w:tabs>
          <w:tab w:val="right" w:leader="dot" w:pos="9746"/>
        </w:tabs>
        <w:jc w:val="center"/>
        <w:rPr>
          <w:rStyle w:val="31"/>
          <w:rFonts w:asciiTheme="minorEastAsia" w:hAnsiTheme="minorEastAsia" w:eastAsiaTheme="minorEastAsia" w:cstheme="minorEastAsia"/>
          <w:sz w:val="32"/>
          <w:szCs w:val="32"/>
        </w:rPr>
      </w:pPr>
      <w:bookmarkStart w:id="6" w:name="_Toc9970"/>
      <w:bookmarkStart w:id="7" w:name="_Toc356491305"/>
      <w:bookmarkStart w:id="8" w:name="_Toc40089788"/>
    </w:p>
    <w:p w14:paraId="246A2121">
      <w:pPr>
        <w:pStyle w:val="19"/>
        <w:tabs>
          <w:tab w:val="right" w:leader="dot" w:pos="9746"/>
        </w:tabs>
        <w:jc w:val="center"/>
        <w:rPr>
          <w:rStyle w:val="31"/>
          <w:rFonts w:asciiTheme="minorEastAsia" w:hAnsiTheme="minorEastAsia" w:eastAsiaTheme="minorEastAsia" w:cstheme="minorEastAsia"/>
          <w:sz w:val="32"/>
          <w:szCs w:val="32"/>
        </w:rPr>
      </w:pPr>
      <w:bookmarkStart w:id="9" w:name="_Toc20015"/>
      <w:r>
        <w:rPr>
          <w:rStyle w:val="31"/>
          <w:rFonts w:hint="eastAsia" w:asciiTheme="minorEastAsia" w:hAnsiTheme="minorEastAsia" w:eastAsiaTheme="minorEastAsia" w:cstheme="minorEastAsia"/>
          <w:sz w:val="32"/>
          <w:szCs w:val="32"/>
        </w:rPr>
        <w:t>目录</w:t>
      </w:r>
    </w:p>
    <w:bookmarkEnd w:id="6"/>
    <w:bookmarkEnd w:id="9"/>
    <w:p w14:paraId="0F83AEFC">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TOC \o "1-2" \h \u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_Toc20015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目录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_Toc20015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0C24BB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第一部分竞争性磋商公告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F5ED80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_Toc22920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第二部分供应商须知</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_Toc22920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82E603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第三部分评审办法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67A757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_Toc22407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第四部分授予合同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_Toc22407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403094B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_Toc11038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第五部分项目需求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_Toc11038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AB40F83">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_Toc12517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第六部分报价文件格式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_Toc12517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782CB19">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_Toc9943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_Toc9943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-29-</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F472BFB">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_Toc21595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二、资信部分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_Toc21595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3BE9522">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_Toc28212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三、技术部分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_Toc28212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5810F86">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_Toc2093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_Toc2093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376D4E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-39-</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8EE913">
      <w:pPr>
        <w:pStyle w:val="19"/>
        <w:tabs>
          <w:tab w:val="right" w:leader="dot" w:pos="8732"/>
        </w:tabs>
      </w:pPr>
      <w:r>
        <w:rPr>
          <w:rFonts w:hint="eastAsia" w:asciiTheme="majorEastAsia" w:hAnsiTheme="majorEastAsia" w:eastAsiaTheme="majorEastAsia" w:cstheme="majorEastAsia"/>
        </w:rPr>
        <w:fldChar w:fldCharType="end"/>
      </w:r>
    </w:p>
    <w:p w14:paraId="78E07FA8">
      <w:pPr>
        <w:rPr>
          <w:rFonts w:hint="eastAsia"/>
        </w:rPr>
      </w:pPr>
    </w:p>
    <w:p w14:paraId="63521BD8">
      <w:pPr>
        <w:rPr>
          <w:rStyle w:val="31"/>
          <w:rFonts w:hint="eastAsia" w:asciiTheme="minorEastAsia" w:hAnsiTheme="minorEastAsia" w:eastAsiaTheme="minorEastAsia" w:cstheme="minorEastAsia"/>
          <w:b/>
          <w:sz w:val="44"/>
          <w:lang w:val="en-US" w:eastAsia="zh-CN"/>
        </w:rPr>
      </w:pPr>
    </w:p>
    <w:p w14:paraId="12C18434">
      <w:pPr>
        <w:rPr>
          <w:rStyle w:val="31"/>
          <w:rFonts w:hint="eastAsia" w:asciiTheme="minorEastAsia" w:hAnsiTheme="minorEastAsia" w:eastAsiaTheme="minorEastAsia" w:cstheme="minorEastAsia"/>
          <w:b/>
          <w:sz w:val="44"/>
          <w:lang w:val="en-US" w:eastAsia="zh-CN"/>
        </w:rPr>
      </w:pPr>
    </w:p>
    <w:p w14:paraId="1244AACA">
      <w:pPr>
        <w:rPr>
          <w:rStyle w:val="31"/>
          <w:rFonts w:hint="eastAsia" w:asciiTheme="minorEastAsia" w:hAnsiTheme="minorEastAsia" w:eastAsiaTheme="minorEastAsia" w:cstheme="minorEastAsia"/>
          <w:b/>
          <w:sz w:val="44"/>
          <w:lang w:val="en-US" w:eastAsia="zh-CN"/>
        </w:rPr>
      </w:pPr>
    </w:p>
    <w:p w14:paraId="2B72DF25">
      <w:pPr>
        <w:rPr>
          <w:rStyle w:val="31"/>
          <w:rFonts w:hint="eastAsia" w:asciiTheme="minorEastAsia" w:hAnsiTheme="minorEastAsia" w:eastAsiaTheme="minorEastAsia" w:cstheme="minorEastAsia"/>
          <w:b/>
          <w:sz w:val="44"/>
          <w:lang w:val="en-US" w:eastAsia="zh-CN"/>
        </w:rPr>
      </w:pPr>
    </w:p>
    <w:p w14:paraId="137CDDEF">
      <w:pPr>
        <w:rPr>
          <w:rStyle w:val="31"/>
          <w:rFonts w:hint="eastAsia" w:asciiTheme="minorEastAsia" w:hAnsiTheme="minorEastAsia" w:eastAsiaTheme="minorEastAsia" w:cstheme="minorEastAsia"/>
          <w:b/>
          <w:sz w:val="44"/>
        </w:rPr>
      </w:pPr>
    </w:p>
    <w:p w14:paraId="06DDE2D8">
      <w:pPr>
        <w:pStyle w:val="2"/>
        <w:jc w:val="center"/>
        <w:rPr>
          <w:rFonts w:ascii="黑体" w:hAnsi="黑体" w:eastAsia="黑体" w:cs="黑体"/>
          <w:sz w:val="32"/>
          <w:szCs w:val="32"/>
        </w:rPr>
      </w:pPr>
      <w:bookmarkStart w:id="10" w:name="_Toc19324"/>
      <w:r>
        <w:rPr>
          <w:rStyle w:val="31"/>
          <w:rFonts w:hint="eastAsia" w:asciiTheme="minorEastAsia" w:hAnsiTheme="minorEastAsia" w:eastAsiaTheme="minorEastAsia" w:cstheme="minorEastAsia"/>
          <w:b/>
          <w:sz w:val="44"/>
        </w:rPr>
        <w:t>第一部分</w:t>
      </w:r>
      <w:bookmarkEnd w:id="7"/>
      <w:bookmarkEnd w:id="8"/>
      <w:r>
        <w:rPr>
          <w:rStyle w:val="31"/>
          <w:rFonts w:hint="eastAsia" w:asciiTheme="minorEastAsia" w:hAnsiTheme="minorEastAsia" w:eastAsiaTheme="minorEastAsia" w:cstheme="minorEastAsia"/>
          <w:b/>
          <w:sz w:val="44"/>
        </w:rPr>
        <w:t>竞争性磋商公告</w:t>
      </w:r>
      <w:bookmarkEnd w:id="10"/>
      <w:bookmarkStart w:id="11" w:name="_Toc325620702"/>
      <w:bookmarkStart w:id="12" w:name="_Toc325582066"/>
      <w:bookmarkStart w:id="13" w:name="_Toc325582571"/>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37D3270E">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海南卫生健康职业学院台式电脑外置摄像头批量采购项目</w:t>
      </w:r>
    </w:p>
    <w:p w14:paraId="5A605CFC">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2C28D803">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HNWJY-HW2026007</w:t>
      </w:r>
    </w:p>
    <w:p w14:paraId="000B9D55">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项目</w:t>
            </w:r>
          </w:p>
          <w:p w14:paraId="6233B97A">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7A5695D1">
            <w:pPr>
              <w:adjustRightInd w:val="0"/>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供应商资格要求</w:t>
            </w:r>
          </w:p>
        </w:tc>
        <w:tc>
          <w:tcPr>
            <w:tcW w:w="2211" w:type="dxa"/>
            <w:vAlign w:val="center"/>
          </w:tcPr>
          <w:p w14:paraId="74952C6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CFB844">
            <w:pPr>
              <w:adjustRightInd w:val="0"/>
              <w:snapToGrid w:val="0"/>
              <w:spacing w:line="560" w:lineRule="exact"/>
              <w:jc w:val="center"/>
              <w:rPr>
                <w:rFonts w:ascii="仿宋" w:hAnsi="仿宋" w:eastAsia="仿宋" w:cs="仿宋"/>
                <w:color w:val="auto"/>
                <w:sz w:val="32"/>
                <w:szCs w:val="32"/>
              </w:rPr>
            </w:pPr>
          </w:p>
          <w:p w14:paraId="6A1ADC7A">
            <w:pPr>
              <w:adjustRightInd w:val="0"/>
              <w:snapToGrid w:val="0"/>
              <w:spacing w:line="560" w:lineRule="exact"/>
              <w:jc w:val="center"/>
              <w:rPr>
                <w:rFonts w:ascii="仿宋" w:hAnsi="仿宋" w:eastAsia="仿宋" w:cs="仿宋"/>
                <w:color w:val="auto"/>
                <w:sz w:val="32"/>
                <w:szCs w:val="32"/>
              </w:rPr>
            </w:pPr>
          </w:p>
          <w:p w14:paraId="25083F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w:t>
            </w:r>
            <w:r>
              <w:rPr>
                <w:rFonts w:hint="eastAsia" w:ascii="仿宋_GB2312" w:hAnsi="仿宋_GB2312" w:eastAsia="仿宋_GB2312" w:cs="仿宋_GB2312"/>
                <w:color w:val="auto"/>
                <w:sz w:val="28"/>
                <w:szCs w:val="28"/>
                <w:lang w:val="en-US" w:eastAsia="zh-CN"/>
              </w:rPr>
              <w:t>项目</w:t>
            </w:r>
          </w:p>
          <w:p w14:paraId="2B3B3F69">
            <w:pPr>
              <w:adjustRightInd w:val="0"/>
              <w:snapToGrid w:val="0"/>
              <w:spacing w:line="520" w:lineRule="exact"/>
              <w:jc w:val="center"/>
              <w:textAlignment w:val="center"/>
              <w:rPr>
                <w:rFonts w:ascii="仿宋" w:hAnsi="仿宋" w:eastAsia="仿宋" w:cs="仿宋"/>
                <w:color w:val="auto"/>
                <w:kern w:val="0"/>
                <w:sz w:val="32"/>
                <w:szCs w:val="32"/>
              </w:rPr>
            </w:pPr>
          </w:p>
        </w:tc>
        <w:tc>
          <w:tcPr>
            <w:tcW w:w="6443" w:type="dxa"/>
            <w:vAlign w:val="center"/>
          </w:tcPr>
          <w:p w14:paraId="52C378FA">
            <w:pPr>
              <w:pStyle w:val="32"/>
              <w:widowControl/>
              <w:numPr>
                <w:ilvl w:val="0"/>
                <w:numId w:val="3"/>
              </w:numPr>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2"/>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2"/>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2"/>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02AB0502">
            <w:pPr>
              <w:adjustRightInd w:val="0"/>
              <w:snapToGrid w:val="0"/>
              <w:spacing w:line="520" w:lineRule="exact"/>
              <w:jc w:val="center"/>
              <w:rPr>
                <w:rFonts w:ascii="仿宋" w:hAnsi="仿宋" w:eastAsia="仿宋" w:cs="仿宋"/>
                <w:color w:val="auto"/>
                <w:sz w:val="32"/>
                <w:szCs w:val="32"/>
              </w:rPr>
            </w:pPr>
            <w:r>
              <w:rPr>
                <w:rFonts w:hint="eastAsia" w:ascii="仿宋" w:hAnsi="仿宋" w:eastAsia="仿宋" w:cs="仿宋"/>
                <w:color w:val="auto"/>
                <w:sz w:val="28"/>
                <w:szCs w:val="28"/>
                <w:lang w:val="en-US" w:eastAsia="zh-CN"/>
              </w:rPr>
              <w:t>24000</w:t>
            </w:r>
            <w:r>
              <w:rPr>
                <w:rFonts w:hint="eastAsia" w:ascii="仿宋" w:hAnsi="仿宋" w:eastAsia="仿宋" w:cs="仿宋"/>
                <w:color w:val="auto"/>
                <w:sz w:val="32"/>
                <w:szCs w:val="32"/>
              </w:rPr>
              <w:t>.00元</w:t>
            </w:r>
          </w:p>
        </w:tc>
      </w:tr>
    </w:tbl>
    <w:p w14:paraId="7022E2E5">
      <w:pPr>
        <w:adjustRightInd w:val="0"/>
        <w:snapToGrid w:val="0"/>
        <w:spacing w:line="560" w:lineRule="exact"/>
        <w:ind w:firstLine="640" w:firstLineChars="200"/>
        <w:rPr>
          <w:rFonts w:ascii="仿宋" w:hAnsi="仿宋" w:eastAsia="仿宋" w:cs="仿宋"/>
          <w:sz w:val="32"/>
          <w:szCs w:val="32"/>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4.递交报价文件时间及地点：</w:t>
      </w:r>
    </w:p>
    <w:p w14:paraId="2B98880B">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4.1时间：报价文件递交截止时间2026年6月9日上午9时分00前（北京时间），逾期未提交报价文件者视为自动放弃本项目报价资格。</w:t>
      </w:r>
    </w:p>
    <w:p w14:paraId="3E54A7AA">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4.2地址：海口市秀英区秀华路32号海南卫生健康职业学院教职工之家-职工书屋（靠近学校西门）。</w:t>
      </w:r>
    </w:p>
    <w:p w14:paraId="57F1F041">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04DB03B8">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5.1时间：2026年6月9日上午9时00分前（北京时间）；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4588BA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成交原则：在在符合本项目采购需求、质量和服务的前提下，综合得分最高的供应商为第一成交候选供应商,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hint="eastAsia" w:ascii="仿宋" w:hAnsi="仿宋" w:eastAsia="黑体" w:cs="仿宋"/>
          <w:sz w:val="32"/>
          <w:szCs w:val="32"/>
          <w:lang w:eastAsia="zh-CN"/>
        </w:rPr>
      </w:pPr>
      <w:r>
        <w:rPr>
          <w:rFonts w:hint="eastAsia" w:ascii="黑体" w:hAnsi="黑体" w:eastAsia="黑体" w:cs="黑体"/>
          <w:sz w:val="32"/>
          <w:szCs w:val="32"/>
        </w:rPr>
        <w:t>五、联系方式</w:t>
      </w:r>
    </w:p>
    <w:p w14:paraId="7064C98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电话：0898-68642247、0898-68662169</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40089789"/>
      <w:bookmarkStart w:id="16" w:name="_Toc29613"/>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325620714"/>
      <w:bookmarkStart w:id="19" w:name="_Toc332979555"/>
      <w:bookmarkStart w:id="20" w:name="_Toc29040"/>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332979556"/>
      <w:bookmarkStart w:id="22" w:name="_Toc27176"/>
      <w:bookmarkStart w:id="23" w:name="_Toc325620715"/>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325620716"/>
      <w:bookmarkStart w:id="25" w:name="_Toc27961"/>
      <w:bookmarkStart w:id="26" w:name="_Toc332979557"/>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9800"/>
      <w:bookmarkStart w:id="28" w:name="_Toc332979558"/>
      <w:bookmarkStart w:id="29" w:name="_Toc325620717"/>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32979560"/>
      <w:bookmarkStart w:id="34" w:name="_Toc325620719"/>
      <w:bookmarkStart w:id="35" w:name="_Toc3341"/>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332979561"/>
      <w:bookmarkStart w:id="37" w:name="_Toc18290"/>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37754580"/>
      <w:bookmarkStart w:id="39" w:name="_Toc19325"/>
      <w:r>
        <w:rPr>
          <w:rFonts w:hint="eastAsia" w:ascii="仿宋" w:hAnsi="仿宋" w:eastAsia="仿宋" w:cs="仿宋"/>
          <w:sz w:val="44"/>
        </w:rPr>
        <w:t>第三部分评审办法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1"/>
          <w:szCs w:val="32"/>
        </w:rPr>
        <w:t>2）；</w:t>
      </w:r>
    </w:p>
    <w:p w14:paraId="485FBFDD">
      <w:pPr>
        <w:pStyle w:val="13"/>
        <w:adjustRightInd w:val="0"/>
        <w:snapToGrid w:val="0"/>
        <w:spacing w:line="560" w:lineRule="exact"/>
        <w:ind w:firstLine="324" w:firstLineChars="100"/>
        <w:jc w:val="left"/>
        <w:rPr>
          <w:rFonts w:ascii="仿宋" w:hAnsi="仿宋" w:eastAsia="仿宋" w:cs="仿宋"/>
          <w:szCs w:val="32"/>
        </w:rPr>
      </w:pP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hint="eastAsia" w:ascii="仿宋" w:hAnsi="仿宋" w:eastAsia="仿宋" w:cs="仿宋"/>
          <w:b/>
          <w:spacing w:val="35"/>
          <w:w w:val="99"/>
          <w:sz w:val="32"/>
          <w:szCs w:val="32"/>
          <w:lang w:eastAsia="zh-CN"/>
        </w:rPr>
      </w:pPr>
      <w:r>
        <w:rPr>
          <w:rFonts w:hint="eastAsia" w:ascii="仿宋" w:hAnsi="仿宋" w:eastAsia="仿宋" w:cs="仿宋"/>
          <w:b/>
          <w:spacing w:val="-1"/>
          <w:sz w:val="32"/>
          <w:szCs w:val="32"/>
        </w:rPr>
        <w:t>磋商报价得分=(基准价／最终报价)×价格权值×100</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rPr>
              <w:t>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32F06724">
      <w:pPr>
        <w:jc w:val="center"/>
        <w:rPr>
          <w:rFonts w:ascii="仿宋" w:hAnsi="仿宋" w:eastAsia="仿宋" w:cs="仿宋"/>
          <w:color w:val="000000"/>
          <w:sz w:val="32"/>
          <w:szCs w:val="32"/>
        </w:rPr>
      </w:pPr>
      <w:r>
        <w:rPr>
          <w:rFonts w:hint="eastAsia"/>
          <w:color w:val="000000"/>
          <w:sz w:val="32"/>
        </w:rPr>
        <w:t>附表1：</w:t>
      </w:r>
      <w:r>
        <w:rPr>
          <w:color w:val="000000"/>
          <w:sz w:val="32"/>
        </w:rPr>
        <w:t>初步审查表</w:t>
      </w:r>
    </w:p>
    <w:p w14:paraId="5CD88839">
      <w:pPr>
        <w:jc w:val="left"/>
        <w:rPr>
          <w:rFonts w:ascii="仿宋" w:hAnsi="仿宋" w:eastAsia="仿宋" w:cs="仿宋"/>
          <w:color w:val="000000"/>
          <w:sz w:val="32"/>
          <w:szCs w:val="32"/>
        </w:rPr>
      </w:pPr>
    </w:p>
    <w:p w14:paraId="61DFE5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w:t>
      </w:r>
    </w:p>
    <w:p w14:paraId="137952E2">
      <w:pPr>
        <w:adjustRightInd w:val="0"/>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HNWJY-HW2026007</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jc w:val="center"/>
              <w:rPr>
                <w:rFonts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rPr>
                <w:rFonts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rPr>
                <w:rFonts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rPr>
                <w:rFonts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rPr>
                <w:rFonts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jc w:val="center"/>
              <w:rPr>
                <w:rFonts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jc w:val="center"/>
              <w:rPr>
                <w:rFonts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rPr>
                <w:rFonts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jc w:val="center"/>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jc w:val="left"/>
              <w:rPr>
                <w:rFonts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rPr>
                <w:rFonts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jc w:val="center"/>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jc w:val="center"/>
              <w:rPr>
                <w:rFonts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rPr>
                <w:rFonts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jc w:val="center"/>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服务期限</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rPr>
                <w:rFonts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jc w:val="center"/>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jc w:val="center"/>
              <w:rPr>
                <w:rFonts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jc w:val="center"/>
              <w:rPr>
                <w:rFonts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rPr>
                <w:rFonts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rPr>
                <w:rFonts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jc w:val="center"/>
              <w:rPr>
                <w:rFonts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rPr>
                <w:rFonts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C66BB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color w:val="000000"/>
          <w:kern w:val="2"/>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w:t>
      </w:r>
    </w:p>
    <w:p w14:paraId="3563E3F1">
      <w:pPr>
        <w:adjustRightInd w:val="0"/>
        <w:snapToGrid w:val="0"/>
        <w:spacing w:line="560" w:lineRule="exact"/>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sz w:val="32"/>
          <w:szCs w:val="32"/>
          <w:lang w:val="en-US" w:eastAsia="zh-CN"/>
        </w:rPr>
        <w:t>HNWJY-HW2026007</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26"/>
        <w:gridCol w:w="6977"/>
        <w:gridCol w:w="850"/>
      </w:tblGrid>
      <w:tr w14:paraId="387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1" w:type="dxa"/>
            <w:noWrap w:val="0"/>
            <w:vAlign w:val="center"/>
          </w:tcPr>
          <w:p w14:paraId="321C4D3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26" w:type="dxa"/>
            <w:noWrap w:val="0"/>
            <w:vAlign w:val="center"/>
          </w:tcPr>
          <w:p w14:paraId="2906356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w:t>
            </w:r>
          </w:p>
        </w:tc>
        <w:tc>
          <w:tcPr>
            <w:tcW w:w="6977" w:type="dxa"/>
            <w:noWrap w:val="0"/>
            <w:vAlign w:val="center"/>
          </w:tcPr>
          <w:p w14:paraId="1E7C6A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c>
          <w:tcPr>
            <w:tcW w:w="850" w:type="dxa"/>
            <w:noWrap w:val="0"/>
            <w:vAlign w:val="center"/>
          </w:tcPr>
          <w:p w14:paraId="273A501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tc>
      </w:tr>
      <w:tr w14:paraId="72BE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DD37F9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26" w:type="dxa"/>
            <w:noWrap w:val="0"/>
            <w:vAlign w:val="center"/>
          </w:tcPr>
          <w:p w14:paraId="2C3F2FD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响应报价</w:t>
            </w:r>
          </w:p>
        </w:tc>
        <w:tc>
          <w:tcPr>
            <w:tcW w:w="6977" w:type="dxa"/>
            <w:noWrap w:val="0"/>
            <w:vAlign w:val="center"/>
          </w:tcPr>
          <w:p w14:paraId="5BFCE4F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满足响应文件要求而且价格下浮率最大的为基准价下浮率，其价格分为满分20分。其他供应商的价格分统一按照下列公式计算：价格分=（投标价下浮率/基准下浮率）×下浮权值×100。</w:t>
            </w:r>
          </w:p>
        </w:tc>
        <w:tc>
          <w:tcPr>
            <w:tcW w:w="850" w:type="dxa"/>
            <w:noWrap w:val="0"/>
            <w:vAlign w:val="center"/>
          </w:tcPr>
          <w:p w14:paraId="03A47B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14:paraId="42C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51" w:type="dxa"/>
            <w:noWrap w:val="0"/>
            <w:vAlign w:val="center"/>
          </w:tcPr>
          <w:p w14:paraId="7D59745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6" w:type="dxa"/>
            <w:noWrap w:val="0"/>
            <w:vAlign w:val="center"/>
          </w:tcPr>
          <w:p w14:paraId="6C5D4FD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项目业绩</w:t>
            </w:r>
          </w:p>
        </w:tc>
        <w:tc>
          <w:tcPr>
            <w:tcW w:w="6977" w:type="dxa"/>
            <w:noWrap w:val="0"/>
            <w:vAlign w:val="center"/>
          </w:tcPr>
          <w:p w14:paraId="2E7E721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业绩基本要求：自投标文件递交截止之日起3年内，投标人须</w:t>
            </w:r>
            <w:r>
              <w:rPr>
                <w:rFonts w:hint="eastAsia" w:hAnsi="宋体" w:cs="宋体"/>
                <w:sz w:val="24"/>
                <w:szCs w:val="24"/>
                <w:lang w:val="en-US" w:eastAsia="zh-CN"/>
              </w:rPr>
              <w:t>提供</w:t>
            </w:r>
            <w:r>
              <w:rPr>
                <w:rFonts w:hint="eastAsia" w:ascii="宋体" w:hAnsi="宋体" w:eastAsia="宋体" w:cs="宋体"/>
                <w:sz w:val="24"/>
                <w:szCs w:val="24"/>
                <w:lang w:val="en-US" w:eastAsia="zh-CN"/>
              </w:rPr>
              <w:t>台式电脑外置摄像头批量采购相关业绩。</w:t>
            </w:r>
          </w:p>
          <w:p w14:paraId="2AE9EDC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业绩主体要求：本项目业绩须为投标人独立完成，不接受联合体业绩、转包业绩及分包业绩。若业绩为投标人分支机构完成，须提供投标人法人针对该业绩出具的有效授权证明，否则该业绩不予认可。</w:t>
            </w:r>
          </w:p>
          <w:p w14:paraId="75EF84E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业绩证明材料要求：</w:t>
            </w:r>
          </w:p>
          <w:p w14:paraId="55A869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提供完整的业绩证明材料，包括但不限于合同协议书、项目验收报告，否则该业绩不予认可。所有业绩证明材料须为原件扫描件；若提供复印件，须加盖投标人公章，原件备查。证明材料须清晰可辨、真实有效，能够明确体现项目名称、采购产品、采购数量、合同金额、完成时间、验收情况及双方签字盖章等关键信息。严禁提供虚假业绩材料，一经查实，立即取消其投标或中标资格，并由投标人承担相应法律责任。</w:t>
            </w:r>
          </w:p>
          <w:p w14:paraId="063D80A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每提供一个项目业绩得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分。不提供不得分。</w:t>
            </w:r>
          </w:p>
        </w:tc>
        <w:tc>
          <w:tcPr>
            <w:tcW w:w="850" w:type="dxa"/>
            <w:noWrap w:val="0"/>
            <w:vAlign w:val="center"/>
          </w:tcPr>
          <w:p w14:paraId="46CDF82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r>
      <w:tr w14:paraId="2B8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1" w:type="dxa"/>
            <w:noWrap w:val="0"/>
            <w:vAlign w:val="center"/>
          </w:tcPr>
          <w:p w14:paraId="068D85A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26" w:type="dxa"/>
            <w:noWrap w:val="0"/>
            <w:vAlign w:val="center"/>
          </w:tcPr>
          <w:p w14:paraId="1A8965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项目整体配置情况</w:t>
            </w:r>
          </w:p>
        </w:tc>
        <w:tc>
          <w:tcPr>
            <w:tcW w:w="6977" w:type="dxa"/>
            <w:noWrap w:val="0"/>
            <w:vAlign w:val="center"/>
          </w:tcPr>
          <w:p w14:paraId="209BB4F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（一）画质参数</w:t>
            </w:r>
            <w:r>
              <w:rPr>
                <w:rFonts w:hint="eastAsia" w:hAnsi="宋体" w:cs="宋体"/>
                <w:sz w:val="24"/>
                <w:szCs w:val="24"/>
                <w:lang w:val="en-US" w:eastAsia="zh-CN"/>
              </w:rPr>
              <w:t>（2.5分）</w:t>
            </w:r>
          </w:p>
          <w:p w14:paraId="188772D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1.分辨率：基础办公款超清；≥4K（3840×2160），投标人需明确所投产品对应分辨率档次</w:t>
            </w:r>
            <w:r>
              <w:rPr>
                <w:rFonts w:hint="eastAsia" w:hAnsi="宋体" w:cs="宋体"/>
                <w:sz w:val="24"/>
                <w:szCs w:val="24"/>
                <w:lang w:val="en-US" w:eastAsia="zh-CN"/>
              </w:rPr>
              <w:t>（1分）</w:t>
            </w:r>
          </w:p>
          <w:p w14:paraId="44FA2A6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2.帧率：需支持60fps高帧率，无画面卡顿、拖影、模糊现象</w:t>
            </w:r>
            <w:r>
              <w:rPr>
                <w:rFonts w:hint="eastAsia" w:hAnsi="宋体" w:cs="宋体"/>
                <w:sz w:val="24"/>
                <w:szCs w:val="24"/>
                <w:lang w:val="en-US" w:eastAsia="zh-CN"/>
              </w:rPr>
              <w:t>（0.7分）</w:t>
            </w:r>
          </w:p>
          <w:p w14:paraId="1F6B9F8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3.对焦方式：支持自动对焦（AF），远近物体切换清晰，无虚焦、失焦问题；支持人脸识别对焦</w:t>
            </w:r>
            <w:r>
              <w:rPr>
                <w:rFonts w:hint="eastAsia" w:hAnsi="宋体" w:cs="宋体"/>
                <w:sz w:val="24"/>
                <w:szCs w:val="24"/>
                <w:lang w:val="en-US" w:eastAsia="zh-CN"/>
              </w:rPr>
              <w:t>（0.8分）</w:t>
            </w:r>
          </w:p>
          <w:p w14:paraId="26B83E0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（二）音频配置</w:t>
            </w:r>
            <w:r>
              <w:rPr>
                <w:rFonts w:hint="eastAsia" w:hAnsi="宋体" w:cs="宋体"/>
                <w:sz w:val="24"/>
                <w:szCs w:val="24"/>
                <w:lang w:val="en-US" w:eastAsia="zh-CN"/>
              </w:rPr>
              <w:t>（2.5分）</w:t>
            </w:r>
          </w:p>
          <w:p w14:paraId="0BD5F20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1.内置麦克风：支持3米及以上远距离拾音</w:t>
            </w:r>
            <w:r>
              <w:rPr>
                <w:rFonts w:hint="eastAsia" w:hAnsi="宋体" w:cs="宋体"/>
                <w:sz w:val="24"/>
                <w:szCs w:val="24"/>
                <w:lang w:val="en-US" w:eastAsia="zh-CN"/>
              </w:rPr>
              <w:t>（1分）</w:t>
            </w:r>
          </w:p>
          <w:p w14:paraId="1FCCE49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2.音频优化：具备杂音抑制、回声消除、防啸叫功能，有效过滤环境噪音、电流声，确保线上通话、会议音质清晰</w:t>
            </w:r>
            <w:r>
              <w:rPr>
                <w:rFonts w:hint="eastAsia" w:hAnsi="宋体" w:cs="宋体"/>
                <w:sz w:val="24"/>
                <w:szCs w:val="24"/>
                <w:lang w:val="en-US" w:eastAsia="zh-CN"/>
              </w:rPr>
              <w:t>（1.5分）</w:t>
            </w:r>
          </w:p>
          <w:p w14:paraId="2EB8879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（三）镜头与感光性能</w:t>
            </w:r>
            <w:r>
              <w:rPr>
                <w:rFonts w:hint="eastAsia" w:hAnsi="宋体" w:cs="宋体"/>
                <w:sz w:val="24"/>
                <w:szCs w:val="24"/>
                <w:lang w:val="en-US" w:eastAsia="zh-CN"/>
              </w:rPr>
              <w:t>（2.5分）</w:t>
            </w:r>
          </w:p>
          <w:p w14:paraId="56086E5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1.镜头材质：采用高清镀膜玻璃镜头，无眩光、无畸变，成像清晰，优于塑料镜头</w:t>
            </w:r>
            <w:r>
              <w:rPr>
                <w:rFonts w:hint="eastAsia" w:hAnsi="宋体" w:cs="宋体"/>
                <w:sz w:val="24"/>
                <w:szCs w:val="24"/>
                <w:lang w:val="en-US" w:eastAsia="zh-CN"/>
              </w:rPr>
              <w:t>（1分）</w:t>
            </w:r>
          </w:p>
          <w:p w14:paraId="41F4319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2.视场角（FOV）：单人办公款70°–80°；投标人需根据所投产品档次明确视场角参数</w:t>
            </w:r>
            <w:r>
              <w:rPr>
                <w:rFonts w:hint="eastAsia" w:hAnsi="宋体" w:cs="宋体"/>
                <w:sz w:val="24"/>
                <w:szCs w:val="24"/>
                <w:lang w:val="en-US" w:eastAsia="zh-CN"/>
              </w:rPr>
              <w:t>（0.7分）</w:t>
            </w:r>
          </w:p>
          <w:p w14:paraId="2EEE74C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hAnsi="宋体" w:cs="宋体"/>
                <w:sz w:val="24"/>
                <w:szCs w:val="24"/>
                <w:lang w:val="en-US" w:eastAsia="zh-CN"/>
              </w:rPr>
            </w:pPr>
            <w:r>
              <w:rPr>
                <w:rFonts w:hint="eastAsia" w:ascii="宋体" w:hAnsi="宋体" w:eastAsia="宋体" w:cs="宋体"/>
                <w:sz w:val="24"/>
                <w:szCs w:val="24"/>
                <w:lang w:val="en-US" w:eastAsia="zh-CN"/>
              </w:rPr>
              <w:t>3.感光能力：支持弱光增强、背光补偿功能，自动增益调节，阴天、夜间、背光环境下画面清晰不发黑、不泛白；</w:t>
            </w:r>
            <w:r>
              <w:rPr>
                <w:rFonts w:hint="eastAsia" w:hAnsi="宋体" w:cs="宋体"/>
                <w:sz w:val="24"/>
                <w:szCs w:val="24"/>
                <w:lang w:val="en-US" w:eastAsia="zh-CN"/>
              </w:rPr>
              <w:t>（0.8分）</w:t>
            </w:r>
          </w:p>
          <w:p w14:paraId="0982E6B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（四）接口与兼容性</w:t>
            </w:r>
            <w:r>
              <w:rPr>
                <w:rFonts w:hint="eastAsia" w:hAnsi="宋体" w:cs="宋体"/>
                <w:sz w:val="24"/>
                <w:szCs w:val="24"/>
                <w:lang w:val="en-US" w:eastAsia="zh-CN"/>
              </w:rPr>
              <w:t>（2.5分）</w:t>
            </w:r>
          </w:p>
          <w:p w14:paraId="29FD9C8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1.接口类型：采用USB2.0或USB3.0接口，支持USB-A接口（台式机通用），免驱即插即用，无需额外安装复杂驱动程序</w:t>
            </w:r>
            <w:r>
              <w:rPr>
                <w:rFonts w:hint="eastAsia" w:hAnsi="宋体" w:cs="宋体"/>
                <w:sz w:val="24"/>
                <w:szCs w:val="24"/>
                <w:lang w:val="en-US" w:eastAsia="zh-CN"/>
              </w:rPr>
              <w:t>（1分）</w:t>
            </w:r>
          </w:p>
          <w:p w14:paraId="5F37FB3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2.系统兼容：全面兼容Windows全系列（Windows10及以上优先）、国产操作系统（麒麟、统信）、MacOS、Linux，无兼容性故障</w:t>
            </w:r>
            <w:r>
              <w:rPr>
                <w:rFonts w:hint="eastAsia" w:hAnsi="宋体" w:cs="宋体"/>
                <w:sz w:val="24"/>
                <w:szCs w:val="24"/>
                <w:lang w:val="en-US" w:eastAsia="zh-CN"/>
              </w:rPr>
              <w:t>（0.7分）</w:t>
            </w:r>
          </w:p>
          <w:p w14:paraId="03C8510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3.软件适配：兼容腾讯会议、钉钉、Zoom、企业微信、抖音直播、OBS等主流办公、直播软件，可正常调用摄像头、麦克风功能</w:t>
            </w:r>
            <w:r>
              <w:rPr>
                <w:rFonts w:hint="eastAsia" w:hAnsi="宋体" w:cs="宋体"/>
                <w:sz w:val="24"/>
                <w:szCs w:val="24"/>
                <w:lang w:val="en-US" w:eastAsia="zh-CN"/>
              </w:rPr>
              <w:t>（0.8分）</w:t>
            </w:r>
          </w:p>
          <w:p w14:paraId="2850B3C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（五）安装与外观</w:t>
            </w:r>
            <w:r>
              <w:rPr>
                <w:rFonts w:hint="eastAsia" w:hAnsi="宋体" w:cs="宋体"/>
                <w:sz w:val="24"/>
                <w:szCs w:val="24"/>
                <w:lang w:val="en-US" w:eastAsia="zh-CN"/>
              </w:rPr>
              <w:t>（2.5分）</w:t>
            </w:r>
          </w:p>
          <w:p w14:paraId="5BD5AD7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1.安装方式：支持显示器卡扣式、桌面摆放、三脚架螺丝孔三合一安装，适配不同台式机使用场景。</w:t>
            </w:r>
            <w:r>
              <w:rPr>
                <w:rFonts w:hint="eastAsia" w:hAnsi="宋体" w:cs="宋体"/>
                <w:sz w:val="24"/>
                <w:szCs w:val="24"/>
                <w:lang w:val="en-US" w:eastAsia="zh-CN"/>
              </w:rPr>
              <w:t>（1.5分）</w:t>
            </w:r>
          </w:p>
          <w:p w14:paraId="7EA8333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2.角度调节：可上下俯仰旋转、左右角度调节，支持360°水平旋转，方便调整取景角度</w:t>
            </w:r>
            <w:r>
              <w:rPr>
                <w:rFonts w:hint="eastAsia" w:hAnsi="宋体" w:cs="宋体"/>
                <w:sz w:val="24"/>
                <w:szCs w:val="24"/>
                <w:lang w:val="en-US" w:eastAsia="zh-CN"/>
              </w:rPr>
              <w:t>（1分）</w:t>
            </w:r>
          </w:p>
          <w:p w14:paraId="172F9EB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（六）硬件与供电</w:t>
            </w:r>
            <w:r>
              <w:rPr>
                <w:rFonts w:hint="eastAsia" w:hAnsi="宋体" w:cs="宋体"/>
                <w:sz w:val="24"/>
                <w:szCs w:val="24"/>
                <w:lang w:val="en-US" w:eastAsia="zh-CN"/>
              </w:rPr>
              <w:t>（2.5分）</w:t>
            </w:r>
          </w:p>
          <w:p w14:paraId="6F3F99E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1.供电方式：USB有线供电，无需外接电源，供电稳定，无断连、重启现象</w:t>
            </w:r>
            <w:r>
              <w:rPr>
                <w:rFonts w:hint="eastAsia" w:hAnsi="宋体" w:cs="宋体"/>
                <w:sz w:val="24"/>
                <w:szCs w:val="24"/>
                <w:lang w:val="en-US" w:eastAsia="zh-CN"/>
              </w:rPr>
              <w:t>（1.5分）</w:t>
            </w:r>
          </w:p>
          <w:p w14:paraId="013D986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hAnsi="宋体" w:cs="宋体"/>
                <w:sz w:val="24"/>
                <w:szCs w:val="24"/>
                <w:lang w:val="en-US" w:eastAsia="zh-CN"/>
              </w:rPr>
            </w:pPr>
            <w:r>
              <w:rPr>
                <w:rFonts w:hint="eastAsia" w:ascii="宋体" w:hAnsi="宋体" w:eastAsia="宋体" w:cs="宋体"/>
                <w:sz w:val="24"/>
                <w:szCs w:val="24"/>
                <w:lang w:val="en-US" w:eastAsia="zh-CN"/>
              </w:rPr>
              <w:t>2.线材要求：线材长度≥1.5米，质地柔韧，支持台式机机箱后置走线，不易断裂、脱落</w:t>
            </w:r>
            <w:r>
              <w:rPr>
                <w:rFonts w:hint="eastAsia" w:hAnsi="宋体" w:cs="宋体"/>
                <w:sz w:val="24"/>
                <w:szCs w:val="24"/>
                <w:lang w:val="en-US" w:eastAsia="zh-CN"/>
              </w:rPr>
              <w:t>。（1分）</w:t>
            </w:r>
          </w:p>
          <w:p w14:paraId="618232CC">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ascii="宋体" w:hAnsi="宋体" w:eastAsia="宋体" w:cs="宋体"/>
                <w:bCs/>
                <w:kern w:val="0"/>
                <w:sz w:val="24"/>
                <w:szCs w:val="24"/>
                <w:lang w:val="en-US" w:eastAsia="zh-CN" w:bidi="ar"/>
              </w:rPr>
            </w:pPr>
            <w:r>
              <w:rPr>
                <w:rFonts w:hint="eastAsia" w:hAnsi="宋体" w:cs="宋体"/>
                <w:sz w:val="24"/>
                <w:szCs w:val="24"/>
                <w:lang w:val="en-US" w:eastAsia="zh-CN"/>
              </w:rPr>
              <w:t>需现场</w:t>
            </w:r>
            <w:r>
              <w:rPr>
                <w:rFonts w:ascii="宋体" w:hAnsi="宋体" w:eastAsia="宋体" w:cs="宋体"/>
                <w:bCs/>
                <w:kern w:val="0"/>
                <w:sz w:val="24"/>
                <w:szCs w:val="24"/>
                <w:lang w:val="en-US" w:eastAsia="zh-CN" w:bidi="ar"/>
              </w:rPr>
              <w:t>提供产品样品、合格证、第三方检测报告等相关资料，积极配合甲方完成产品质量、规格等各项检查事宜，确保检查工作顺利推进。</w:t>
            </w:r>
          </w:p>
          <w:p w14:paraId="39283C0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kern w:val="0"/>
                <w:sz w:val="24"/>
                <w:szCs w:val="24"/>
                <w:lang w:val="en-US" w:eastAsia="zh-CN" w:bidi="ar"/>
              </w:rPr>
            </w:pPr>
            <w:r>
              <w:rPr>
                <w:rFonts w:hint="eastAsia" w:hAnsi="宋体" w:cs="宋体"/>
                <w:sz w:val="24"/>
                <w:szCs w:val="24"/>
                <w:lang w:val="en-US" w:eastAsia="zh-CN"/>
              </w:rPr>
              <w:t>届时将协同信管中心人员现场对每一项具体打分，</w:t>
            </w:r>
            <w:r>
              <w:rPr>
                <w:rFonts w:hint="eastAsia" w:ascii="宋体" w:hAnsi="宋体" w:eastAsia="宋体" w:cs="宋体"/>
                <w:sz w:val="24"/>
                <w:szCs w:val="24"/>
              </w:rPr>
              <w:t>每</w:t>
            </w:r>
            <w:r>
              <w:rPr>
                <w:rFonts w:hint="eastAsia" w:hAnsi="宋体" w:cs="宋体"/>
                <w:sz w:val="24"/>
                <w:szCs w:val="24"/>
                <w:lang w:val="en-US" w:eastAsia="zh-CN"/>
              </w:rPr>
              <w:t>一</w:t>
            </w:r>
            <w:r>
              <w:rPr>
                <w:rFonts w:hint="eastAsia" w:ascii="宋体" w:hAnsi="宋体" w:eastAsia="宋体" w:cs="宋体"/>
                <w:sz w:val="24"/>
                <w:szCs w:val="24"/>
              </w:rPr>
              <w:t>项目得</w:t>
            </w:r>
            <w:r>
              <w:rPr>
                <w:rFonts w:hint="eastAsia" w:hAnsi="宋体" w:cs="宋体"/>
                <w:sz w:val="24"/>
                <w:szCs w:val="24"/>
                <w:lang w:val="en-US" w:eastAsia="zh-CN"/>
              </w:rPr>
              <w:t>2.5</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850" w:type="dxa"/>
            <w:noWrap w:val="0"/>
            <w:vAlign w:val="center"/>
          </w:tcPr>
          <w:p w14:paraId="4EE0996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7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16B3E7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26" w:type="dxa"/>
            <w:noWrap w:val="0"/>
            <w:vAlign w:val="center"/>
          </w:tcPr>
          <w:p w14:paraId="4F25C3B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项目需求理解</w:t>
            </w:r>
          </w:p>
        </w:tc>
        <w:tc>
          <w:tcPr>
            <w:tcW w:w="6977" w:type="dxa"/>
            <w:noWrap w:val="0"/>
            <w:vAlign w:val="center"/>
          </w:tcPr>
          <w:p w14:paraId="045DF84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结合用户需求制定项目总体理解包括但不限于项目需求理解、响应计划、工作服务方案等，进行综合评分：</w:t>
            </w:r>
          </w:p>
          <w:p w14:paraId="411D7923">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投标人对项目需求理解清楚、响应计划匹配性较好、工作服务方案完整且具有较强针对性，对采购方需求把握全面、深入，得10分；</w:t>
            </w:r>
          </w:p>
          <w:p w14:paraId="587CD71A">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投标人对项目需求理解比较清楚、响应计划基本匹配、工作服务方案相对完整，对采购方需求把握比较全面，得</w:t>
            </w:r>
            <w:r>
              <w:rPr>
                <w:rFonts w:hint="eastAsia" w:hAnsi="宋体" w:cs="宋体"/>
                <w:sz w:val="24"/>
                <w:szCs w:val="24"/>
                <w:lang w:val="en-US" w:eastAsia="zh-CN"/>
              </w:rPr>
              <w:t>6</w:t>
            </w:r>
            <w:r>
              <w:rPr>
                <w:rFonts w:ascii="宋体" w:hAnsi="宋体" w:eastAsia="宋体" w:cs="宋体"/>
                <w:sz w:val="24"/>
                <w:szCs w:val="24"/>
              </w:rPr>
              <w:t>分；</w:t>
            </w:r>
          </w:p>
          <w:p w14:paraId="43AC9DEF">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3.投标人对项目需求理解基本清楚、响应计划匹配性一般、工作服务方案完整性一般，得</w:t>
            </w:r>
            <w:r>
              <w:rPr>
                <w:rFonts w:hint="eastAsia" w:hAnsi="宋体" w:cs="宋体"/>
                <w:sz w:val="24"/>
                <w:szCs w:val="24"/>
                <w:lang w:val="en-US" w:eastAsia="zh-CN"/>
              </w:rPr>
              <w:t>2</w:t>
            </w:r>
            <w:r>
              <w:rPr>
                <w:rFonts w:ascii="宋体" w:hAnsi="宋体" w:eastAsia="宋体" w:cs="宋体"/>
                <w:sz w:val="24"/>
                <w:szCs w:val="24"/>
              </w:rPr>
              <w:t>分；</w:t>
            </w:r>
          </w:p>
          <w:p w14:paraId="67BC415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4.不提供不得分。</w:t>
            </w:r>
          </w:p>
        </w:tc>
        <w:tc>
          <w:tcPr>
            <w:tcW w:w="850" w:type="dxa"/>
            <w:noWrap w:val="0"/>
            <w:vAlign w:val="center"/>
          </w:tcPr>
          <w:p w14:paraId="3A1D2AF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3EA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2E3D8AA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26" w:type="dxa"/>
            <w:noWrap w:val="0"/>
            <w:vAlign w:val="center"/>
          </w:tcPr>
          <w:p w14:paraId="52D0C39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项目技术方案</w:t>
            </w:r>
          </w:p>
        </w:tc>
        <w:tc>
          <w:tcPr>
            <w:tcW w:w="6977" w:type="dxa"/>
            <w:noWrap w:val="0"/>
            <w:vAlign w:val="center"/>
          </w:tcPr>
          <w:p w14:paraId="6FE2C33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对投标人结合用户需求提出的项目总体设计、工作思路、技术路线分析以及是否能实现落地可执行的建设目标等，进行综合评分：</w:t>
            </w:r>
          </w:p>
          <w:p w14:paraId="207746A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hAnsi="宋体" w:cs="宋体"/>
                <w:sz w:val="24"/>
                <w:szCs w:val="24"/>
                <w:lang w:val="en-US" w:eastAsia="zh-CN"/>
              </w:rPr>
              <w:t>1.</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批量供货、适配性强、售后可靠的要求，保障设备统一规格、稳定运行，适配各类台式电脑机型，满足日常使用及相关工作需求</w:t>
            </w:r>
            <w:r>
              <w:rPr>
                <w:rFonts w:ascii="宋体" w:hAnsi="宋体" w:eastAsia="宋体" w:cs="宋体"/>
                <w:sz w:val="24"/>
                <w:szCs w:val="24"/>
              </w:rPr>
              <w:t>，得15分；</w:t>
            </w:r>
          </w:p>
          <w:p w14:paraId="75B09D1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2</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使用，需满足质量达标</w:t>
            </w:r>
            <w:r>
              <w:rPr>
                <w:rFonts w:hint="eastAsia" w:hAnsi="宋体" w:cs="宋体"/>
                <w:sz w:val="24"/>
                <w:szCs w:val="24"/>
                <w:lang w:val="en-US" w:eastAsia="zh-CN"/>
              </w:rPr>
              <w:t>、经久耐用、</w:t>
            </w:r>
            <w:r>
              <w:rPr>
                <w:rFonts w:hint="eastAsia" w:ascii="宋体" w:hAnsi="宋体" w:eastAsia="宋体" w:cs="宋体"/>
                <w:sz w:val="24"/>
                <w:szCs w:val="24"/>
                <w:lang w:val="en-US" w:eastAsia="zh-CN"/>
              </w:rPr>
              <w:t>批量供货、适配性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较</w:t>
            </w:r>
            <w:r>
              <w:rPr>
                <w:rFonts w:hint="eastAsia" w:ascii="宋体" w:hAnsi="宋体" w:eastAsia="宋体" w:cs="宋体"/>
                <w:sz w:val="24"/>
                <w:szCs w:val="24"/>
                <w:lang w:val="en-US" w:eastAsia="zh-CN"/>
              </w:rPr>
              <w:t>可靠的要求，保障设备统一规格、稳定运行，适配各类台式电脑机型，满足日常使用及相关工作需求</w:t>
            </w:r>
            <w:r>
              <w:rPr>
                <w:rFonts w:ascii="宋体" w:hAnsi="宋体" w:eastAsia="宋体" w:cs="宋体"/>
                <w:sz w:val="24"/>
                <w:szCs w:val="24"/>
              </w:rPr>
              <w:t>较好，得10分；</w:t>
            </w:r>
          </w:p>
          <w:p w14:paraId="2DA97FE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3</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w:t>
            </w:r>
            <w:r>
              <w:rPr>
                <w:rFonts w:hint="eastAsia" w:hAnsi="宋体" w:cs="宋体"/>
                <w:sz w:val="24"/>
                <w:szCs w:val="24"/>
                <w:lang w:val="en-US" w:eastAsia="zh-CN"/>
              </w:rPr>
              <w:t>一般、不耐用</w:t>
            </w:r>
            <w:r>
              <w:rPr>
                <w:rFonts w:hint="eastAsia" w:ascii="宋体" w:hAnsi="宋体" w:eastAsia="宋体" w:cs="宋体"/>
                <w:sz w:val="24"/>
                <w:szCs w:val="24"/>
                <w:lang w:val="en-US" w:eastAsia="zh-CN"/>
              </w:rPr>
              <w:t>、适配性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一般</w:t>
            </w:r>
            <w:r>
              <w:rPr>
                <w:rFonts w:ascii="宋体" w:hAnsi="宋体" w:eastAsia="宋体" w:cs="宋体"/>
                <w:sz w:val="24"/>
                <w:szCs w:val="24"/>
              </w:rPr>
              <w:t>，得5分；</w:t>
            </w:r>
          </w:p>
          <w:p w14:paraId="37ED3EC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4</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不提供不得分。</w:t>
            </w:r>
          </w:p>
        </w:tc>
        <w:tc>
          <w:tcPr>
            <w:tcW w:w="850" w:type="dxa"/>
            <w:noWrap w:val="0"/>
            <w:vAlign w:val="center"/>
          </w:tcPr>
          <w:p w14:paraId="4560418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CA3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36A2D08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26" w:type="dxa"/>
            <w:noWrap w:val="0"/>
            <w:vAlign w:val="center"/>
          </w:tcPr>
          <w:p w14:paraId="15502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工作重点、难点及其解决措施</w:t>
            </w:r>
          </w:p>
        </w:tc>
        <w:tc>
          <w:tcPr>
            <w:tcW w:w="6977" w:type="dxa"/>
            <w:noWrap w:val="0"/>
            <w:vAlign w:val="center"/>
          </w:tcPr>
          <w:p w14:paraId="5493F96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综合评价投标人对项目实施过程中遇到的重点、难点问题理解把握程度以及解决措施合理性、可行性、针对性等：</w:t>
            </w:r>
          </w:p>
          <w:p w14:paraId="445BE7D5">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投标人对本项目重点（如</w:t>
            </w:r>
            <w:r>
              <w:rPr>
                <w:rFonts w:hint="eastAsia" w:ascii="宋体" w:hAnsi="宋体" w:eastAsia="宋体" w:cs="宋体"/>
                <w:sz w:val="24"/>
                <w:szCs w:val="24"/>
                <w:lang w:val="en-US" w:eastAsia="zh-CN"/>
              </w:rPr>
              <w:t>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w:t>
            </w:r>
            <w:r>
              <w:rPr>
                <w:rFonts w:hint="eastAsia" w:hAnsi="宋体" w:cs="宋体"/>
                <w:sz w:val="24"/>
                <w:szCs w:val="24"/>
                <w:lang w:val="en-US" w:eastAsia="zh-CN"/>
              </w:rPr>
              <w:t>，质</w:t>
            </w:r>
            <w:r>
              <w:rPr>
                <w:rFonts w:hint="eastAsia" w:ascii="宋体" w:hAnsi="宋体" w:eastAsia="宋体" w:cs="宋体"/>
                <w:sz w:val="24"/>
                <w:szCs w:val="24"/>
                <w:lang w:val="en-US" w:eastAsia="zh-CN"/>
              </w:rPr>
              <w:t>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）、难点（</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）理解深刻，提出的解决措施科学合理、客观可行且针对性强，得15分；</w:t>
            </w:r>
          </w:p>
          <w:p w14:paraId="75676342">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投标人对本项目重点、难点问题基本理解，提出的解决措施基本可行，能覆盖主要问题，得10分；</w:t>
            </w:r>
          </w:p>
          <w:p w14:paraId="5BA8CB08">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投标人对本项目重点、难点问题有一定理解，提出相应解决措施，但针对性和可行性一般，得5分；</w:t>
            </w:r>
          </w:p>
          <w:p w14:paraId="45543063">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5C2C8D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18E2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1C3199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26" w:type="dxa"/>
            <w:noWrap w:val="0"/>
            <w:vAlign w:val="center"/>
          </w:tcPr>
          <w:p w14:paraId="2590057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工作进度计划安排及保障措施</w:t>
            </w:r>
          </w:p>
        </w:tc>
        <w:tc>
          <w:tcPr>
            <w:tcW w:w="6977" w:type="dxa"/>
            <w:noWrap w:val="0"/>
            <w:vAlign w:val="center"/>
          </w:tcPr>
          <w:p w14:paraId="144DC13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综合评价投标人的工作进度计划安排及保障措施情况：</w:t>
            </w:r>
          </w:p>
          <w:p w14:paraId="3A69E9AC">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工作进度计划安排及保障措施适用性强，贴合</w:t>
            </w:r>
            <w:r>
              <w:rPr>
                <w:rFonts w:hint="eastAsia" w:ascii="宋体" w:hAnsi="宋体" w:eastAsia="宋体" w:cs="宋体"/>
                <w:sz w:val="24"/>
                <w:szCs w:val="24"/>
                <w:lang w:val="en-US" w:eastAsia="zh-CN"/>
              </w:rPr>
              <w:t>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w:t>
            </w:r>
            <w:r>
              <w:rPr>
                <w:rFonts w:ascii="宋体" w:hAnsi="宋体" w:eastAsia="宋体" w:cs="宋体"/>
                <w:sz w:val="24"/>
                <w:szCs w:val="24"/>
              </w:rPr>
              <w:t>全流程（含</w:t>
            </w:r>
            <w:r>
              <w:rPr>
                <w:rFonts w:hint="eastAsia" w:hAnsi="宋体" w:cs="宋体"/>
                <w:sz w:val="24"/>
                <w:szCs w:val="24"/>
                <w:lang w:val="en-US" w:eastAsia="zh-CN"/>
              </w:rPr>
              <w:t>质</w:t>
            </w:r>
            <w:r>
              <w:rPr>
                <w:rFonts w:hint="eastAsia" w:ascii="宋体" w:hAnsi="宋体" w:eastAsia="宋体" w:cs="宋体"/>
                <w:sz w:val="24"/>
                <w:szCs w:val="24"/>
                <w:lang w:val="en-US" w:eastAsia="zh-CN"/>
              </w:rPr>
              <w:t>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等），</w:t>
            </w:r>
            <w:r>
              <w:rPr>
                <w:rFonts w:hint="eastAsia" w:hAnsi="宋体" w:cs="宋体"/>
                <w:sz w:val="24"/>
                <w:szCs w:val="24"/>
                <w:lang w:val="en-US" w:eastAsia="zh-CN"/>
              </w:rPr>
              <w:t>与</w:t>
            </w:r>
            <w:r>
              <w:rPr>
                <w:rFonts w:ascii="宋体" w:hAnsi="宋体" w:eastAsia="宋体" w:cs="宋体"/>
                <w:sz w:val="24"/>
                <w:szCs w:val="24"/>
              </w:rPr>
              <w:t>采购方需求高度契合，得10分；</w:t>
            </w:r>
          </w:p>
          <w:p w14:paraId="549E8FF0">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2.工作进度计划安排及保障措施适用性较强，</w:t>
            </w:r>
            <w:r>
              <w:rPr>
                <w:rFonts w:hint="eastAsia" w:ascii="宋体" w:hAnsi="宋体" w:eastAsia="宋体" w:cs="宋体"/>
                <w:sz w:val="24"/>
                <w:szCs w:val="24"/>
                <w:lang w:val="en-US" w:eastAsia="zh-CN"/>
              </w:rPr>
              <w:t>满足质量达标</w:t>
            </w:r>
            <w:r>
              <w:rPr>
                <w:rFonts w:ascii="宋体" w:hAnsi="宋体" w:eastAsia="宋体" w:cs="宋体"/>
                <w:sz w:val="24"/>
                <w:szCs w:val="24"/>
              </w:rPr>
              <w:t>，</w:t>
            </w:r>
            <w:r>
              <w:rPr>
                <w:rFonts w:hint="eastAsia" w:hAnsi="宋体" w:cs="宋体"/>
                <w:sz w:val="24"/>
                <w:szCs w:val="24"/>
                <w:lang w:val="en-US" w:eastAsia="zh-CN"/>
              </w:rPr>
              <w:t>经久耐用</w:t>
            </w:r>
            <w:r>
              <w:rPr>
                <w:rFonts w:hint="eastAsia" w:ascii="宋体" w:hAnsi="宋体" w:eastAsia="宋体" w:cs="宋体"/>
                <w:sz w:val="24"/>
                <w:szCs w:val="24"/>
                <w:lang w:val="en-US" w:eastAsia="zh-CN"/>
              </w:rPr>
              <w:t>、适配性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较</w:t>
            </w:r>
            <w:r>
              <w:rPr>
                <w:rFonts w:hint="eastAsia" w:ascii="宋体" w:hAnsi="宋体" w:eastAsia="宋体" w:cs="宋体"/>
                <w:sz w:val="24"/>
                <w:szCs w:val="24"/>
                <w:lang w:val="en-US" w:eastAsia="zh-CN"/>
              </w:rPr>
              <w:t>可靠的要求</w:t>
            </w:r>
            <w:r>
              <w:rPr>
                <w:rFonts w:ascii="宋体" w:hAnsi="宋体" w:eastAsia="宋体" w:cs="宋体"/>
                <w:sz w:val="24"/>
                <w:szCs w:val="24"/>
              </w:rPr>
              <w:t>得6分；</w:t>
            </w:r>
          </w:p>
          <w:p w14:paraId="6A5B6B08">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3.工作进度计划安排及保障措施适用性差，未充分</w:t>
            </w:r>
            <w:r>
              <w:rPr>
                <w:rFonts w:hint="eastAsia" w:hAnsi="宋体" w:cs="宋体"/>
                <w:sz w:val="24"/>
                <w:szCs w:val="24"/>
                <w:lang w:val="en-US" w:eastAsia="zh-CN"/>
              </w:rPr>
              <w:t>满足</w:t>
            </w:r>
            <w:r>
              <w:rPr>
                <w:rFonts w:hint="eastAsia" w:ascii="宋体" w:hAnsi="宋体" w:eastAsia="宋体" w:cs="宋体"/>
                <w:sz w:val="24"/>
                <w:szCs w:val="24"/>
                <w:lang w:val="en-US" w:eastAsia="zh-CN"/>
              </w:rPr>
              <w:t>质量</w:t>
            </w:r>
            <w:r>
              <w:rPr>
                <w:rFonts w:hint="eastAsia" w:hAnsi="宋体" w:cs="宋体"/>
                <w:sz w:val="24"/>
                <w:szCs w:val="24"/>
                <w:lang w:val="en-US" w:eastAsia="zh-CN"/>
              </w:rPr>
              <w:t>，经久耐用性</w:t>
            </w:r>
            <w:r>
              <w:rPr>
                <w:rFonts w:hint="eastAsia" w:ascii="宋体" w:hAnsi="宋体" w:eastAsia="宋体" w:cs="宋体"/>
                <w:sz w:val="24"/>
                <w:szCs w:val="24"/>
                <w:lang w:val="en-US" w:eastAsia="zh-CN"/>
              </w:rPr>
              <w:t>、适配性、售后</w:t>
            </w:r>
            <w:r>
              <w:rPr>
                <w:rFonts w:hint="eastAsia" w:hAnsi="宋体" w:cs="宋体"/>
                <w:sz w:val="24"/>
                <w:szCs w:val="24"/>
                <w:lang w:val="en-US" w:eastAsia="zh-CN"/>
              </w:rPr>
              <w:t>等</w:t>
            </w:r>
            <w:r>
              <w:rPr>
                <w:rFonts w:ascii="宋体" w:hAnsi="宋体" w:eastAsia="宋体" w:cs="宋体"/>
                <w:sz w:val="24"/>
                <w:szCs w:val="24"/>
              </w:rPr>
              <w:t>，得2分；</w:t>
            </w:r>
          </w:p>
          <w:p w14:paraId="6D718CC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4.不提供不得分。</w:t>
            </w:r>
          </w:p>
        </w:tc>
        <w:tc>
          <w:tcPr>
            <w:tcW w:w="850" w:type="dxa"/>
            <w:noWrap w:val="0"/>
            <w:vAlign w:val="center"/>
          </w:tcPr>
          <w:p w14:paraId="0F0157A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62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4" w:type="dxa"/>
            <w:gridSpan w:val="3"/>
            <w:noWrap w:val="0"/>
            <w:vAlign w:val="center"/>
          </w:tcPr>
          <w:p w14:paraId="3FC53B9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w:t>
            </w:r>
          </w:p>
        </w:tc>
        <w:tc>
          <w:tcPr>
            <w:tcW w:w="850" w:type="dxa"/>
            <w:noWrap w:val="0"/>
            <w:vAlign w:val="center"/>
          </w:tcPr>
          <w:p w14:paraId="4B9E6F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100分</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hint="eastAsia" w:ascii="仿宋" w:hAnsi="仿宋" w:eastAsia="仿宋" w:cs="仿宋"/>
          <w:sz w:val="44"/>
          <w:lang w:eastAsia="zh-CN"/>
        </w:rPr>
      </w:pPr>
      <w:bookmarkStart w:id="40" w:name="_Toc22407"/>
      <w:r>
        <w:rPr>
          <w:rFonts w:hint="eastAsia" w:ascii="仿宋" w:hAnsi="仿宋" w:eastAsia="仿宋" w:cs="仿宋"/>
          <w:sz w:val="44"/>
        </w:rPr>
        <w:t>第四部分授予合同</w:t>
      </w:r>
      <w:bookmarkEnd w:id="36"/>
      <w:bookmarkEnd w:id="37"/>
      <w:bookmarkEnd w:id="40"/>
      <w:r>
        <w:rPr>
          <w:rFonts w:hint="eastAsia" w:ascii="仿宋" w:hAnsi="仿宋" w:eastAsia="仿宋" w:cs="仿宋"/>
          <w:sz w:val="44"/>
          <w:lang w:eastAsia="zh-CN"/>
        </w:rPr>
        <w:t>（参考模板）</w:t>
      </w:r>
    </w:p>
    <w:p w14:paraId="62F99962">
      <w:pPr>
        <w:adjustRightInd w:val="0"/>
        <w:snapToGrid w:val="0"/>
        <w:spacing w:line="560" w:lineRule="exact"/>
        <w:ind w:firstLine="640" w:firstLineChars="200"/>
        <w:rPr>
          <w:rFonts w:ascii="仿宋" w:hAnsi="仿宋" w:eastAsia="仿宋" w:cs="仿宋"/>
          <w:sz w:val="32"/>
          <w:szCs w:val="32"/>
        </w:rPr>
      </w:pPr>
      <w:bookmarkStart w:id="41" w:name="_Toc8997"/>
      <w:bookmarkStart w:id="42" w:name="_Toc325620721"/>
      <w:bookmarkStart w:id="43" w:name="_Toc332979562"/>
    </w:p>
    <w:p w14:paraId="4CCDDE4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108D00E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695DE2A4">
      <w:pPr>
        <w:adjustRightInd w:val="0"/>
        <w:snapToGrid w:val="0"/>
        <w:spacing w:line="560" w:lineRule="exact"/>
        <w:ind w:firstLine="640" w:firstLineChars="200"/>
        <w:rPr>
          <w:rFonts w:hint="eastAsia" w:ascii="黑体" w:hAnsi="黑体" w:eastAsia="黑体" w:cs="黑体"/>
          <w:sz w:val="32"/>
          <w:szCs w:val="32"/>
        </w:rPr>
      </w:pPr>
      <w:bookmarkStart w:id="44" w:name="_Toc16534"/>
      <w:bookmarkStart w:id="45" w:name="_Toc332979563"/>
      <w:bookmarkStart w:id="46" w:name="_Toc325620722"/>
      <w:r>
        <w:rPr>
          <w:rFonts w:hint="eastAsia" w:ascii="黑体" w:hAnsi="黑体" w:eastAsia="黑体" w:cs="黑体"/>
          <w:sz w:val="32"/>
          <w:szCs w:val="32"/>
        </w:rPr>
        <w:t>二、</w:t>
      </w:r>
      <w:bookmarkEnd w:id="11"/>
      <w:bookmarkEnd w:id="12"/>
      <w:bookmarkEnd w:id="13"/>
      <w:bookmarkEnd w:id="14"/>
      <w:bookmarkEnd w:id="15"/>
      <w:bookmarkEnd w:id="16"/>
      <w:bookmarkEnd w:id="44"/>
      <w:bookmarkEnd w:id="45"/>
      <w:bookmarkEnd w:id="46"/>
      <w:bookmarkStart w:id="47" w:name="_Toc356491327"/>
      <w:bookmarkStart w:id="48" w:name="_Toc325620723"/>
      <w:bookmarkStart w:id="49" w:name="_Toc356490388"/>
      <w:bookmarkStart w:id="50" w:name="_Toc40089798"/>
      <w:bookmarkStart w:id="51" w:name="_Toc905"/>
      <w:r>
        <w:rPr>
          <w:rFonts w:hint="eastAsia" w:ascii="黑体" w:hAnsi="黑体" w:eastAsia="黑体" w:cs="黑体"/>
          <w:sz w:val="32"/>
          <w:szCs w:val="32"/>
        </w:rPr>
        <w:t>合同履行</w:t>
      </w:r>
    </w:p>
    <w:p w14:paraId="55AFC69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成交供应商应严格按照合同约定的服务内容、质量标准、服务期限等履行义务，确保按时交付合格的可行性研究报告；</w:t>
      </w:r>
    </w:p>
    <w:p w14:paraId="309566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通过采购人组织的内部评审及相关部门的审批（如涉及），若因成交供应商原因导致报告未通过评审或审批的，成交供应商需在规定时间内无偿修改完善，直至通过，若逾期未完成或修改后仍不符合要求的，采购人有权解除合同并要求赔偿损失；</w:t>
      </w:r>
    </w:p>
    <w:p w14:paraId="34F6227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合同履行过程中，任何一方不得擅自变更合同内容，如需变更，需经双方协商一致并签订书面补充协议。</w:t>
      </w:r>
    </w:p>
    <w:p w14:paraId="4C6D2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三、付款方式</w:t>
      </w:r>
    </w:p>
    <w:p w14:paraId="7D51299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本项目付款方式分两期支付：（1）第一期：合同签订生效后10个工作日内，乙方应向甲方开具合同总金额40%的合格增值税发票；甲方在收到上述合格发票之日起3个工作日内，向乙方支付合同总金额的 40% 作为预付款；（2）第二期：</w:t>
      </w:r>
      <w:r>
        <w:rPr>
          <w:rFonts w:hint="eastAsia" w:ascii="仿宋" w:hAnsi="仿宋" w:eastAsia="仿宋" w:cs="仿宋"/>
          <w:sz w:val="32"/>
          <w:szCs w:val="32"/>
          <w:lang w:eastAsia="zh-CN"/>
        </w:rPr>
        <w:t>乙方</w:t>
      </w:r>
      <w:r>
        <w:rPr>
          <w:rFonts w:hint="eastAsia" w:ascii="仿宋" w:hAnsi="仿宋" w:eastAsia="仿宋" w:cs="仿宋"/>
          <w:sz w:val="32"/>
          <w:szCs w:val="32"/>
        </w:rPr>
        <w:t>交付合格的可行性研究报告并通过采购人验收后15个工作日内，开具合格增值税发票</w:t>
      </w:r>
      <w:r>
        <w:rPr>
          <w:rFonts w:hint="eastAsia" w:ascii="仿宋" w:hAnsi="仿宋" w:eastAsia="仿宋" w:cs="仿宋"/>
          <w:sz w:val="32"/>
          <w:szCs w:val="32"/>
          <w:lang w:eastAsia="zh-CN"/>
        </w:rPr>
        <w:t>，</w:t>
      </w:r>
      <w:r>
        <w:rPr>
          <w:rFonts w:hint="eastAsia" w:ascii="仿宋" w:hAnsi="仿宋" w:eastAsia="仿宋" w:cs="仿宋"/>
          <w:sz w:val="32"/>
          <w:szCs w:val="32"/>
        </w:rPr>
        <w:t>甲方在收到上述合格发票之日起3个工作日内</w:t>
      </w:r>
      <w:r>
        <w:rPr>
          <w:rFonts w:hint="eastAsia" w:ascii="仿宋" w:hAnsi="仿宋" w:eastAsia="仿宋" w:cs="仿宋"/>
          <w:sz w:val="32"/>
          <w:szCs w:val="32"/>
          <w:lang w:eastAsia="zh-CN"/>
        </w:rPr>
        <w:t>向乙方</w:t>
      </w:r>
      <w:r>
        <w:rPr>
          <w:rFonts w:hint="eastAsia" w:ascii="仿宋" w:hAnsi="仿宋" w:eastAsia="仿宋" w:cs="仿宋"/>
          <w:sz w:val="32"/>
          <w:szCs w:val="32"/>
        </w:rPr>
        <w:t>支付剩余合同款项；</w:t>
      </w:r>
    </w:p>
    <w:p w14:paraId="05D6CC3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成交供应商申请付款时，需向采购人提供合法有效的等额发票，否则采购人有权顺延付款时间，且不承担违约责任。</w:t>
      </w:r>
    </w:p>
    <w:p w14:paraId="23152B1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四、验收标准</w:t>
      </w:r>
    </w:p>
    <w:p w14:paraId="5549458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可行性研究报告需符合国家、海南省关于可行性研究报告编制的相关规范及超长期特别国债项目申请的审批要求；</w:t>
      </w:r>
    </w:p>
    <w:p w14:paraId="267E06C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报告内容应完整，包含项目背景、需求分析、建设方案、投资估算、资金筹措、效益分析、风险评估等核心章节，数据准确、论证充分；</w:t>
      </w:r>
    </w:p>
    <w:p w14:paraId="14838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报告需结合海南卫生健康职业学院实训教学设备更新的实际需求，明确设备更新的范围、标准、数量及投资明细，符合学校学科发展规划；</w:t>
      </w:r>
    </w:p>
    <w:p w14:paraId="257A6C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验收由采购人组织相关专业人员组成验收小组，验收合格的出具验收报告；验收不合格的，成交供应商需按要求整改后重新申请验收。</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701322E1">
      <w:pPr>
        <w:rPr>
          <w:rFonts w:hint="eastAsia" w:ascii="仿宋" w:hAnsi="仿宋" w:eastAsia="仿宋" w:cs="仿宋"/>
          <w:color w:val="FF0000"/>
          <w:lang w:val="en-US" w:eastAsia="zh-CN"/>
        </w:rPr>
      </w:pPr>
    </w:p>
    <w:p w14:paraId="38D163DE">
      <w:pPr>
        <w:rPr>
          <w:rFonts w:hint="eastAsia" w:ascii="仿宋" w:hAnsi="仿宋" w:eastAsia="仿宋" w:cs="仿宋"/>
          <w:color w:val="FF0000"/>
          <w:lang w:val="en-US" w:eastAsia="zh-CN"/>
        </w:rPr>
      </w:pPr>
    </w:p>
    <w:p w14:paraId="61B9189E">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5E4C30C5">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52" w:name="_Toc11038"/>
      <w:r>
        <w:rPr>
          <w:rFonts w:hint="eastAsia" w:asciiTheme="majorEastAsia" w:hAnsiTheme="majorEastAsia" w:eastAsiaTheme="majorEastAsia" w:cstheme="majorEastAsia"/>
          <w:sz w:val="44"/>
        </w:rPr>
        <w:t>第五部分</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62561B6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采购项目名称：海南卫生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w:t>
      </w:r>
    </w:p>
    <w:p w14:paraId="306F854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采购项目编号：</w:t>
      </w:r>
      <w:r>
        <w:rPr>
          <w:rFonts w:hint="eastAsia" w:ascii="仿宋" w:hAnsi="仿宋" w:eastAsia="仿宋" w:cs="仿宋"/>
          <w:sz w:val="32"/>
          <w:szCs w:val="32"/>
          <w:lang w:val="en-US" w:eastAsia="zh-CN"/>
        </w:rPr>
        <w:t>HNWJY-HW2026007</w:t>
      </w:r>
    </w:p>
    <w:p w14:paraId="2C211121">
      <w:pPr>
        <w:keepNext w:val="0"/>
        <w:keepLines w:val="0"/>
        <w:pageBreakBefore w:val="0"/>
        <w:widowControl w:val="0"/>
        <w:kinsoku/>
        <w:wordWrap/>
        <w:overflowPunct/>
        <w:topLinePunct w:val="0"/>
        <w:autoSpaceDE/>
        <w:autoSpaceDN/>
        <w:bidi w:val="0"/>
        <w:adjustRightInd w:val="0"/>
        <w:snapToGrid w:val="0"/>
        <w:spacing w:line="50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项目预算：</w:t>
      </w:r>
      <w:r>
        <w:rPr>
          <w:rFonts w:hint="eastAsia" w:ascii="仿宋" w:hAnsi="仿宋" w:eastAsia="仿宋" w:cs="仿宋"/>
          <w:sz w:val="32"/>
          <w:szCs w:val="32"/>
          <w:lang w:val="en-US" w:eastAsia="zh-CN"/>
        </w:rPr>
        <w:t>24</w:t>
      </w:r>
      <w:r>
        <w:rPr>
          <w:rFonts w:hint="eastAsia" w:ascii="仿宋" w:hAnsi="仿宋" w:eastAsia="仿宋" w:cs="仿宋"/>
          <w:sz w:val="32"/>
          <w:szCs w:val="32"/>
        </w:rPr>
        <w:t>000.00元</w:t>
      </w:r>
    </w:p>
    <w:p w14:paraId="3443AE23">
      <w:pPr>
        <w:keepNext w:val="0"/>
        <w:keepLines w:val="0"/>
        <w:pageBreakBefore w:val="0"/>
        <w:widowControl w:val="0"/>
        <w:kinsoku/>
        <w:wordWrap/>
        <w:overflowPunct/>
        <w:topLinePunct w:val="0"/>
        <w:autoSpaceDE/>
        <w:autoSpaceDN/>
        <w:bidi w:val="0"/>
        <w:adjustRightInd w:val="0"/>
        <w:snapToGrid w:val="0"/>
        <w:spacing w:line="500" w:lineRule="exact"/>
        <w:ind w:left="319" w:leftChars="114" w:firstLine="320" w:firstLineChars="1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数量：</w:t>
      </w:r>
      <w:r>
        <w:rPr>
          <w:rFonts w:hint="eastAsia" w:ascii="仿宋" w:hAnsi="仿宋" w:eastAsia="仿宋" w:cs="仿宋"/>
          <w:sz w:val="32"/>
          <w:szCs w:val="32"/>
          <w:lang w:val="en-US" w:eastAsia="zh-CN"/>
        </w:rPr>
        <w:t>120台</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1.合同履行期限：合同签订后20个工作日交付可行性研究报告。</w:t>
      </w:r>
    </w:p>
    <w:p w14:paraId="7B1CA57C">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bookmarkStart w:id="54" w:name="_Toc21799"/>
      <w:bookmarkStart w:id="55" w:name="_Toc40089799"/>
      <w:r>
        <w:rPr>
          <w:rFonts w:hint="eastAsia" w:ascii="仿宋" w:hAnsi="仿宋" w:eastAsia="仿宋" w:cs="仿宋"/>
          <w:color w:val="auto"/>
          <w:sz w:val="32"/>
          <w:szCs w:val="32"/>
          <w:highlight w:val="none"/>
          <w:lang w:val="en-US" w:eastAsia="zh-CN"/>
        </w:rPr>
        <w:t>2.支付方式：根据合同要求。</w:t>
      </w:r>
    </w:p>
    <w:p w14:paraId="7B6BA4F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3.履约验收要求：根据合同要求。</w:t>
      </w:r>
    </w:p>
    <w:p w14:paraId="2C680EF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rPr>
        <w:t>供应商营业执照载明的经营范围应能覆盖本项目的主要采购/服务内容（提供承诺函）。</w:t>
      </w:r>
    </w:p>
    <w:p w14:paraId="270558D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008C1C4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（一）画质参数</w:t>
      </w:r>
    </w:p>
    <w:p w14:paraId="64D6899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0000FF"/>
          <w:sz w:val="32"/>
          <w:szCs w:val="32"/>
          <w:highlight w:val="none"/>
          <w:lang w:val="en-US" w:eastAsia="zh-CN"/>
        </w:rPr>
      </w:pPr>
      <w:r>
        <w:rPr>
          <w:rFonts w:hint="eastAsia" w:ascii="仿宋" w:hAnsi="仿宋" w:eastAsia="仿宋" w:cs="仿宋"/>
          <w:color w:val="auto"/>
          <w:sz w:val="32"/>
          <w:szCs w:val="32"/>
          <w:highlight w:val="none"/>
          <w:lang w:val="en-US" w:eastAsia="zh-CN"/>
        </w:rPr>
        <w:t>1.分辨率：基础办公款超清；≥4K（3840×2160），投标人需明确所投产品对应分辨率档次</w:t>
      </w:r>
    </w:p>
    <w:p w14:paraId="1A7E55C0">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2.帧率：需支持60fps高帧率，无画面卡顿、拖影、模糊现象</w:t>
      </w:r>
    </w:p>
    <w:p w14:paraId="5980A47F">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3.对焦方式：支持自动对焦（AF），远近物体切换清晰，无虚焦、失焦问题；支持人脸识别对焦</w:t>
      </w:r>
    </w:p>
    <w:p w14:paraId="2BA5B482">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（二）音频配置</w:t>
      </w:r>
    </w:p>
    <w:p w14:paraId="09F806F1">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1.内置麦克风：支持3米及以上远距离拾音</w:t>
      </w:r>
    </w:p>
    <w:p w14:paraId="51510F36">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2.音频优化：具备杂音抑制、回声消除、防啸叫功能，有效过滤环境噪音、电流声，确保线上通话、会议音质清晰</w:t>
      </w:r>
    </w:p>
    <w:p w14:paraId="56194ADB">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（三）镜头与感光性能</w:t>
      </w:r>
    </w:p>
    <w:p w14:paraId="6F087164">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1.镜头材质：采用高清镀膜玻璃镜头，无眩光、无畸变，成像清晰，优于塑料镜头</w:t>
      </w:r>
    </w:p>
    <w:p w14:paraId="25AF121E">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2.视场角（FOV）：单人办公款70°–80°；投标人需根据所投产品档次明确视场角参数</w:t>
      </w:r>
    </w:p>
    <w:p w14:paraId="01100B7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3.感光能力：支持弱光增强、背光补偿功能，自动增益调节，阴天、夜间、背光环境下画面清晰不发黑、不泛白；</w:t>
      </w:r>
    </w:p>
    <w:p w14:paraId="25B8C368">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（四）接口与兼容性</w:t>
      </w:r>
    </w:p>
    <w:p w14:paraId="3CE36FF0">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1.接口类型：采用USB2.0或USB3.0接口，支持USB-A接口（台式机通用），免驱即插即用，无需额外安装复杂驱动程序</w:t>
      </w:r>
    </w:p>
    <w:p w14:paraId="621B37E1">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2.系统兼容：全面兼容Windows全系列（Windows10及以上优先）、国产操作系统（麒麟、统信）、MacOS、Linux，无兼容性故障</w:t>
      </w:r>
    </w:p>
    <w:p w14:paraId="7624089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3.软件适配：兼容腾讯会议、钉钉、Zoom、企业微信、抖音直播、OBS等主流办公、直播软件，可正常调用摄像头、麦克风功能</w:t>
      </w:r>
    </w:p>
    <w:p w14:paraId="5E082F2E">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（五）安装与外观</w:t>
      </w:r>
    </w:p>
    <w:p w14:paraId="0F557D3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1.安装方式：支持显示器卡扣式、桌面摆放、三脚架螺丝孔三合一安装，适配不同台式机使用场景。</w:t>
      </w:r>
    </w:p>
    <w:p w14:paraId="44E1597D">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2.角度调节：可上下俯仰旋转、左右角度调节，支持360°水平旋转，方便调整取景角度</w:t>
      </w:r>
    </w:p>
    <w:p w14:paraId="61042E62">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（六）硬件与供电</w:t>
      </w:r>
    </w:p>
    <w:p w14:paraId="65B3C31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1.供电方式：USB有线供电，无需外接电源，供电稳定，无断连、重启现象</w:t>
      </w:r>
    </w:p>
    <w:p w14:paraId="50779B76">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2.线材要求：线材长度≥1.5米，质地柔韧，支持台式机机箱后置走线，不易断裂、脱落</w:t>
      </w:r>
    </w:p>
    <w:p w14:paraId="65C027C2">
      <w:pPr>
        <w:pStyle w:val="2"/>
        <w:ind w:firstLine="1767" w:firstLineChars="400"/>
        <w:jc w:val="both"/>
        <w:rPr>
          <w:rFonts w:hAnsi="宋体" w:cs="宋体"/>
          <w:sz w:val="44"/>
        </w:rPr>
      </w:pPr>
      <w:bookmarkStart w:id="56" w:name="_Toc12517"/>
      <w:r>
        <w:rPr>
          <w:rFonts w:hint="eastAsia" w:hAnsi="宋体" w:cs="宋体"/>
          <w:sz w:val="44"/>
        </w:rPr>
        <w:t>第六部分报价文件格式</w:t>
      </w:r>
      <w:bookmarkEnd w:id="53"/>
      <w:bookmarkEnd w:id="54"/>
      <w:bookmarkEnd w:id="55"/>
      <w:bookmarkEnd w:id="56"/>
    </w:p>
    <w:p w14:paraId="3B7456CE">
      <w:pPr>
        <w:adjustRightInd w:val="0"/>
        <w:snapToGrid w:val="0"/>
        <w:spacing w:line="560" w:lineRule="exact"/>
        <w:ind w:left="638" w:leftChars="228"/>
        <w:rPr>
          <w:rFonts w:ascii="黑体" w:hAnsi="黑体" w:eastAsia="黑体" w:cs="黑体"/>
          <w:sz w:val="32"/>
          <w:szCs w:val="32"/>
        </w:rPr>
      </w:pPr>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响应承诺函</w:t>
      </w:r>
      <w:r>
        <w:rPr>
          <w:rFonts w:hint="eastAsia" w:ascii="仿宋_GB2312" w:hAnsi="仿宋_GB2312" w:eastAsia="仿宋_GB2312" w:cs="仿宋_GB2312"/>
          <w:sz w:val="32"/>
          <w:szCs w:val="32"/>
        </w:rPr>
        <w:t>（详见附件1）</w:t>
      </w:r>
    </w:p>
    <w:p w14:paraId="49319D4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5A6366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798107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72B1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05450B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3.★技术响应表（详见附件5）</w:t>
      </w:r>
    </w:p>
    <w:p w14:paraId="591DA0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5B18D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563A25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14759"/>
      <w:bookmarkStart w:id="58" w:name="_Toc40089800"/>
      <w:bookmarkStart w:id="59" w:name="_Toc356491342"/>
      <w:bookmarkStart w:id="60" w:name="_Toc356490394"/>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1227"/>
      <w:bookmarkStart w:id="62" w:name="_Toc40089801"/>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hint="eastAsia" w:ascii="仿宋_GB2312" w:hAnsi="仿宋_GB2312" w:eastAsia="仿宋_GB2312" w:cs="仿宋_GB2312"/>
          <w:b/>
          <w:bCs w:val="0"/>
          <w:sz w:val="36"/>
          <w:szCs w:val="36"/>
          <w:u w:val="single"/>
          <w:lang w:eastAsia="zh-CN"/>
        </w:rPr>
      </w:pPr>
      <w:bookmarkStart w:id="63" w:name="_Toc40089802"/>
      <w:bookmarkStart w:id="64" w:name="_Toc27492"/>
      <w:r>
        <w:rPr>
          <w:rFonts w:hint="eastAsia" w:ascii="仿宋_GB2312" w:hAnsi="仿宋_GB2312" w:eastAsia="仿宋_GB2312" w:cs="仿宋_GB2312"/>
          <w:b/>
          <w:bCs w:val="0"/>
          <w:sz w:val="36"/>
          <w:szCs w:val="36"/>
          <w:u w:val="single"/>
        </w:rPr>
        <w:t>（项目名称）</w:t>
      </w:r>
      <w:bookmarkEnd w:id="63"/>
      <w:bookmarkEnd w:id="64"/>
      <w:bookmarkStart w:id="65" w:name="_Toc2490"/>
      <w:bookmarkStart w:id="66" w:name="_Toc40089803"/>
    </w:p>
    <w:p w14:paraId="285564F6">
      <w:pPr>
        <w:rPr>
          <w:rFonts w:ascii="仿宋_GB2312" w:hAnsi="仿宋_GB2312" w:eastAsia="仿宋_GB2312" w:cs="仿宋_GB2312"/>
        </w:rPr>
      </w:pPr>
    </w:p>
    <w:p w14:paraId="620101EE">
      <w:pPr>
        <w:ind w:firstLine="2168" w:firstLineChars="600"/>
        <w:rPr>
          <w:rFonts w:hint="eastAsia" w:ascii="仿宋_GB2312" w:hAnsi="仿宋_GB2312" w:eastAsia="仿宋_GB2312" w:cs="仿宋_GB2312"/>
          <w:lang w:eastAsia="zh-CN"/>
        </w:rPr>
      </w:pPr>
      <w:r>
        <w:rPr>
          <w:rFonts w:hint="eastAsia" w:ascii="仿宋_GB2312" w:hAnsi="仿宋_GB2312" w:eastAsia="仿宋_GB2312" w:cs="仿宋_GB2312"/>
          <w:b/>
          <w:bCs w:val="0"/>
          <w:sz w:val="36"/>
          <w:szCs w:val="36"/>
          <w:u w:val="single"/>
        </w:rPr>
        <w:t>（项目编号）</w:t>
      </w:r>
      <w:bookmarkEnd w:id="65"/>
      <w:bookmarkEnd w:id="66"/>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40089805"/>
      <w:bookmarkStart w:id="68" w:name="_Toc17456"/>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25141"/>
      <w:bookmarkStart w:id="70"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（盖单位公章）</w:t>
      </w:r>
      <w:bookmarkEnd w:id="69"/>
      <w:bookmarkEnd w:id="70"/>
    </w:p>
    <w:p w14:paraId="4AF6BE83">
      <w:pPr>
        <w:adjustRightInd w:val="0"/>
        <w:snapToGrid w:val="0"/>
        <w:spacing w:line="560" w:lineRule="exact"/>
        <w:ind w:firstLine="964" w:firstLineChars="300"/>
        <w:rPr>
          <w:rFonts w:hint="eastAsia" w:ascii="仿宋_GB2312" w:hAnsi="仿宋_GB2312" w:eastAsia="仿宋_GB2312" w:cs="仿宋_GB2312"/>
          <w:b/>
          <w:bCs w:val="0"/>
          <w:sz w:val="32"/>
          <w:szCs w:val="32"/>
          <w:u w:val="single"/>
          <w:lang w:eastAsia="zh-CN"/>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w:t>
      </w:r>
      <w:bookmarkEnd w:id="71"/>
      <w:bookmarkEnd w:id="72"/>
    </w:p>
    <w:p w14:paraId="6AE0DD3B">
      <w:pPr>
        <w:adjustRightInd w:val="0"/>
        <w:snapToGrid w:val="0"/>
        <w:spacing w:line="560" w:lineRule="exact"/>
        <w:ind w:firstLine="964" w:firstLineChars="3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kern w:val="44"/>
          <w:sz w:val="32"/>
          <w:szCs w:val="32"/>
        </w:rPr>
        <w:t>地址:</w:t>
      </w:r>
    </w:p>
    <w:p w14:paraId="7AE5AF81">
      <w:pPr>
        <w:pStyle w:val="19"/>
        <w:adjustRightInd w:val="0"/>
        <w:snapToGrid w:val="0"/>
        <w:spacing w:line="560" w:lineRule="exact"/>
        <w:ind w:firstLine="964" w:firstLineChars="3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kern w:val="44"/>
          <w:sz w:val="32"/>
          <w:szCs w:val="32"/>
        </w:rPr>
        <w:t>电话：</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25558"/>
      <w:bookmarkStart w:id="75" w:name="_Toc4008980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7957"/>
      <w:bookmarkStart w:id="77" w:name="_Toc40"/>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w:t>
      </w:r>
      <w:r>
        <w:rPr>
          <w:rFonts w:hint="eastAsia" w:ascii="仿宋" w:hAnsi="仿宋" w:eastAsia="仿宋" w:cs="仿宋"/>
          <w:b/>
          <w:color w:val="000000"/>
          <w:sz w:val="32"/>
          <w:szCs w:val="32"/>
          <w:u w:val="single"/>
        </w:rPr>
        <w:t>项目名称和项目编号）</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（大写）</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3、同意并接受磋商文件的各项条款要求，遵守文件中的各项规定，按磋商文件的要求响应用户需求书的所有内容。</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90</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rPr>
        <w:t>职务：</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承诺日期：年月日</w:t>
      </w:r>
      <w:r>
        <w:rPr>
          <w:rFonts w:hint="eastAsia" w:ascii="仿宋" w:hAnsi="仿宋" w:eastAsia="仿宋" w:cs="仿宋"/>
          <w:sz w:val="32"/>
          <w:szCs w:val="32"/>
        </w:rPr>
        <w:br w:type="page"/>
      </w:r>
      <w:bookmarkStart w:id="78" w:name="_Toc323129568"/>
      <w:bookmarkStart w:id="79" w:name="_Toc323130135"/>
      <w:bookmarkStart w:id="80" w:name="_Toc356491343"/>
      <w:bookmarkStart w:id="81" w:name="_Toc40089809"/>
      <w:bookmarkStart w:id="82" w:name="_Toc325620729"/>
      <w:bookmarkStart w:id="83" w:name="_Toc26307"/>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1344"/>
      <w:bookmarkStart w:id="85" w:name="_Toc356490395"/>
    </w:p>
    <w:p w14:paraId="066A086B">
      <w:pPr>
        <w:pStyle w:val="21"/>
        <w:spacing w:line="360" w:lineRule="auto"/>
        <w:jc w:val="center"/>
        <w:rPr>
          <w:rFonts w:hint="eastAsia" w:ascii="仿宋_GB2312" w:hAnsi="仿宋_GB2312" w:eastAsia="仿宋_GB2312" w:cs="仿宋_GB2312"/>
          <w:b/>
          <w:bCs w:val="0"/>
          <w:sz w:val="36"/>
          <w:szCs w:val="36"/>
        </w:rPr>
      </w:pPr>
      <w:bookmarkStart w:id="86" w:name="_Toc14824"/>
      <w:bookmarkStart w:id="87" w:name="_Toc16945"/>
      <w:bookmarkStart w:id="88" w:name="_Toc28196"/>
      <w:bookmarkStart w:id="89" w:name="_Toc3901"/>
      <w:bookmarkStart w:id="90" w:name="_Toc524016633"/>
      <w:bookmarkStart w:id="91" w:name="_Toc524016575"/>
      <w:bookmarkStart w:id="92" w:name="_Toc22979"/>
      <w:bookmarkStart w:id="93" w:name="_Toc524016738"/>
      <w:bookmarkStart w:id="94" w:name="_Toc23717"/>
      <w:bookmarkStart w:id="95" w:name="_Toc32320_WPSOffice_Level2"/>
      <w:bookmarkStart w:id="96" w:name="_Toc8229"/>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成立时间：年月日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年月日</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名）系（投标人名称）法定代表人，现授权委托我公司的（姓名、职务或职称）为我单位本次项目的全权代表，以本公司的名义参加海南卫生健康职业学院组织的（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年月日至年月日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日期：年月日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24686"/>
      <w:bookmarkStart w:id="98" w:name="_Toc40089810"/>
      <w:bookmarkStart w:id="99" w:name="_Toc513627405"/>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ascii="仿宋_GB2312" w:hAnsi="仿宋_GB2312" w:eastAsia="仿宋_GB2312" w:cs="仿宋_GB2312"/>
          <w:sz w:val="32"/>
          <w:szCs w:val="32"/>
        </w:rPr>
      </w:pPr>
    </w:p>
    <w:p w14:paraId="0A1C8348">
      <w:pPr>
        <w:snapToGrid w:val="0"/>
        <w:spacing w:line="560" w:lineRule="exact"/>
        <w:rPr>
          <w:rFonts w:ascii="仿宋_GB2312" w:hAnsi="仿宋_GB2312" w:eastAsia="仿宋_GB2312" w:cs="仿宋_GB2312"/>
          <w:sz w:val="32"/>
          <w:szCs w:val="32"/>
        </w:rPr>
      </w:pPr>
    </w:p>
    <w:p w14:paraId="776CDF4B">
      <w:pPr>
        <w:snapToGrid w:val="0"/>
        <w:spacing w:line="560" w:lineRule="exact"/>
        <w:rPr>
          <w:rFonts w:ascii="仿宋_GB2312" w:hAnsi="仿宋_GB2312" w:eastAsia="仿宋_GB2312" w:cs="仿宋_GB2312"/>
          <w:sz w:val="32"/>
          <w:szCs w:val="32"/>
        </w:rPr>
      </w:pPr>
    </w:p>
    <w:p w14:paraId="5042CD01">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供应商（公章）：</w:t>
      </w:r>
    </w:p>
    <w:p w14:paraId="0C0C6C2B">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法人代表或其授权人（签字）：</w:t>
      </w:r>
    </w:p>
    <w:p w14:paraId="5D2F4EEB">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日期：</w:t>
      </w:r>
    </w:p>
    <w:p w14:paraId="40656F12">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40089811"/>
      <w:bookmarkStart w:id="101" w:name="_Toc9292"/>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adjustRightInd w:val="0"/>
              <w:spacing w:line="500" w:lineRule="atLeast"/>
              <w:jc w:val="center"/>
              <w:rPr>
                <w:rFonts w:ascii="仿宋_GB2312" w:hAnsi="仿宋_GB2312" w:eastAsia="仿宋_GB2312" w:cs="仿宋_GB2312"/>
                <w:b/>
                <w:sz w:val="32"/>
                <w:szCs w:val="32"/>
              </w:rPr>
            </w:pPr>
            <w:r>
              <w:rPr>
                <w:rStyle w:val="33"/>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4BB9B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242FB5F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6C1C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1BAB7D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02C58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B1BAB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035CB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42489EE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1D673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77235E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4E55B6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61B8FEE0">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注：1.按照磋商文件第五部分项目需求中的商务需求的顺序对应逐条应答，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供应商（公章）：</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法人代表或其授权人（签字）：</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Cs w:val="0"/>
          <w:sz w:val="32"/>
          <w:szCs w:val="32"/>
        </w:rPr>
        <w:t>日期：</w:t>
      </w:r>
    </w:p>
    <w:p w14:paraId="4AF7D95B">
      <w:r>
        <w:rPr>
          <w:rFonts w:hint="eastAsia"/>
        </w:rPr>
        <w:br w:type="page"/>
      </w:r>
      <w:bookmarkStart w:id="102" w:name="_Toc40089812"/>
      <w:bookmarkStart w:id="103" w:name="_Toc23941"/>
    </w:p>
    <w:p w14:paraId="6402AD57">
      <w:pPr>
        <w:pStyle w:val="2"/>
        <w:numPr>
          <w:ilvl w:val="0"/>
          <w:numId w:val="6"/>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2"/>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EF5DF2E">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8F67B46">
      <w:pPr>
        <w:snapToGrid w:val="0"/>
        <w:spacing w:line="560" w:lineRule="exact"/>
        <w:rPr>
          <w:rFonts w:ascii="仿宋_GB2312" w:hAnsi="仿宋_GB2312" w:eastAsia="仿宋_GB2312" w:cs="仿宋_GB2312"/>
          <w:sz w:val="32"/>
          <w:szCs w:val="32"/>
        </w:rPr>
      </w:pPr>
    </w:p>
    <w:p w14:paraId="67C0D1C2">
      <w:pPr>
        <w:snapToGrid w:val="0"/>
        <w:spacing w:line="560" w:lineRule="exact"/>
        <w:rPr>
          <w:rFonts w:ascii="仿宋_GB2312" w:hAnsi="仿宋_GB2312" w:eastAsia="仿宋_GB2312" w:cs="仿宋_GB2312"/>
          <w:sz w:val="32"/>
          <w:szCs w:val="32"/>
        </w:rPr>
      </w:pPr>
    </w:p>
    <w:p w14:paraId="7E362343">
      <w:pPr>
        <w:snapToGrid w:val="0"/>
        <w:spacing w:line="560" w:lineRule="exact"/>
        <w:rPr>
          <w:rFonts w:ascii="仿宋_GB2312" w:hAnsi="仿宋_GB2312" w:eastAsia="仿宋_GB2312" w:cs="仿宋_GB2312"/>
          <w:sz w:val="32"/>
          <w:szCs w:val="32"/>
        </w:rPr>
      </w:pPr>
    </w:p>
    <w:p w14:paraId="3EF7845C">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供应商（公章）：</w:t>
      </w:r>
    </w:p>
    <w:p w14:paraId="4BCE2BB8">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法人代表或其授权人（签字）：</w:t>
      </w:r>
    </w:p>
    <w:p w14:paraId="3034F317">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日期：</w:t>
      </w:r>
    </w:p>
    <w:p w14:paraId="124641E6"/>
    <w:p w14:paraId="3C2FFAB3">
      <w:pPr>
        <w:rPr>
          <w:rFonts w:ascii="仿宋_GB2312" w:hAnsi="仿宋_GB2312" w:eastAsia="仿宋_GB2312" w:cs="仿宋_GB2312"/>
          <w:kern w:val="0"/>
          <w:sz w:val="32"/>
          <w:szCs w:val="32"/>
        </w:rPr>
      </w:pPr>
    </w:p>
    <w:p w14:paraId="110D4E94"/>
    <w:p w14:paraId="2C5918E5"/>
    <w:p w14:paraId="4B97DC2D"/>
    <w:p w14:paraId="496FC311"/>
    <w:p w14:paraId="296A1C57"/>
    <w:p w14:paraId="3994539E"/>
    <w:p w14:paraId="65C7E24C"/>
    <w:p w14:paraId="66ED3278">
      <w:pPr>
        <w:pStyle w:val="2"/>
        <w:numPr>
          <w:ilvl w:val="0"/>
          <w:numId w:val="6"/>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项目</w:t>
            </w:r>
          </w:p>
        </w:tc>
        <w:tc>
          <w:tcPr>
            <w:tcW w:w="2208" w:type="dxa"/>
            <w:vAlign w:val="center"/>
          </w:tcPr>
          <w:p w14:paraId="711CE612">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磋商文件要求</w:t>
            </w:r>
          </w:p>
        </w:tc>
        <w:tc>
          <w:tcPr>
            <w:tcW w:w="2181" w:type="dxa"/>
            <w:vAlign w:val="center"/>
          </w:tcPr>
          <w:p w14:paraId="26490A6A">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报价文件响应情况</w:t>
            </w:r>
          </w:p>
        </w:tc>
        <w:tc>
          <w:tcPr>
            <w:tcW w:w="1565" w:type="dxa"/>
            <w:vAlign w:val="center"/>
          </w:tcPr>
          <w:p w14:paraId="4F37BD98">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响应程度</w:t>
            </w:r>
          </w:p>
        </w:tc>
        <w:tc>
          <w:tcPr>
            <w:tcW w:w="1850" w:type="dxa"/>
            <w:vAlign w:val="center"/>
          </w:tcPr>
          <w:p w14:paraId="06F1AAA8">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widowControl/>
              <w:autoSpaceDE w:val="0"/>
              <w:autoSpaceDN w:val="0"/>
              <w:adjustRightInd w:val="0"/>
              <w:spacing w:before="50" w:after="50" w:line="440" w:lineRule="exact"/>
              <w:jc w:val="center"/>
              <w:rPr>
                <w:rStyle w:val="33"/>
                <w:rFonts w:cs="仿宋"/>
                <w:sz w:val="32"/>
                <w:szCs w:val="32"/>
              </w:rPr>
            </w:pPr>
          </w:p>
        </w:tc>
        <w:tc>
          <w:tcPr>
            <w:tcW w:w="2208" w:type="dxa"/>
            <w:vAlign w:val="center"/>
          </w:tcPr>
          <w:p w14:paraId="7527F236">
            <w:pPr>
              <w:widowControl/>
              <w:autoSpaceDE w:val="0"/>
              <w:autoSpaceDN w:val="0"/>
              <w:adjustRightInd w:val="0"/>
              <w:spacing w:before="50" w:after="50" w:line="440" w:lineRule="exact"/>
              <w:jc w:val="center"/>
              <w:rPr>
                <w:rStyle w:val="33"/>
                <w:rFonts w:hint="eastAsia" w:eastAsia="仿宋" w:cs="仿宋"/>
                <w:sz w:val="32"/>
                <w:szCs w:val="32"/>
                <w:lang w:val="en-US" w:eastAsia="zh-CN"/>
              </w:rPr>
            </w:pPr>
          </w:p>
        </w:tc>
        <w:tc>
          <w:tcPr>
            <w:tcW w:w="2181" w:type="dxa"/>
            <w:vAlign w:val="center"/>
          </w:tcPr>
          <w:p w14:paraId="10D85C06">
            <w:pPr>
              <w:widowControl/>
              <w:autoSpaceDE w:val="0"/>
              <w:autoSpaceDN w:val="0"/>
              <w:adjustRightInd w:val="0"/>
              <w:spacing w:before="50" w:after="50" w:line="440" w:lineRule="exact"/>
              <w:jc w:val="center"/>
              <w:rPr>
                <w:rStyle w:val="33"/>
                <w:rFonts w:cs="仿宋"/>
                <w:sz w:val="32"/>
                <w:szCs w:val="32"/>
              </w:rPr>
            </w:pPr>
          </w:p>
        </w:tc>
        <w:tc>
          <w:tcPr>
            <w:tcW w:w="1565" w:type="dxa"/>
            <w:vAlign w:val="center"/>
          </w:tcPr>
          <w:p w14:paraId="337A3CAE">
            <w:pPr>
              <w:widowControl/>
              <w:autoSpaceDE w:val="0"/>
              <w:autoSpaceDN w:val="0"/>
              <w:adjustRightInd w:val="0"/>
              <w:spacing w:before="50" w:after="50" w:line="440" w:lineRule="exact"/>
              <w:jc w:val="center"/>
              <w:rPr>
                <w:rStyle w:val="33"/>
                <w:rFonts w:cs="仿宋"/>
                <w:sz w:val="32"/>
                <w:szCs w:val="32"/>
              </w:rPr>
            </w:pPr>
          </w:p>
        </w:tc>
        <w:tc>
          <w:tcPr>
            <w:tcW w:w="1850" w:type="dxa"/>
          </w:tcPr>
          <w:p w14:paraId="6EAD4501">
            <w:pPr>
              <w:widowControl/>
              <w:autoSpaceDE w:val="0"/>
              <w:autoSpaceDN w:val="0"/>
              <w:adjustRightInd w:val="0"/>
              <w:spacing w:before="50" w:after="50" w:line="440" w:lineRule="exact"/>
              <w:jc w:val="center"/>
              <w:rPr>
                <w:rStyle w:val="33"/>
                <w:rFonts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widowControl/>
              <w:autoSpaceDE w:val="0"/>
              <w:autoSpaceDN w:val="0"/>
              <w:adjustRightInd w:val="0"/>
              <w:spacing w:before="50" w:after="50" w:line="440" w:lineRule="exact"/>
              <w:jc w:val="center"/>
              <w:rPr>
                <w:rStyle w:val="33"/>
                <w:rFonts w:cs="仿宋"/>
                <w:sz w:val="32"/>
                <w:szCs w:val="32"/>
              </w:rPr>
            </w:pPr>
          </w:p>
        </w:tc>
        <w:tc>
          <w:tcPr>
            <w:tcW w:w="2208" w:type="dxa"/>
            <w:vAlign w:val="center"/>
          </w:tcPr>
          <w:p w14:paraId="0EB31ADC">
            <w:pPr>
              <w:widowControl/>
              <w:autoSpaceDE w:val="0"/>
              <w:autoSpaceDN w:val="0"/>
              <w:adjustRightInd w:val="0"/>
              <w:spacing w:before="50" w:after="50" w:line="440" w:lineRule="exact"/>
              <w:jc w:val="center"/>
              <w:rPr>
                <w:rStyle w:val="33"/>
                <w:rFonts w:cs="仿宋"/>
                <w:sz w:val="32"/>
                <w:szCs w:val="32"/>
              </w:rPr>
            </w:pPr>
          </w:p>
        </w:tc>
        <w:tc>
          <w:tcPr>
            <w:tcW w:w="2181" w:type="dxa"/>
            <w:vAlign w:val="center"/>
          </w:tcPr>
          <w:p w14:paraId="47429981">
            <w:pPr>
              <w:widowControl/>
              <w:autoSpaceDE w:val="0"/>
              <w:autoSpaceDN w:val="0"/>
              <w:adjustRightInd w:val="0"/>
              <w:spacing w:before="50" w:after="50" w:line="440" w:lineRule="exact"/>
              <w:jc w:val="center"/>
              <w:rPr>
                <w:rStyle w:val="33"/>
                <w:rFonts w:cs="仿宋"/>
                <w:sz w:val="32"/>
                <w:szCs w:val="32"/>
              </w:rPr>
            </w:pPr>
          </w:p>
        </w:tc>
        <w:tc>
          <w:tcPr>
            <w:tcW w:w="1565" w:type="dxa"/>
            <w:vAlign w:val="center"/>
          </w:tcPr>
          <w:p w14:paraId="6D650AD7">
            <w:pPr>
              <w:widowControl/>
              <w:autoSpaceDE w:val="0"/>
              <w:autoSpaceDN w:val="0"/>
              <w:adjustRightInd w:val="0"/>
              <w:spacing w:before="50" w:after="50" w:line="440" w:lineRule="exact"/>
              <w:jc w:val="center"/>
              <w:rPr>
                <w:rStyle w:val="33"/>
                <w:rFonts w:cs="仿宋"/>
                <w:sz w:val="32"/>
                <w:szCs w:val="32"/>
              </w:rPr>
            </w:pPr>
          </w:p>
        </w:tc>
        <w:tc>
          <w:tcPr>
            <w:tcW w:w="1850" w:type="dxa"/>
          </w:tcPr>
          <w:p w14:paraId="394F5FEB">
            <w:pPr>
              <w:widowControl/>
              <w:autoSpaceDE w:val="0"/>
              <w:autoSpaceDN w:val="0"/>
              <w:adjustRightInd w:val="0"/>
              <w:spacing w:before="50" w:after="50" w:line="440" w:lineRule="exact"/>
              <w:jc w:val="center"/>
              <w:rPr>
                <w:rStyle w:val="33"/>
                <w:rFonts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B14232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42B2A9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721AAAE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C0F9B0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D3173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0A64F8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39E06DB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E2C33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5398B7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177816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171B40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722538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1.按照磋商文件第五部分项目需求</w:t>
      </w:r>
      <w:r>
        <w:rPr>
          <w:rFonts w:hint="eastAsia" w:ascii="仿宋_GB2312" w:hAnsi="仿宋_GB2312" w:eastAsia="仿宋_GB2312" w:cs="仿宋_GB2312"/>
          <w:sz w:val="32"/>
          <w:szCs w:val="32"/>
          <w:lang w:eastAsia="zh-CN"/>
        </w:rPr>
        <w:t>中的技术需求</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供应商（公章）：</w:t>
      </w:r>
    </w:p>
    <w:p w14:paraId="3C662123">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法人代表或其授权人（签字）：</w:t>
      </w:r>
    </w:p>
    <w:p w14:paraId="3E947696">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日期：</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sz w:val="32"/>
          <w:szCs w:val="32"/>
        </w:rPr>
      </w:pPr>
      <w:bookmarkStart w:id="107" w:name="_Toc25388"/>
      <w:r>
        <w:rPr>
          <w:sz w:val="32"/>
          <w:szCs w:val="32"/>
        </w:rPr>
        <w:t>商务及技术证明材料</w:t>
      </w:r>
    </w:p>
    <w:p w14:paraId="385D8C91">
      <w:pPr>
        <w:pStyle w:val="13"/>
        <w:spacing w:before="84"/>
        <w:jc w:val="left"/>
        <w:rPr>
          <w:spacing w:val="-2"/>
        </w:rPr>
      </w:pPr>
    </w:p>
    <w:p w14:paraId="17BF85D7">
      <w:pPr>
        <w:pStyle w:val="13"/>
        <w:spacing w:before="84"/>
        <w:jc w:val="left"/>
        <w:rPr>
          <w:rFonts w:ascii="宋体" w:hAnsi="宋体" w:eastAsia="宋体" w:cs="Times New Roman"/>
          <w:spacing w:val="-2"/>
        </w:rPr>
      </w:pPr>
      <w:r>
        <w:rPr>
          <w:rFonts w:ascii="宋体" w:hAnsi="宋体" w:eastAsia="宋体" w:cs="Times New Roman"/>
          <w:spacing w:val="-2"/>
        </w:rPr>
        <w:t>（供应商根据竞争性磋商文件第</w:t>
      </w:r>
      <w:r>
        <w:rPr>
          <w:rFonts w:hint="eastAsia" w:ascii="宋体" w:hAnsi="宋体" w:eastAsia="宋体" w:cs="Times New Roman"/>
          <w:spacing w:val="-2"/>
        </w:rPr>
        <w:t>三部分</w:t>
      </w:r>
      <w:r>
        <w:rPr>
          <w:rFonts w:ascii="宋体" w:hAnsi="宋体" w:eastAsia="宋体" w:cs="Times New Roman"/>
          <w:spacing w:val="-2"/>
        </w:rPr>
        <w:t>附表2</w:t>
      </w:r>
      <w:r>
        <w:rPr>
          <w:rFonts w:hint="eastAsia" w:ascii="宋体" w:hAnsi="宋体" w:eastAsia="宋体" w:cs="Times New Roman"/>
          <w:spacing w:val="-2"/>
        </w:rPr>
        <w:t>评分细则表</w:t>
      </w:r>
      <w:r>
        <w:rPr>
          <w:rFonts w:ascii="宋体" w:hAnsi="宋体" w:eastAsia="宋体" w:cs="Times New Roman"/>
          <w:spacing w:val="-2"/>
        </w:rPr>
        <w:t>中的要求提供</w:t>
      </w:r>
      <w:r>
        <w:rPr>
          <w:rFonts w:hint="eastAsia" w:ascii="宋体" w:hAnsi="宋体" w:eastAsia="宋体" w:cs="Times New Roman"/>
          <w:spacing w:val="-2"/>
        </w:rPr>
        <w:t>，格式自拟</w:t>
      </w:r>
      <w:r>
        <w:rPr>
          <w:rFonts w:ascii="宋体" w:hAnsi="宋体" w:eastAsia="宋体" w:cs="Times New Roman"/>
          <w:spacing w:val="-2"/>
        </w:rPr>
        <w:t>）</w:t>
      </w:r>
    </w:p>
    <w:p w14:paraId="4244FCD9"/>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3F4ACF7A"/>
    <w:p w14:paraId="41D11C29"/>
    <w:p w14:paraId="0D88FC9E"/>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项目编号：</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大写：</w:t>
            </w:r>
          </w:p>
          <w:p w14:paraId="5A65D93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小写：</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年月日</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22438"/>
      <w:bookmarkStart w:id="111" w:name="_Toc4812"/>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adjustRightInd w:val="0"/>
              <w:snapToGrid w:val="0"/>
              <w:spacing w:line="560" w:lineRule="exact"/>
              <w:ind w:firstLine="0" w:firstLineChars="0"/>
              <w:rPr>
                <w:rFonts w:ascii="仿宋_GB2312" w:hAnsi="仿宋_GB2312" w:eastAsia="仿宋_GB2312" w:cs="仿宋_GB2312"/>
                <w:sz w:val="32"/>
                <w:szCs w:val="32"/>
              </w:rPr>
            </w:pPr>
          </w:p>
          <w:p w14:paraId="6C610823">
            <w:pPr>
              <w:pStyle w:val="14"/>
              <w:adjustRightInd w:val="0"/>
              <w:snapToGrid w:val="0"/>
              <w:spacing w:line="560" w:lineRule="exact"/>
              <w:ind w:firstLine="0" w:firstLineChars="0"/>
              <w:jc w:val="center"/>
              <w:rPr>
                <w:rFonts w:ascii="仿宋_GB2312" w:hAnsi="仿宋_GB2312" w:eastAsia="仿宋_GB2312" w:cs="仿宋_GB2312"/>
                <w:sz w:val="32"/>
                <w:szCs w:val="32"/>
              </w:rPr>
            </w:pPr>
          </w:p>
          <w:p w14:paraId="0A7E8AAD">
            <w:pPr>
              <w:pStyle w:val="14"/>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项目编号：</w:t>
            </w:r>
          </w:p>
          <w:p w14:paraId="342F38B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………于2025年月日时之前不准启封………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E852A3-62D7-4F62-AE07-657130695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2CCC9DC-94C8-41C0-8333-A5A79D6B7125}"/>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7BCEECD8-CEA4-4DF4-B9EA-FB5F3F096194}"/>
  </w:font>
  <w:font w:name="仿宋_GB2312">
    <w:panose1 w:val="02010609030101010101"/>
    <w:charset w:val="86"/>
    <w:family w:val="modern"/>
    <w:pitch w:val="default"/>
    <w:sig w:usb0="00000001" w:usb1="080E0000" w:usb2="00000000" w:usb3="00000000" w:csb0="00040000" w:csb1="00000000"/>
    <w:embedRegular r:id="rId4" w:fontKey="{28B087F6-3E53-4CEF-B37F-396AE63702D5}"/>
  </w:font>
  <w:font w:name="方正公文黑体">
    <w:altName w:val="黑体"/>
    <w:panose1 w:val="02000500000000000000"/>
    <w:charset w:val="86"/>
    <w:family w:val="auto"/>
    <w:pitch w:val="default"/>
    <w:sig w:usb0="00000000" w:usb1="00000000" w:usb2="00000016" w:usb3="00000000" w:csb0="00040001" w:csb1="00000000"/>
    <w:embedRegular r:id="rId5" w:fontKey="{D87D6A73-BD79-4EF7-BC78-01145426F3F7}"/>
  </w:font>
  <w:font w:name="WPSEMBED1">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DF340BDE"/>
    <w:multiLevelType w:val="singleLevel"/>
    <w:tmpl w:val="DF340BDE"/>
    <w:lvl w:ilvl="0" w:tentative="0">
      <w:start w:val="1"/>
      <w:numFmt w:val="decimal"/>
      <w:suff w:val="space"/>
      <w:lvlText w:val="%1."/>
      <w:lvlJc w:val="left"/>
    </w:lvl>
  </w:abstractNum>
  <w:abstractNum w:abstractNumId="3">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
    <w:nsid w:val="35DB52C3"/>
    <w:multiLevelType w:val="singleLevel"/>
    <w:tmpl w:val="35DB52C3"/>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01E53"/>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B22B0"/>
    <w:rsid w:val="010E4F6E"/>
    <w:rsid w:val="013712F7"/>
    <w:rsid w:val="013C246A"/>
    <w:rsid w:val="01535BBA"/>
    <w:rsid w:val="016F7099"/>
    <w:rsid w:val="01AE10A4"/>
    <w:rsid w:val="01AF3A4F"/>
    <w:rsid w:val="01C27B77"/>
    <w:rsid w:val="01DA23AF"/>
    <w:rsid w:val="01E0373D"/>
    <w:rsid w:val="02451033"/>
    <w:rsid w:val="026F7BA0"/>
    <w:rsid w:val="028329DC"/>
    <w:rsid w:val="028C62E2"/>
    <w:rsid w:val="02D8307B"/>
    <w:rsid w:val="02EC2996"/>
    <w:rsid w:val="02FE5FA0"/>
    <w:rsid w:val="03215DBB"/>
    <w:rsid w:val="03744E73"/>
    <w:rsid w:val="03B92498"/>
    <w:rsid w:val="03BA4A14"/>
    <w:rsid w:val="03C03826"/>
    <w:rsid w:val="03E1761F"/>
    <w:rsid w:val="03E96314"/>
    <w:rsid w:val="04210BBD"/>
    <w:rsid w:val="043A0EC2"/>
    <w:rsid w:val="045C354F"/>
    <w:rsid w:val="04BD1B14"/>
    <w:rsid w:val="04C21C5A"/>
    <w:rsid w:val="04CB6CBF"/>
    <w:rsid w:val="05080FE1"/>
    <w:rsid w:val="051536FE"/>
    <w:rsid w:val="0521245C"/>
    <w:rsid w:val="0524197F"/>
    <w:rsid w:val="0539563E"/>
    <w:rsid w:val="053E676B"/>
    <w:rsid w:val="0569541C"/>
    <w:rsid w:val="061F2A86"/>
    <w:rsid w:val="06220A34"/>
    <w:rsid w:val="063B0A20"/>
    <w:rsid w:val="063C5F64"/>
    <w:rsid w:val="063D115E"/>
    <w:rsid w:val="063D7F45"/>
    <w:rsid w:val="06515A71"/>
    <w:rsid w:val="06966A2B"/>
    <w:rsid w:val="069D2831"/>
    <w:rsid w:val="06B362BB"/>
    <w:rsid w:val="06CC1424"/>
    <w:rsid w:val="06E03B70"/>
    <w:rsid w:val="06E67100"/>
    <w:rsid w:val="07043A2A"/>
    <w:rsid w:val="07281BB4"/>
    <w:rsid w:val="07586296"/>
    <w:rsid w:val="076013B7"/>
    <w:rsid w:val="07630750"/>
    <w:rsid w:val="077E558A"/>
    <w:rsid w:val="07854B6B"/>
    <w:rsid w:val="07943000"/>
    <w:rsid w:val="08156C5F"/>
    <w:rsid w:val="081D4626"/>
    <w:rsid w:val="084F19EE"/>
    <w:rsid w:val="08DA0EE6"/>
    <w:rsid w:val="09542027"/>
    <w:rsid w:val="09831F2B"/>
    <w:rsid w:val="09A432A2"/>
    <w:rsid w:val="09BC4A90"/>
    <w:rsid w:val="09BE64C0"/>
    <w:rsid w:val="09FB55B8"/>
    <w:rsid w:val="0A3F0100"/>
    <w:rsid w:val="0A560A40"/>
    <w:rsid w:val="0A7B2255"/>
    <w:rsid w:val="0AAA2B3A"/>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EC2F96"/>
    <w:rsid w:val="0CF74AB8"/>
    <w:rsid w:val="0D181FDD"/>
    <w:rsid w:val="0D3D1A44"/>
    <w:rsid w:val="0D5648B3"/>
    <w:rsid w:val="0D5D3E94"/>
    <w:rsid w:val="0D761459"/>
    <w:rsid w:val="0D766D04"/>
    <w:rsid w:val="0E192009"/>
    <w:rsid w:val="0E812BF3"/>
    <w:rsid w:val="0E9733D5"/>
    <w:rsid w:val="0E9E4764"/>
    <w:rsid w:val="0EB06E60"/>
    <w:rsid w:val="0EB10E23"/>
    <w:rsid w:val="0EF07055"/>
    <w:rsid w:val="0EFB1BB6"/>
    <w:rsid w:val="0F317386"/>
    <w:rsid w:val="0F5574D8"/>
    <w:rsid w:val="0F601A19"/>
    <w:rsid w:val="0F6C64AC"/>
    <w:rsid w:val="0FA1275E"/>
    <w:rsid w:val="0FB76D11"/>
    <w:rsid w:val="0FBB08AE"/>
    <w:rsid w:val="0FD55F4E"/>
    <w:rsid w:val="0FE16FFE"/>
    <w:rsid w:val="0FE32D76"/>
    <w:rsid w:val="0FE33B06"/>
    <w:rsid w:val="0FF705D0"/>
    <w:rsid w:val="10017FB3"/>
    <w:rsid w:val="10090BD7"/>
    <w:rsid w:val="10235B8D"/>
    <w:rsid w:val="10515328"/>
    <w:rsid w:val="1088396D"/>
    <w:rsid w:val="108B0D18"/>
    <w:rsid w:val="109567B4"/>
    <w:rsid w:val="111700D2"/>
    <w:rsid w:val="11190C87"/>
    <w:rsid w:val="11765524"/>
    <w:rsid w:val="11B83D8F"/>
    <w:rsid w:val="11D67F1C"/>
    <w:rsid w:val="123A29F6"/>
    <w:rsid w:val="123E35CF"/>
    <w:rsid w:val="12450EE5"/>
    <w:rsid w:val="1248524A"/>
    <w:rsid w:val="12490E8B"/>
    <w:rsid w:val="125A54BA"/>
    <w:rsid w:val="12DE7825"/>
    <w:rsid w:val="12E070F9"/>
    <w:rsid w:val="12E952FB"/>
    <w:rsid w:val="131821D8"/>
    <w:rsid w:val="131D1A1B"/>
    <w:rsid w:val="132A2348"/>
    <w:rsid w:val="13347445"/>
    <w:rsid w:val="133C34EE"/>
    <w:rsid w:val="133F619B"/>
    <w:rsid w:val="13853604"/>
    <w:rsid w:val="138F79D2"/>
    <w:rsid w:val="13CC58CF"/>
    <w:rsid w:val="13DF0BCE"/>
    <w:rsid w:val="13E0137B"/>
    <w:rsid w:val="13E56991"/>
    <w:rsid w:val="13EC5CCF"/>
    <w:rsid w:val="13F84916"/>
    <w:rsid w:val="14187963"/>
    <w:rsid w:val="145C05DA"/>
    <w:rsid w:val="1468384A"/>
    <w:rsid w:val="14793E91"/>
    <w:rsid w:val="147A2925"/>
    <w:rsid w:val="14A730DD"/>
    <w:rsid w:val="14E32ED1"/>
    <w:rsid w:val="150572EB"/>
    <w:rsid w:val="15945E81"/>
    <w:rsid w:val="15AC3C0A"/>
    <w:rsid w:val="15CA407F"/>
    <w:rsid w:val="15DE222E"/>
    <w:rsid w:val="15DF7B3C"/>
    <w:rsid w:val="15FD2BBA"/>
    <w:rsid w:val="15FD4466"/>
    <w:rsid w:val="16117F11"/>
    <w:rsid w:val="16900E36"/>
    <w:rsid w:val="16D77AEA"/>
    <w:rsid w:val="16D96054"/>
    <w:rsid w:val="17127A9D"/>
    <w:rsid w:val="17140673"/>
    <w:rsid w:val="17141B46"/>
    <w:rsid w:val="17231CAA"/>
    <w:rsid w:val="172F13BB"/>
    <w:rsid w:val="17365147"/>
    <w:rsid w:val="17417AEF"/>
    <w:rsid w:val="17617B9E"/>
    <w:rsid w:val="17C50FB3"/>
    <w:rsid w:val="17EE07BE"/>
    <w:rsid w:val="18883998"/>
    <w:rsid w:val="1896721E"/>
    <w:rsid w:val="189D5A8C"/>
    <w:rsid w:val="18AC7DEF"/>
    <w:rsid w:val="18C2202E"/>
    <w:rsid w:val="18C33745"/>
    <w:rsid w:val="18F31AB7"/>
    <w:rsid w:val="1901426D"/>
    <w:rsid w:val="191C10A7"/>
    <w:rsid w:val="191C2DD1"/>
    <w:rsid w:val="1925050E"/>
    <w:rsid w:val="197B254B"/>
    <w:rsid w:val="19A46172"/>
    <w:rsid w:val="19B96B20"/>
    <w:rsid w:val="19C46CD8"/>
    <w:rsid w:val="19C84D8B"/>
    <w:rsid w:val="19DE010A"/>
    <w:rsid w:val="19F245C4"/>
    <w:rsid w:val="1A014E15"/>
    <w:rsid w:val="1A0A7151"/>
    <w:rsid w:val="1A18186E"/>
    <w:rsid w:val="1A2B0002"/>
    <w:rsid w:val="1A2C531A"/>
    <w:rsid w:val="1A361CF4"/>
    <w:rsid w:val="1A5361CB"/>
    <w:rsid w:val="1A785A33"/>
    <w:rsid w:val="1AA2382E"/>
    <w:rsid w:val="1B112A4D"/>
    <w:rsid w:val="1B3A4B9B"/>
    <w:rsid w:val="1B46065D"/>
    <w:rsid w:val="1B4E306E"/>
    <w:rsid w:val="1BA50EE0"/>
    <w:rsid w:val="1BAB583C"/>
    <w:rsid w:val="1BB3C7C0"/>
    <w:rsid w:val="1BDD4B1E"/>
    <w:rsid w:val="1C146065"/>
    <w:rsid w:val="1CDE149B"/>
    <w:rsid w:val="1CFA6CD7"/>
    <w:rsid w:val="1D3C1D18"/>
    <w:rsid w:val="1D4209B0"/>
    <w:rsid w:val="1D726A12"/>
    <w:rsid w:val="1DD42870"/>
    <w:rsid w:val="1DD45AAC"/>
    <w:rsid w:val="1DE91A1B"/>
    <w:rsid w:val="1DF50EBD"/>
    <w:rsid w:val="1E122A78"/>
    <w:rsid w:val="1E2D340E"/>
    <w:rsid w:val="1E7554E1"/>
    <w:rsid w:val="1E7A7A86"/>
    <w:rsid w:val="1E804B75"/>
    <w:rsid w:val="1ED57D2E"/>
    <w:rsid w:val="1EEC238F"/>
    <w:rsid w:val="1EF62324"/>
    <w:rsid w:val="1F765554"/>
    <w:rsid w:val="1F845AC6"/>
    <w:rsid w:val="1F884CCF"/>
    <w:rsid w:val="1F9B949E"/>
    <w:rsid w:val="1F9F033C"/>
    <w:rsid w:val="1FEF6E6E"/>
    <w:rsid w:val="20350AB8"/>
    <w:rsid w:val="209B0A84"/>
    <w:rsid w:val="20C0056A"/>
    <w:rsid w:val="210D14B1"/>
    <w:rsid w:val="21887642"/>
    <w:rsid w:val="219407F2"/>
    <w:rsid w:val="219F2875"/>
    <w:rsid w:val="21DB2A55"/>
    <w:rsid w:val="21E87D78"/>
    <w:rsid w:val="220B1CB9"/>
    <w:rsid w:val="220F3557"/>
    <w:rsid w:val="22227D34"/>
    <w:rsid w:val="22250FCC"/>
    <w:rsid w:val="223918D0"/>
    <w:rsid w:val="225E0B1F"/>
    <w:rsid w:val="22A75E85"/>
    <w:rsid w:val="22AD2D70"/>
    <w:rsid w:val="22B366F6"/>
    <w:rsid w:val="22B660C8"/>
    <w:rsid w:val="22E6561F"/>
    <w:rsid w:val="23005595"/>
    <w:rsid w:val="23294AEC"/>
    <w:rsid w:val="232E330C"/>
    <w:rsid w:val="2330729E"/>
    <w:rsid w:val="233139A1"/>
    <w:rsid w:val="23377EE9"/>
    <w:rsid w:val="23C2284B"/>
    <w:rsid w:val="23FE7B1E"/>
    <w:rsid w:val="2412563B"/>
    <w:rsid w:val="243674C1"/>
    <w:rsid w:val="24584E46"/>
    <w:rsid w:val="24963C3A"/>
    <w:rsid w:val="24D77410"/>
    <w:rsid w:val="255D282B"/>
    <w:rsid w:val="256C6F12"/>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DA0163"/>
    <w:rsid w:val="288938C1"/>
    <w:rsid w:val="289F0154"/>
    <w:rsid w:val="28B3769A"/>
    <w:rsid w:val="28DD71C8"/>
    <w:rsid w:val="290F795D"/>
    <w:rsid w:val="2976189C"/>
    <w:rsid w:val="29BD4AD2"/>
    <w:rsid w:val="29C07FD3"/>
    <w:rsid w:val="29CD6601"/>
    <w:rsid w:val="29E9585C"/>
    <w:rsid w:val="29F758E8"/>
    <w:rsid w:val="2A307B20"/>
    <w:rsid w:val="2A566664"/>
    <w:rsid w:val="2A701253"/>
    <w:rsid w:val="2A8274CB"/>
    <w:rsid w:val="2A8D3BB3"/>
    <w:rsid w:val="2AAF03D5"/>
    <w:rsid w:val="2AC82E3D"/>
    <w:rsid w:val="2ADF07C0"/>
    <w:rsid w:val="2AF1729B"/>
    <w:rsid w:val="2B871CB0"/>
    <w:rsid w:val="2B8A0C87"/>
    <w:rsid w:val="2BD10AFE"/>
    <w:rsid w:val="2C301C6E"/>
    <w:rsid w:val="2C9454FE"/>
    <w:rsid w:val="2C9A25B7"/>
    <w:rsid w:val="2CAD22EA"/>
    <w:rsid w:val="2CB238EE"/>
    <w:rsid w:val="2CBC077F"/>
    <w:rsid w:val="2CD94552"/>
    <w:rsid w:val="2D2500D2"/>
    <w:rsid w:val="2D3476B0"/>
    <w:rsid w:val="2D71156A"/>
    <w:rsid w:val="2D834DF9"/>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CD1E4C"/>
    <w:rsid w:val="2FD44032"/>
    <w:rsid w:val="2FED7D34"/>
    <w:rsid w:val="302A5A00"/>
    <w:rsid w:val="302E54F0"/>
    <w:rsid w:val="3058256D"/>
    <w:rsid w:val="307F3D64"/>
    <w:rsid w:val="30B61B6B"/>
    <w:rsid w:val="31175F84"/>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70705A"/>
    <w:rsid w:val="33D20888"/>
    <w:rsid w:val="33EE0701"/>
    <w:rsid w:val="33FB7DDF"/>
    <w:rsid w:val="33FF6CF8"/>
    <w:rsid w:val="340C5B48"/>
    <w:rsid w:val="34131094"/>
    <w:rsid w:val="342033A2"/>
    <w:rsid w:val="344828F8"/>
    <w:rsid w:val="3451508A"/>
    <w:rsid w:val="34520673"/>
    <w:rsid w:val="34E44900"/>
    <w:rsid w:val="3511718E"/>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272C99"/>
    <w:rsid w:val="37865C12"/>
    <w:rsid w:val="379C71E3"/>
    <w:rsid w:val="37E312B6"/>
    <w:rsid w:val="37E56DDC"/>
    <w:rsid w:val="37F214F9"/>
    <w:rsid w:val="37FA5416"/>
    <w:rsid w:val="37FFE6AC"/>
    <w:rsid w:val="38691F82"/>
    <w:rsid w:val="38B13162"/>
    <w:rsid w:val="391D15F5"/>
    <w:rsid w:val="39730417"/>
    <w:rsid w:val="3A410CD0"/>
    <w:rsid w:val="3A5F655A"/>
    <w:rsid w:val="3A7B57D6"/>
    <w:rsid w:val="3AB72586"/>
    <w:rsid w:val="3ABA0B83"/>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300A46"/>
    <w:rsid w:val="3D7959A4"/>
    <w:rsid w:val="3D8E3A72"/>
    <w:rsid w:val="3D98189B"/>
    <w:rsid w:val="3DBF1E7D"/>
    <w:rsid w:val="3DC120E1"/>
    <w:rsid w:val="3DDC1999"/>
    <w:rsid w:val="3DDEB4E4"/>
    <w:rsid w:val="3DFB09DB"/>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1FA4E33"/>
    <w:rsid w:val="42024F9A"/>
    <w:rsid w:val="42294664"/>
    <w:rsid w:val="42462B6D"/>
    <w:rsid w:val="428B4A24"/>
    <w:rsid w:val="429D17C3"/>
    <w:rsid w:val="42B40F7C"/>
    <w:rsid w:val="42B7058F"/>
    <w:rsid w:val="42F779C3"/>
    <w:rsid w:val="43291B47"/>
    <w:rsid w:val="43344A35"/>
    <w:rsid w:val="438C45B0"/>
    <w:rsid w:val="43AB0A6B"/>
    <w:rsid w:val="43C81360"/>
    <w:rsid w:val="43F17F21"/>
    <w:rsid w:val="441A4EF4"/>
    <w:rsid w:val="444958B2"/>
    <w:rsid w:val="448B0D0B"/>
    <w:rsid w:val="44901E7E"/>
    <w:rsid w:val="44E35950"/>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23725"/>
    <w:rsid w:val="4743722B"/>
    <w:rsid w:val="47476ADD"/>
    <w:rsid w:val="475C073D"/>
    <w:rsid w:val="47680E90"/>
    <w:rsid w:val="47B6FF77"/>
    <w:rsid w:val="48304052"/>
    <w:rsid w:val="483616A5"/>
    <w:rsid w:val="485458B8"/>
    <w:rsid w:val="485C6F76"/>
    <w:rsid w:val="486453C9"/>
    <w:rsid w:val="486A6E89"/>
    <w:rsid w:val="488128A3"/>
    <w:rsid w:val="48895562"/>
    <w:rsid w:val="488F68F0"/>
    <w:rsid w:val="4891774B"/>
    <w:rsid w:val="48A50E28"/>
    <w:rsid w:val="48F65CAE"/>
    <w:rsid w:val="490966A2"/>
    <w:rsid w:val="49234F3A"/>
    <w:rsid w:val="494E0559"/>
    <w:rsid w:val="497E209A"/>
    <w:rsid w:val="49935F6C"/>
    <w:rsid w:val="49C600F0"/>
    <w:rsid w:val="49E5416A"/>
    <w:rsid w:val="49EC224C"/>
    <w:rsid w:val="4A1365B8"/>
    <w:rsid w:val="4A722AB5"/>
    <w:rsid w:val="4ACE6FFF"/>
    <w:rsid w:val="4AF2550B"/>
    <w:rsid w:val="4B1878F5"/>
    <w:rsid w:val="4B405810"/>
    <w:rsid w:val="4B4C383A"/>
    <w:rsid w:val="4B670273"/>
    <w:rsid w:val="4B746C0F"/>
    <w:rsid w:val="4B95246F"/>
    <w:rsid w:val="4BA534D3"/>
    <w:rsid w:val="4C1E25CB"/>
    <w:rsid w:val="4C51283A"/>
    <w:rsid w:val="4C581661"/>
    <w:rsid w:val="4C59739B"/>
    <w:rsid w:val="4C5E6D05"/>
    <w:rsid w:val="4C7F0BBC"/>
    <w:rsid w:val="4C7F417C"/>
    <w:rsid w:val="4C875185"/>
    <w:rsid w:val="4C8C14A2"/>
    <w:rsid w:val="4C8F03ED"/>
    <w:rsid w:val="4CAD5011"/>
    <w:rsid w:val="4CC3201B"/>
    <w:rsid w:val="4D4128AF"/>
    <w:rsid w:val="4D8E7176"/>
    <w:rsid w:val="4D942C25"/>
    <w:rsid w:val="4DA91E14"/>
    <w:rsid w:val="4DA9F889"/>
    <w:rsid w:val="4E0B430A"/>
    <w:rsid w:val="4E20644E"/>
    <w:rsid w:val="4E2B70BB"/>
    <w:rsid w:val="4E497D56"/>
    <w:rsid w:val="4E740A62"/>
    <w:rsid w:val="4E876790"/>
    <w:rsid w:val="4E8D1FFD"/>
    <w:rsid w:val="4E9609D8"/>
    <w:rsid w:val="4EB533A9"/>
    <w:rsid w:val="4ED92673"/>
    <w:rsid w:val="4EFF657E"/>
    <w:rsid w:val="4F0C71D9"/>
    <w:rsid w:val="4F140E7E"/>
    <w:rsid w:val="4F2B26E0"/>
    <w:rsid w:val="4F604B42"/>
    <w:rsid w:val="4F610F13"/>
    <w:rsid w:val="4F7640F5"/>
    <w:rsid w:val="4F8B2F41"/>
    <w:rsid w:val="4F93361D"/>
    <w:rsid w:val="4F9A44F8"/>
    <w:rsid w:val="4F9E0374"/>
    <w:rsid w:val="4F9E7FF4"/>
    <w:rsid w:val="4FA90414"/>
    <w:rsid w:val="4FB93147"/>
    <w:rsid w:val="4FC305DC"/>
    <w:rsid w:val="4FCD4A8E"/>
    <w:rsid w:val="4FD23C92"/>
    <w:rsid w:val="4FF55637"/>
    <w:rsid w:val="4FFA9109"/>
    <w:rsid w:val="503462A6"/>
    <w:rsid w:val="507871BF"/>
    <w:rsid w:val="50D937EF"/>
    <w:rsid w:val="51142088"/>
    <w:rsid w:val="511E6A63"/>
    <w:rsid w:val="51313675"/>
    <w:rsid w:val="51501312"/>
    <w:rsid w:val="516079D1"/>
    <w:rsid w:val="516B7B44"/>
    <w:rsid w:val="51721D7C"/>
    <w:rsid w:val="51E952C3"/>
    <w:rsid w:val="52131FB2"/>
    <w:rsid w:val="523D285F"/>
    <w:rsid w:val="524644C3"/>
    <w:rsid w:val="527A5F1B"/>
    <w:rsid w:val="528172AA"/>
    <w:rsid w:val="52927709"/>
    <w:rsid w:val="52965ECB"/>
    <w:rsid w:val="52990A97"/>
    <w:rsid w:val="529F7C3F"/>
    <w:rsid w:val="52A1781D"/>
    <w:rsid w:val="52A766E1"/>
    <w:rsid w:val="52C3464B"/>
    <w:rsid w:val="52CC7D2D"/>
    <w:rsid w:val="52E21FCD"/>
    <w:rsid w:val="534E7AD3"/>
    <w:rsid w:val="53852DC9"/>
    <w:rsid w:val="53876B42"/>
    <w:rsid w:val="53DF2D8E"/>
    <w:rsid w:val="53F123D3"/>
    <w:rsid w:val="53F9269E"/>
    <w:rsid w:val="53FF2B7C"/>
    <w:rsid w:val="54065CB8"/>
    <w:rsid w:val="544F44F7"/>
    <w:rsid w:val="5461435C"/>
    <w:rsid w:val="547A0C90"/>
    <w:rsid w:val="547B6AD0"/>
    <w:rsid w:val="549C3AA8"/>
    <w:rsid w:val="549F14FC"/>
    <w:rsid w:val="54BD29C9"/>
    <w:rsid w:val="54E57FC4"/>
    <w:rsid w:val="54F77CF7"/>
    <w:rsid w:val="551C1A85"/>
    <w:rsid w:val="555313D1"/>
    <w:rsid w:val="55684751"/>
    <w:rsid w:val="55701F21"/>
    <w:rsid w:val="557B1097"/>
    <w:rsid w:val="5587107B"/>
    <w:rsid w:val="55AB5C7A"/>
    <w:rsid w:val="55B27534"/>
    <w:rsid w:val="55C7591B"/>
    <w:rsid w:val="55CE0A58"/>
    <w:rsid w:val="55CE3334"/>
    <w:rsid w:val="55D4285A"/>
    <w:rsid w:val="55DF5509"/>
    <w:rsid w:val="5605091D"/>
    <w:rsid w:val="5616066A"/>
    <w:rsid w:val="562211C9"/>
    <w:rsid w:val="564D6793"/>
    <w:rsid w:val="56D45B12"/>
    <w:rsid w:val="56EE60A5"/>
    <w:rsid w:val="56FC793A"/>
    <w:rsid w:val="572F662E"/>
    <w:rsid w:val="5783288E"/>
    <w:rsid w:val="57FA1966"/>
    <w:rsid w:val="583D0E0B"/>
    <w:rsid w:val="585B059D"/>
    <w:rsid w:val="585D494D"/>
    <w:rsid w:val="586B6A32"/>
    <w:rsid w:val="58B935B5"/>
    <w:rsid w:val="58CB5722"/>
    <w:rsid w:val="58D85297"/>
    <w:rsid w:val="58EC5B9C"/>
    <w:rsid w:val="58F85DEC"/>
    <w:rsid w:val="590757B1"/>
    <w:rsid w:val="59581206"/>
    <w:rsid w:val="59BD32BD"/>
    <w:rsid w:val="59DC36CB"/>
    <w:rsid w:val="59E5440B"/>
    <w:rsid w:val="5A6C2FE9"/>
    <w:rsid w:val="5A8838A1"/>
    <w:rsid w:val="5AA82EA1"/>
    <w:rsid w:val="5AC91B3E"/>
    <w:rsid w:val="5ACC6397"/>
    <w:rsid w:val="5ADF7B69"/>
    <w:rsid w:val="5AE34010"/>
    <w:rsid w:val="5AE57128"/>
    <w:rsid w:val="5AFAF733"/>
    <w:rsid w:val="5B2F6A01"/>
    <w:rsid w:val="5B417F1E"/>
    <w:rsid w:val="5B432CD8"/>
    <w:rsid w:val="5B865931"/>
    <w:rsid w:val="5BAF4A67"/>
    <w:rsid w:val="5BDF731D"/>
    <w:rsid w:val="5C421DD1"/>
    <w:rsid w:val="5C4E58CF"/>
    <w:rsid w:val="5C78796F"/>
    <w:rsid w:val="5CFD2954"/>
    <w:rsid w:val="5D351CF6"/>
    <w:rsid w:val="5D4F6922"/>
    <w:rsid w:val="5D6109F5"/>
    <w:rsid w:val="5D681792"/>
    <w:rsid w:val="5DB03139"/>
    <w:rsid w:val="5DBFE2E4"/>
    <w:rsid w:val="5DDF7A87"/>
    <w:rsid w:val="5DE278B7"/>
    <w:rsid w:val="5E40270F"/>
    <w:rsid w:val="5E772EC1"/>
    <w:rsid w:val="5E82108D"/>
    <w:rsid w:val="5E824AD5"/>
    <w:rsid w:val="5E8E6FD6"/>
    <w:rsid w:val="5E9C71C5"/>
    <w:rsid w:val="5ED846F5"/>
    <w:rsid w:val="5F034C6F"/>
    <w:rsid w:val="5F622211"/>
    <w:rsid w:val="5F8403D9"/>
    <w:rsid w:val="5F8F28CB"/>
    <w:rsid w:val="5FB44B2E"/>
    <w:rsid w:val="5FD255E8"/>
    <w:rsid w:val="5FFD49A1"/>
    <w:rsid w:val="60016100"/>
    <w:rsid w:val="601E16EE"/>
    <w:rsid w:val="60512F91"/>
    <w:rsid w:val="60667D3B"/>
    <w:rsid w:val="60864B16"/>
    <w:rsid w:val="608E2818"/>
    <w:rsid w:val="60CC69F7"/>
    <w:rsid w:val="60D47FE9"/>
    <w:rsid w:val="60F8107F"/>
    <w:rsid w:val="613F7EC8"/>
    <w:rsid w:val="61652C49"/>
    <w:rsid w:val="617C580C"/>
    <w:rsid w:val="6192071F"/>
    <w:rsid w:val="61CB6793"/>
    <w:rsid w:val="61D45648"/>
    <w:rsid w:val="62233915"/>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6E5DB3"/>
    <w:rsid w:val="65896749"/>
    <w:rsid w:val="659438DB"/>
    <w:rsid w:val="65CF7132"/>
    <w:rsid w:val="65D9039F"/>
    <w:rsid w:val="668FFD52"/>
    <w:rsid w:val="66AB26EF"/>
    <w:rsid w:val="66BC351E"/>
    <w:rsid w:val="67206C39"/>
    <w:rsid w:val="678533FB"/>
    <w:rsid w:val="67A51172"/>
    <w:rsid w:val="67B7585C"/>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3D7F76"/>
    <w:rsid w:val="69692B1A"/>
    <w:rsid w:val="696A0640"/>
    <w:rsid w:val="69766FE4"/>
    <w:rsid w:val="69CC30A8"/>
    <w:rsid w:val="69D77881"/>
    <w:rsid w:val="6A372C18"/>
    <w:rsid w:val="6A3D1E30"/>
    <w:rsid w:val="6AB04778"/>
    <w:rsid w:val="6AD2649C"/>
    <w:rsid w:val="6B5C045C"/>
    <w:rsid w:val="6B6F3E15"/>
    <w:rsid w:val="6B7036D0"/>
    <w:rsid w:val="6B722607"/>
    <w:rsid w:val="6B841E8D"/>
    <w:rsid w:val="6B993968"/>
    <w:rsid w:val="6BBF2EC5"/>
    <w:rsid w:val="6BFB5EC7"/>
    <w:rsid w:val="6C07661A"/>
    <w:rsid w:val="6C3A69EF"/>
    <w:rsid w:val="6C714041"/>
    <w:rsid w:val="6C89702F"/>
    <w:rsid w:val="6C9A748E"/>
    <w:rsid w:val="6CB31D0E"/>
    <w:rsid w:val="6D0C1B1C"/>
    <w:rsid w:val="6D1E3C1B"/>
    <w:rsid w:val="6D3A6E8E"/>
    <w:rsid w:val="6D4318D3"/>
    <w:rsid w:val="6D8F4B19"/>
    <w:rsid w:val="6DAA3701"/>
    <w:rsid w:val="6DB17E51"/>
    <w:rsid w:val="6DBA3B2E"/>
    <w:rsid w:val="6DFD14DA"/>
    <w:rsid w:val="6E0E3C8F"/>
    <w:rsid w:val="6E2A0D69"/>
    <w:rsid w:val="6E3F73D0"/>
    <w:rsid w:val="6E4C2A0A"/>
    <w:rsid w:val="6E4E0530"/>
    <w:rsid w:val="6EA97E5C"/>
    <w:rsid w:val="6ED651FE"/>
    <w:rsid w:val="6F467505"/>
    <w:rsid w:val="6F5150BD"/>
    <w:rsid w:val="6FAA5C3A"/>
    <w:rsid w:val="6FC0545D"/>
    <w:rsid w:val="702F68EB"/>
    <w:rsid w:val="70453800"/>
    <w:rsid w:val="70A703CB"/>
    <w:rsid w:val="70AD748E"/>
    <w:rsid w:val="70BB1F0C"/>
    <w:rsid w:val="70DB235B"/>
    <w:rsid w:val="71092E34"/>
    <w:rsid w:val="711E68DF"/>
    <w:rsid w:val="714874B8"/>
    <w:rsid w:val="71897AFB"/>
    <w:rsid w:val="728A3B01"/>
    <w:rsid w:val="72AE2727"/>
    <w:rsid w:val="72C72CA2"/>
    <w:rsid w:val="7309650C"/>
    <w:rsid w:val="733A7699"/>
    <w:rsid w:val="737C4EA8"/>
    <w:rsid w:val="737F118B"/>
    <w:rsid w:val="7389424C"/>
    <w:rsid w:val="73944C37"/>
    <w:rsid w:val="73BC418E"/>
    <w:rsid w:val="73F70C5C"/>
    <w:rsid w:val="740D083A"/>
    <w:rsid w:val="741E10D9"/>
    <w:rsid w:val="744877CF"/>
    <w:rsid w:val="745213E3"/>
    <w:rsid w:val="748A31AB"/>
    <w:rsid w:val="74A72748"/>
    <w:rsid w:val="74AB2123"/>
    <w:rsid w:val="74CE23CA"/>
    <w:rsid w:val="74DC4AE7"/>
    <w:rsid w:val="753955FE"/>
    <w:rsid w:val="75537797"/>
    <w:rsid w:val="756923C9"/>
    <w:rsid w:val="75705230"/>
    <w:rsid w:val="759E1D9D"/>
    <w:rsid w:val="759E7FEF"/>
    <w:rsid w:val="75B60701"/>
    <w:rsid w:val="75FE7BC6"/>
    <w:rsid w:val="76171B4F"/>
    <w:rsid w:val="762B59FB"/>
    <w:rsid w:val="767F0AB9"/>
    <w:rsid w:val="76CE1E13"/>
    <w:rsid w:val="76FF717E"/>
    <w:rsid w:val="77035C3C"/>
    <w:rsid w:val="77313CD6"/>
    <w:rsid w:val="77334767"/>
    <w:rsid w:val="77790089"/>
    <w:rsid w:val="77FA1D1D"/>
    <w:rsid w:val="781F1BE1"/>
    <w:rsid w:val="783E3DBF"/>
    <w:rsid w:val="78873B38"/>
    <w:rsid w:val="78AB4366"/>
    <w:rsid w:val="78C23FF4"/>
    <w:rsid w:val="79094BEA"/>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A6A1BC"/>
    <w:rsid w:val="7BA94FF8"/>
    <w:rsid w:val="7BDA78A7"/>
    <w:rsid w:val="7BDD5915"/>
    <w:rsid w:val="7C077AC2"/>
    <w:rsid w:val="7C496298"/>
    <w:rsid w:val="7C8141C6"/>
    <w:rsid w:val="7CC14D89"/>
    <w:rsid w:val="7D627B54"/>
    <w:rsid w:val="7D6903CE"/>
    <w:rsid w:val="7D7A4E9D"/>
    <w:rsid w:val="7D7D2BE0"/>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059CB"/>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qFormat/>
    <w:uiPriority w:val="0"/>
    <w:rPr>
      <w:sz w:val="21"/>
      <w:szCs w:val="21"/>
    </w:rPr>
  </w:style>
  <w:style w:type="character" w:customStyle="1" w:styleId="31">
    <w:name w:val="标题 1 字符"/>
    <w:link w:val="2"/>
    <w:qFormat/>
    <w:uiPriority w:val="0"/>
    <w:rPr>
      <w:b/>
      <w:kern w:val="44"/>
      <w:sz w:val="36"/>
      <w:szCs w:val="44"/>
    </w:rPr>
  </w:style>
  <w:style w:type="paragraph" w:styleId="32">
    <w:name w:val="List Paragraph"/>
    <w:basedOn w:val="1"/>
    <w:qFormat/>
    <w:uiPriority w:val="99"/>
    <w:pPr>
      <w:ind w:firstLine="420" w:firstLineChars="200"/>
    </w:pPr>
    <w:rPr>
      <w:rFonts w:ascii="Times New Roman"/>
      <w:bCs w:val="0"/>
      <w:sz w:val="21"/>
      <w:szCs w:val="20"/>
    </w:rPr>
  </w:style>
  <w:style w:type="character" w:customStyle="1" w:styleId="33">
    <w:name w:val="样式 仿宋"/>
    <w:qFormat/>
    <w:uiPriority w:val="0"/>
    <w:rPr>
      <w:rFonts w:ascii="仿宋" w:hAnsi="仿宋" w:eastAsia="仿宋"/>
      <w:kern w:val="1"/>
    </w:rPr>
  </w:style>
  <w:style w:type="table" w:customStyle="1" w:styleId="34">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正文"/>
    <w:basedOn w:val="24"/>
    <w:qFormat/>
    <w:uiPriority w:val="0"/>
    <w:pPr>
      <w:spacing w:before="100" w:beforeAutospacing="1" w:after="100" w:afterAutospacing="1"/>
    </w:pPr>
  </w:style>
  <w:style w:type="paragraph" w:customStyle="1" w:styleId="36">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7">
    <w:name w:val="列表段落1"/>
    <w:basedOn w:val="1"/>
    <w:qFormat/>
    <w:uiPriority w:val="34"/>
    <w:pPr>
      <w:adjustRightInd w:val="0"/>
      <w:snapToGrid w:val="0"/>
    </w:pPr>
    <w:rPr>
      <w:rFonts w:hAnsi="宋体"/>
    </w:rPr>
  </w:style>
  <w:style w:type="paragraph" w:customStyle="1" w:styleId="38">
    <w:name w:val="列出段落1"/>
    <w:basedOn w:val="1"/>
    <w:qFormat/>
    <w:uiPriority w:val="99"/>
    <w:pPr>
      <w:ind w:firstLine="420" w:firstLineChars="200"/>
    </w:pPr>
  </w:style>
  <w:style w:type="paragraph" w:customStyle="1" w:styleId="39">
    <w:name w:val="石墨文档正文"/>
    <w:qFormat/>
    <w:uiPriority w:val="0"/>
    <w:rPr>
      <w:rFonts w:ascii="微软雅黑" w:hAnsi="微软雅黑" w:eastAsia="微软雅黑" w:cs="微软雅黑"/>
      <w:sz w:val="24"/>
      <w:szCs w:val="24"/>
      <w:lang w:val="en-US" w:eastAsia="zh-CN" w:bidi="ar-SA"/>
    </w:rPr>
  </w:style>
  <w:style w:type="character" w:customStyle="1" w:styleId="40">
    <w:name w:val="font11"/>
    <w:basedOn w:val="27"/>
    <w:qFormat/>
    <w:uiPriority w:val="0"/>
    <w:rPr>
      <w:rFonts w:hint="eastAsia" w:ascii="宋体" w:hAnsi="宋体" w:eastAsia="宋体" w:cs="宋体"/>
      <w:color w:val="000008"/>
      <w:sz w:val="22"/>
      <w:szCs w:val="22"/>
      <w:u w:val="none"/>
    </w:rPr>
  </w:style>
  <w:style w:type="paragraph" w:customStyle="1" w:styleId="41">
    <w:name w:val="List Paragraph_7694705a-c3a6-41bb-8515-e14ae0fd478f"/>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customStyle="1" w:styleId="43">
    <w:name w:val="无间隔1"/>
    <w:qFormat/>
    <w:uiPriority w:val="1"/>
    <w:rPr>
      <w:rFonts w:ascii="Georgia" w:hAnsi="Georgia" w:eastAsia="宋体" w:cs="Times New Roman"/>
      <w:sz w:val="22"/>
      <w:szCs w:val="22"/>
      <w:lang w:val="en-US" w:eastAsia="zh-CN" w:bidi="ar-SA"/>
    </w:rPr>
  </w:style>
  <w:style w:type="paragraph" w:customStyle="1" w:styleId="44">
    <w:name w:val="Table Paragraph"/>
    <w:basedOn w:val="1"/>
    <w:qFormat/>
    <w:uiPriority w:val="1"/>
  </w:style>
  <w:style w:type="paragraph" w:customStyle="1" w:styleId="45">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11249</Words>
  <Characters>11820</Characters>
  <Lines>177</Lines>
  <Paragraphs>49</Paragraphs>
  <TotalTime>2</TotalTime>
  <ScaleCrop>false</ScaleCrop>
  <LinksUpToDate>false</LinksUpToDate>
  <CharactersWithSpaces>11835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2026-06-03T09:17:55Z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