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CB384C">
      <w:pPr>
        <w:spacing w:line="600" w:lineRule="exact"/>
        <w:rPr>
          <w:rFonts w:hint="eastAsia" w:ascii="方正公文小标宋" w:hAnsi="方正公文小标宋" w:eastAsia="方正公文小标宋" w:cs="方正公文小标宋"/>
        </w:rPr>
      </w:pPr>
      <w:r>
        <w:rPr>
          <w:rFonts w:hint="eastAsia" w:ascii="方正公文小标宋" w:hAnsi="方正公文小标宋" w:eastAsia="方正公文小标宋" w:cs="方正公文小标宋"/>
        </w:rPr>
        <w:t xml:space="preserve">    </w:t>
      </w:r>
    </w:p>
    <w:p w14:paraId="053BB3B9">
      <w:pPr>
        <w:adjustRightInd w:val="0"/>
        <w:snapToGrid w:val="0"/>
        <w:spacing w:line="560" w:lineRule="exact"/>
        <w:jc w:val="center"/>
        <w:rPr>
          <w:rFonts w:hint="eastAsia" w:asciiTheme="minorEastAsia" w:hAnsiTheme="minorEastAsia" w:eastAsiaTheme="minorEastAsia" w:cstheme="minorEastAsia"/>
          <w:b/>
          <w:bCs w:val="0"/>
          <w:sz w:val="44"/>
          <w:szCs w:val="44"/>
        </w:rPr>
      </w:pPr>
      <w:bookmarkStart w:id="0" w:name="_Toc415058575"/>
      <w:bookmarkStart w:id="1" w:name="_Toc375561633"/>
      <w:bookmarkStart w:id="2" w:name="_Toc415058499"/>
    </w:p>
    <w:p w14:paraId="5E6A7A46">
      <w:pPr>
        <w:adjustRightInd w:val="0"/>
        <w:snapToGrid w:val="0"/>
        <w:spacing w:line="560" w:lineRule="exact"/>
        <w:jc w:val="center"/>
        <w:rPr>
          <w:rFonts w:hint="eastAsia" w:asciiTheme="minorEastAsia" w:hAnsiTheme="minorEastAsia" w:eastAsiaTheme="minorEastAsia" w:cstheme="minorEastAsia"/>
          <w:b/>
          <w:bCs w:val="0"/>
          <w:sz w:val="48"/>
          <w:szCs w:val="48"/>
        </w:rPr>
      </w:pPr>
    </w:p>
    <w:p w14:paraId="1829F7F5">
      <w:pPr>
        <w:jc w:val="center"/>
        <w:rPr>
          <w:rFonts w:hint="eastAsia"/>
          <w:b/>
          <w:bCs w:val="0"/>
          <w:sz w:val="48"/>
          <w:szCs w:val="48"/>
          <w:lang w:val="en-US" w:eastAsia="zh-CN"/>
        </w:rPr>
      </w:pPr>
      <w:r>
        <w:rPr>
          <w:rFonts w:hint="eastAsia"/>
          <w:b/>
          <w:bCs w:val="0"/>
          <w:sz w:val="48"/>
          <w:szCs w:val="48"/>
          <w:lang w:val="en-US" w:eastAsia="zh-CN"/>
        </w:rPr>
        <w:t>海南卫生健康职业学院</w:t>
      </w:r>
      <w:r>
        <w:rPr>
          <w:rFonts w:hint="default"/>
          <w:b/>
          <w:bCs w:val="0"/>
          <w:sz w:val="48"/>
          <w:szCs w:val="48"/>
          <w:lang w:val="en-US" w:eastAsia="zh-CN"/>
        </w:rPr>
        <w:t>2025年</w:t>
      </w:r>
      <w:r>
        <w:rPr>
          <w:rFonts w:hint="eastAsia"/>
          <w:b/>
          <w:bCs w:val="0"/>
          <w:sz w:val="48"/>
          <w:szCs w:val="48"/>
          <w:lang w:val="en-US" w:eastAsia="zh-CN"/>
        </w:rPr>
        <w:t>度</w:t>
      </w:r>
    </w:p>
    <w:p w14:paraId="51634FD2">
      <w:pPr>
        <w:jc w:val="center"/>
        <w:rPr>
          <w:rFonts w:hint="eastAsia"/>
          <w:b/>
          <w:bCs w:val="0"/>
          <w:sz w:val="48"/>
          <w:szCs w:val="48"/>
          <w:lang w:eastAsia="zh-CN"/>
        </w:rPr>
      </w:pPr>
      <w:r>
        <w:rPr>
          <w:rFonts w:hint="eastAsia"/>
          <w:b/>
          <w:bCs w:val="0"/>
          <w:sz w:val="48"/>
          <w:szCs w:val="48"/>
          <w:lang w:val="en-US" w:eastAsia="zh-CN"/>
        </w:rPr>
        <w:t>消防安全评估项目</w:t>
      </w:r>
    </w:p>
    <w:p w14:paraId="3196FAA8"/>
    <w:p w14:paraId="081AC7DE"/>
    <w:p w14:paraId="0672320B">
      <w:pPr>
        <w:adjustRightInd w:val="0"/>
        <w:snapToGrid w:val="0"/>
        <w:spacing w:line="420" w:lineRule="auto"/>
        <w:jc w:val="center"/>
        <w:rPr>
          <w:rFonts w:hint="eastAsia" w:asciiTheme="minorEastAsia" w:hAnsiTheme="minorEastAsia" w:eastAsiaTheme="minorEastAsia" w:cstheme="minorEastAsia"/>
          <w:bCs w:val="0"/>
          <w:sz w:val="36"/>
          <w:szCs w:val="36"/>
        </w:rPr>
      </w:pPr>
    </w:p>
    <w:p w14:paraId="65F691C8">
      <w:pPr>
        <w:adjustRightInd w:val="0"/>
        <w:snapToGrid w:val="0"/>
        <w:spacing w:line="560" w:lineRule="exact"/>
        <w:ind w:firstLine="720" w:firstLineChars="200"/>
        <w:jc w:val="center"/>
        <w:rPr>
          <w:rFonts w:hint="eastAsia" w:asciiTheme="minorEastAsia" w:hAnsiTheme="minorEastAsia" w:eastAsiaTheme="minorEastAsia" w:cstheme="minorEastAsia"/>
          <w:bCs w:val="0"/>
          <w:sz w:val="36"/>
          <w:szCs w:val="36"/>
          <w:shd w:val="clear" w:color="auto" w:fill="FFFF00"/>
          <w:lang w:eastAsia="zh-CN"/>
        </w:rPr>
      </w:pPr>
      <w:r>
        <w:rPr>
          <w:rFonts w:hint="eastAsia" w:asciiTheme="minorEastAsia" w:hAnsiTheme="minorEastAsia" w:eastAsiaTheme="minorEastAsia" w:cstheme="minorEastAsia"/>
          <w:bCs w:val="0"/>
          <w:sz w:val="36"/>
          <w:szCs w:val="36"/>
        </w:rPr>
        <w:t>项目编号：HNWJY-FW2025037</w:t>
      </w:r>
    </w:p>
    <w:p w14:paraId="3F4391EE">
      <w:pPr>
        <w:adjustRightInd w:val="0"/>
        <w:snapToGrid w:val="0"/>
        <w:spacing w:line="420" w:lineRule="auto"/>
        <w:rPr>
          <w:rFonts w:hint="eastAsia" w:asciiTheme="minorEastAsia" w:hAnsiTheme="minorEastAsia" w:eastAsiaTheme="minorEastAsia" w:cstheme="minorEastAsia"/>
          <w:b/>
          <w:bCs w:val="0"/>
          <w:spacing w:val="40"/>
          <w:sz w:val="36"/>
          <w:szCs w:val="36"/>
        </w:rPr>
      </w:pPr>
    </w:p>
    <w:bookmarkEnd w:id="0"/>
    <w:bookmarkEnd w:id="1"/>
    <w:bookmarkEnd w:id="2"/>
    <w:p w14:paraId="1E421CFF">
      <w:pPr>
        <w:spacing w:line="360" w:lineRule="auto"/>
        <w:ind w:firstLine="723" w:firstLineChars="100"/>
        <w:jc w:val="center"/>
        <w:rPr>
          <w:rFonts w:hint="eastAsia" w:hAnsi="宋体"/>
          <w:b/>
          <w:sz w:val="72"/>
          <w:szCs w:val="72"/>
        </w:rPr>
      </w:pPr>
      <w:bookmarkStart w:id="3" w:name="_Toc325446794"/>
      <w:bookmarkStart w:id="4" w:name="_Toc326783408"/>
      <w:bookmarkStart w:id="5" w:name="_Toc325731733"/>
    </w:p>
    <w:p w14:paraId="695F2BB1">
      <w:pPr>
        <w:spacing w:line="360" w:lineRule="auto"/>
        <w:ind w:firstLine="723" w:firstLineChars="100"/>
        <w:jc w:val="center"/>
        <w:rPr>
          <w:rFonts w:hint="eastAsia" w:hAnsi="宋体"/>
          <w:b/>
          <w:sz w:val="72"/>
          <w:szCs w:val="72"/>
        </w:rPr>
      </w:pPr>
      <w:r>
        <w:rPr>
          <w:rFonts w:hint="eastAsia" w:hAnsi="宋体"/>
          <w:b/>
          <w:sz w:val="72"/>
          <w:szCs w:val="72"/>
        </w:rPr>
        <w:t>竞争性谈判文件</w:t>
      </w:r>
    </w:p>
    <w:p w14:paraId="031C02F7"/>
    <w:bookmarkEnd w:id="3"/>
    <w:bookmarkEnd w:id="4"/>
    <w:bookmarkEnd w:id="5"/>
    <w:p w14:paraId="64AA7327"/>
    <w:p w14:paraId="7A108C90"/>
    <w:p w14:paraId="67ED68A5"/>
    <w:p w14:paraId="19D4775B"/>
    <w:p w14:paraId="4CC37CAB">
      <w:pPr>
        <w:adjustRightInd w:val="0"/>
        <w:snapToGrid w:val="0"/>
        <w:spacing w:line="560" w:lineRule="exact"/>
        <w:jc w:val="both"/>
        <w:rPr>
          <w:rFonts w:hint="eastAsia" w:asciiTheme="minorEastAsia" w:hAnsiTheme="minorEastAsia" w:eastAsiaTheme="minorEastAsia" w:cstheme="minorEastAsia"/>
          <w:b/>
          <w:sz w:val="36"/>
          <w:szCs w:val="36"/>
        </w:rPr>
      </w:pPr>
    </w:p>
    <w:p w14:paraId="02929121">
      <w:pPr>
        <w:adjustRightInd w:val="0"/>
        <w:snapToGrid w:val="0"/>
        <w:spacing w:line="560" w:lineRule="exact"/>
        <w:jc w:val="center"/>
        <w:rPr>
          <w:rFonts w:hint="eastAsia" w:asciiTheme="minorEastAsia" w:hAnsiTheme="minorEastAsia" w:eastAsiaTheme="minorEastAsia" w:cstheme="minorEastAsia"/>
          <w:b/>
          <w:bCs w:val="0"/>
          <w:sz w:val="36"/>
          <w:szCs w:val="36"/>
        </w:rPr>
      </w:pPr>
      <w:r>
        <w:rPr>
          <w:rFonts w:hint="eastAsia" w:asciiTheme="minorEastAsia" w:hAnsiTheme="minorEastAsia" w:eastAsiaTheme="minorEastAsia" w:cstheme="minorEastAsia"/>
          <w:b/>
          <w:sz w:val="36"/>
          <w:szCs w:val="36"/>
        </w:rPr>
        <mc:AlternateContent>
          <mc:Choice Requires="wps">
            <w:drawing>
              <wp:anchor distT="0" distB="0" distL="114300" distR="114300" simplePos="0" relativeHeight="251659264" behindDoc="0" locked="0" layoutInCell="1" allowOverlap="1">
                <wp:simplePos x="0" y="0"/>
                <wp:positionH relativeFrom="column">
                  <wp:posOffset>1600200</wp:posOffset>
                </wp:positionH>
                <wp:positionV relativeFrom="paragraph">
                  <wp:posOffset>400050</wp:posOffset>
                </wp:positionV>
                <wp:extent cx="635" cy="0"/>
                <wp:effectExtent l="0" t="4445" r="0" b="5080"/>
                <wp:wrapNone/>
                <wp:docPr id="1" name="直接连接符 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26pt;margin-top:31.5pt;height:0pt;width:0.05pt;z-index:251659264;mso-width-relative:page;mso-height-relative:page;" filled="f" stroked="t" coordsize="21600,21600" o:gfxdata="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CznTm1QAA&#10;AAkBAAAPAAAAAAAAAAEAIAAAACIAAABkcnMvZG93bnJldi54bWxQSwECFAAUAAAACACHTuJARuFH&#10;HugBAADUAwAADgAAAAAAAAABACAAAAAkAQAAZHJzL2Uyb0RvYy54bWxQSwUGAAAAAAYABgBZAQAA&#10;fgUAAAAA&#10;">
                <v:fill on="f" focussize="0,0"/>
                <v:stroke color="#000000" joinstyle="round"/>
                <v:imagedata o:title=""/>
                <o:lock v:ext="edit" aspectratio="f"/>
              </v:line>
            </w:pict>
          </mc:Fallback>
        </mc:AlternateContent>
      </w:r>
      <w:r>
        <w:rPr>
          <w:rFonts w:hint="eastAsia" w:asciiTheme="minorEastAsia" w:hAnsiTheme="minorEastAsia" w:eastAsiaTheme="minorEastAsia" w:cstheme="minorEastAsia"/>
          <w:b/>
          <w:sz w:val="36"/>
          <w:szCs w:val="36"/>
        </w:rPr>
        <w:t>采购</w:t>
      </w:r>
      <w:r>
        <w:rPr>
          <w:rFonts w:hint="eastAsia" w:asciiTheme="minorEastAsia" w:hAnsiTheme="minorEastAsia" w:eastAsiaTheme="minorEastAsia" w:cstheme="minorEastAsia"/>
          <w:b/>
          <w:bCs w:val="0"/>
          <w:sz w:val="36"/>
          <w:szCs w:val="36"/>
        </w:rPr>
        <w:t>单位：海南卫生健康职业学院</w:t>
      </w:r>
    </w:p>
    <w:p w14:paraId="4BD64CC5">
      <w:pPr>
        <w:adjustRightInd w:val="0"/>
        <w:snapToGrid w:val="0"/>
        <w:spacing w:line="560" w:lineRule="exact"/>
        <w:jc w:val="center"/>
        <w:rPr>
          <w:rFonts w:hint="eastAsia" w:asciiTheme="minorEastAsia" w:hAnsiTheme="minorEastAsia" w:eastAsiaTheme="minorEastAsia" w:cstheme="minorEastAsia"/>
          <w:b/>
          <w:color w:val="auto"/>
          <w:sz w:val="36"/>
          <w:szCs w:val="36"/>
        </w:rPr>
        <w:sectPr>
          <w:headerReference r:id="rId4" w:type="first"/>
          <w:headerReference r:id="rId3" w:type="default"/>
          <w:pgSz w:w="11907" w:h="16840"/>
          <w:pgMar w:top="1417" w:right="1587" w:bottom="1418" w:left="1587" w:header="851" w:footer="851" w:gutter="0"/>
          <w:pgNumType w:fmt="numberInDash"/>
          <w:cols w:space="720" w:num="1"/>
          <w:docGrid w:linePitch="381" w:charSpace="-3931"/>
        </w:sectPr>
      </w:pPr>
      <w:r>
        <w:rPr>
          <w:rFonts w:hint="eastAsia" w:asciiTheme="minorEastAsia" w:hAnsiTheme="minorEastAsia" w:eastAsiaTheme="minorEastAsia" w:cstheme="minorEastAsia"/>
          <w:b/>
          <w:sz w:val="36"/>
          <w:szCs w:val="36"/>
        </w:rPr>
        <w:t>编制时间：2025</w:t>
      </w:r>
      <w:r>
        <w:rPr>
          <w:rFonts w:hint="eastAsia" w:asciiTheme="minorEastAsia" w:hAnsiTheme="minorEastAsia" w:eastAsiaTheme="minorEastAsia" w:cstheme="minorEastAsia"/>
          <w:b/>
          <w:color w:val="auto"/>
          <w:sz w:val="36"/>
          <w:szCs w:val="36"/>
        </w:rPr>
        <w:t>年</w:t>
      </w:r>
      <w:r>
        <w:rPr>
          <w:rFonts w:hint="eastAsia" w:asciiTheme="minorEastAsia" w:hAnsiTheme="minorEastAsia" w:eastAsiaTheme="minorEastAsia" w:cstheme="minorEastAsia"/>
          <w:b/>
          <w:color w:val="auto"/>
          <w:sz w:val="36"/>
          <w:szCs w:val="36"/>
          <w:lang w:val="en-US" w:eastAsia="zh-CN"/>
        </w:rPr>
        <w:t>10</w:t>
      </w:r>
      <w:r>
        <w:rPr>
          <w:rFonts w:hint="eastAsia" w:asciiTheme="minorEastAsia" w:hAnsiTheme="minorEastAsia" w:eastAsiaTheme="minorEastAsia" w:cstheme="minorEastAsia"/>
          <w:b/>
          <w:color w:val="auto"/>
          <w:sz w:val="36"/>
          <w:szCs w:val="36"/>
        </w:rPr>
        <w:t>月</w:t>
      </w:r>
      <w:r>
        <w:rPr>
          <w:rFonts w:hint="eastAsia" w:asciiTheme="minorEastAsia" w:hAnsiTheme="minorEastAsia" w:eastAsiaTheme="minorEastAsia" w:cstheme="minorEastAsia"/>
          <w:b/>
          <w:color w:val="auto"/>
          <w:sz w:val="36"/>
          <w:szCs w:val="36"/>
          <w:lang w:val="en-US" w:eastAsia="zh-CN"/>
        </w:rPr>
        <w:t>20</w:t>
      </w:r>
      <w:r>
        <w:rPr>
          <w:rFonts w:hint="eastAsia" w:asciiTheme="minorEastAsia" w:hAnsiTheme="minorEastAsia" w:eastAsiaTheme="minorEastAsia" w:cstheme="minorEastAsia"/>
          <w:b/>
          <w:color w:val="auto"/>
          <w:sz w:val="36"/>
          <w:szCs w:val="36"/>
        </w:rPr>
        <w:t>日</w:t>
      </w:r>
    </w:p>
    <w:p w14:paraId="774BFABB">
      <w:pPr>
        <w:pStyle w:val="13"/>
        <w:tabs>
          <w:tab w:val="right" w:leader="dot" w:pos="9746"/>
        </w:tabs>
        <w:jc w:val="center"/>
        <w:rPr>
          <w:rStyle w:val="23"/>
          <w:rFonts w:hint="eastAsia" w:asciiTheme="minorEastAsia" w:hAnsiTheme="minorEastAsia" w:eastAsiaTheme="minorEastAsia" w:cstheme="minorEastAsia"/>
          <w:sz w:val="32"/>
          <w:szCs w:val="32"/>
        </w:rPr>
      </w:pPr>
      <w:bookmarkStart w:id="6" w:name="_Toc9970"/>
      <w:bookmarkStart w:id="7" w:name="_Toc11124"/>
      <w:bookmarkStart w:id="8" w:name="_Toc356491305"/>
      <w:bookmarkStart w:id="9" w:name="_Toc40089788"/>
    </w:p>
    <w:p w14:paraId="38DECE9F">
      <w:pPr>
        <w:pStyle w:val="13"/>
        <w:tabs>
          <w:tab w:val="right" w:leader="dot" w:pos="9746"/>
        </w:tabs>
        <w:jc w:val="center"/>
        <w:rPr>
          <w:rStyle w:val="23"/>
          <w:rFonts w:hint="eastAsia" w:asciiTheme="minorEastAsia" w:hAnsiTheme="minorEastAsia" w:eastAsiaTheme="minorEastAsia" w:cstheme="minorEastAsia"/>
          <w:sz w:val="32"/>
          <w:szCs w:val="32"/>
        </w:rPr>
      </w:pPr>
      <w:r>
        <w:rPr>
          <w:rStyle w:val="23"/>
          <w:rFonts w:hint="eastAsia" w:asciiTheme="minorEastAsia" w:hAnsiTheme="minorEastAsia" w:eastAsiaTheme="minorEastAsia" w:cstheme="minorEastAsia"/>
          <w:sz w:val="32"/>
          <w:szCs w:val="32"/>
        </w:rPr>
        <w:t>目  录</w:t>
      </w:r>
    </w:p>
    <w:bookmarkEnd w:id="6"/>
    <w:bookmarkEnd w:id="7"/>
    <w:p w14:paraId="56A978CF">
      <w:pPr>
        <w:pStyle w:val="13"/>
        <w:tabs>
          <w:tab w:val="right" w:leader="dot" w:pos="9746"/>
        </w:tabs>
        <w:rPr>
          <w:rFonts w:hint="eastAsia" w:ascii="仿宋" w:hAnsi="仿宋" w:eastAsia="仿宋" w:cs="仿宋"/>
        </w:rPr>
      </w:pPr>
      <w:r>
        <w:rPr>
          <w:rStyle w:val="23"/>
          <w:rFonts w:hint="eastAsia"/>
          <w:sz w:val="32"/>
          <w:szCs w:val="32"/>
        </w:rPr>
        <w:fldChar w:fldCharType="begin"/>
      </w:r>
      <w:r>
        <w:rPr>
          <w:rStyle w:val="23"/>
          <w:rFonts w:hint="eastAsia" w:ascii="仿宋" w:hAnsi="仿宋" w:eastAsia="仿宋" w:cs="仿宋"/>
          <w:sz w:val="32"/>
          <w:szCs w:val="32"/>
        </w:rPr>
        <w:instrText xml:space="preserve">TOC \o "1-2" \h \u </w:instrText>
      </w:r>
      <w:r>
        <w:rPr>
          <w:rStyle w:val="23"/>
          <w:rFonts w:hint="eastAsia"/>
          <w:sz w:val="32"/>
          <w:szCs w:val="32"/>
        </w:rPr>
        <w:fldChar w:fldCharType="separate"/>
      </w:r>
      <w:r>
        <w:fldChar w:fldCharType="begin"/>
      </w:r>
      <w:r>
        <w:instrText xml:space="preserve"> HYPERLINK \l "_Toc11124" </w:instrText>
      </w:r>
      <w:r>
        <w:fldChar w:fldCharType="separate"/>
      </w:r>
      <w:r>
        <w:rPr>
          <w:rFonts w:hint="eastAsia" w:ascii="仿宋" w:hAnsi="仿宋" w:eastAsia="仿宋" w:cs="仿宋"/>
          <w:szCs w:val="32"/>
        </w:rPr>
        <w:t>目  录</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_Toc11124 \h </w:instrText>
      </w:r>
      <w:r>
        <w:rPr>
          <w:rFonts w:hint="eastAsia" w:ascii="仿宋" w:hAnsi="仿宋" w:eastAsia="仿宋" w:cs="仿宋"/>
        </w:rPr>
        <w:fldChar w:fldCharType="separate"/>
      </w:r>
      <w:r>
        <w:rPr>
          <w:rFonts w:hint="eastAsia" w:ascii="仿宋" w:hAnsi="仿宋" w:eastAsia="仿宋" w:cs="仿宋"/>
        </w:rPr>
        <w:t>- 1 -</w:t>
      </w:r>
      <w:r>
        <w:rPr>
          <w:rFonts w:hint="eastAsia" w:ascii="仿宋" w:hAnsi="仿宋" w:eastAsia="仿宋" w:cs="仿宋"/>
        </w:rPr>
        <w:fldChar w:fldCharType="end"/>
      </w:r>
      <w:r>
        <w:rPr>
          <w:rFonts w:hint="eastAsia" w:ascii="仿宋" w:hAnsi="仿宋" w:eastAsia="仿宋" w:cs="仿宋"/>
        </w:rPr>
        <w:fldChar w:fldCharType="end"/>
      </w:r>
    </w:p>
    <w:p w14:paraId="3E8C8F3E">
      <w:pPr>
        <w:pStyle w:val="13"/>
        <w:tabs>
          <w:tab w:val="right" w:leader="dot" w:pos="9746"/>
        </w:tabs>
        <w:rPr>
          <w:rFonts w:hint="eastAsia" w:ascii="仿宋" w:hAnsi="仿宋" w:eastAsia="仿宋" w:cs="仿宋"/>
        </w:rPr>
      </w:pPr>
      <w:r>
        <w:fldChar w:fldCharType="begin"/>
      </w:r>
      <w:r>
        <w:instrText xml:space="preserve"> HYPERLINK \l "_Toc24815" </w:instrText>
      </w:r>
      <w:r>
        <w:fldChar w:fldCharType="separate"/>
      </w:r>
      <w:r>
        <w:rPr>
          <w:rFonts w:hint="eastAsia" w:ascii="仿宋" w:hAnsi="仿宋" w:eastAsia="仿宋" w:cs="仿宋"/>
          <w:szCs w:val="44"/>
        </w:rPr>
        <w:t>第一部分 竞争性谈判公告</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_Toc24815 \h </w:instrText>
      </w:r>
      <w:r>
        <w:rPr>
          <w:rFonts w:hint="eastAsia" w:ascii="仿宋" w:hAnsi="仿宋" w:eastAsia="仿宋" w:cs="仿宋"/>
        </w:rPr>
        <w:fldChar w:fldCharType="separate"/>
      </w:r>
      <w:r>
        <w:rPr>
          <w:rFonts w:hint="eastAsia" w:ascii="仿宋" w:hAnsi="仿宋" w:eastAsia="仿宋" w:cs="仿宋"/>
        </w:rPr>
        <w:t>- 2 -</w:t>
      </w:r>
      <w:r>
        <w:rPr>
          <w:rFonts w:hint="eastAsia" w:ascii="仿宋" w:hAnsi="仿宋" w:eastAsia="仿宋" w:cs="仿宋"/>
        </w:rPr>
        <w:fldChar w:fldCharType="end"/>
      </w:r>
      <w:r>
        <w:rPr>
          <w:rFonts w:hint="eastAsia" w:ascii="仿宋" w:hAnsi="仿宋" w:eastAsia="仿宋" w:cs="仿宋"/>
        </w:rPr>
        <w:fldChar w:fldCharType="end"/>
      </w:r>
    </w:p>
    <w:p w14:paraId="31600289">
      <w:pPr>
        <w:pStyle w:val="13"/>
        <w:tabs>
          <w:tab w:val="right" w:leader="dot" w:pos="9746"/>
        </w:tabs>
        <w:rPr>
          <w:rFonts w:hint="eastAsia" w:ascii="仿宋" w:hAnsi="仿宋" w:eastAsia="仿宋" w:cs="仿宋"/>
        </w:rPr>
      </w:pPr>
      <w:r>
        <w:fldChar w:fldCharType="begin"/>
      </w:r>
      <w:r>
        <w:instrText xml:space="preserve"> HYPERLINK \l "_Toc12548" </w:instrText>
      </w:r>
      <w:r>
        <w:fldChar w:fldCharType="separate"/>
      </w:r>
      <w:r>
        <w:rPr>
          <w:rFonts w:hint="eastAsia" w:ascii="仿宋" w:hAnsi="仿宋" w:eastAsia="仿宋" w:cs="仿宋"/>
          <w:szCs w:val="44"/>
        </w:rPr>
        <w:t>第二部分  开标、评标、定标</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_Toc12548 \h </w:instrText>
      </w:r>
      <w:r>
        <w:rPr>
          <w:rFonts w:hint="eastAsia" w:ascii="仿宋" w:hAnsi="仿宋" w:eastAsia="仿宋" w:cs="仿宋"/>
        </w:rPr>
        <w:fldChar w:fldCharType="separate"/>
      </w:r>
      <w:r>
        <w:rPr>
          <w:rFonts w:hint="eastAsia" w:ascii="仿宋" w:hAnsi="仿宋" w:eastAsia="仿宋" w:cs="仿宋"/>
        </w:rPr>
        <w:t>- 5 -</w:t>
      </w:r>
      <w:r>
        <w:rPr>
          <w:rFonts w:hint="eastAsia" w:ascii="仿宋" w:hAnsi="仿宋" w:eastAsia="仿宋" w:cs="仿宋"/>
        </w:rPr>
        <w:fldChar w:fldCharType="end"/>
      </w:r>
      <w:r>
        <w:rPr>
          <w:rFonts w:hint="eastAsia" w:ascii="仿宋" w:hAnsi="仿宋" w:eastAsia="仿宋" w:cs="仿宋"/>
        </w:rPr>
        <w:fldChar w:fldCharType="end"/>
      </w:r>
    </w:p>
    <w:p w14:paraId="4B4E0069">
      <w:pPr>
        <w:pStyle w:val="13"/>
        <w:tabs>
          <w:tab w:val="right" w:leader="dot" w:pos="9746"/>
        </w:tabs>
        <w:rPr>
          <w:rFonts w:hint="eastAsia" w:ascii="仿宋" w:hAnsi="仿宋" w:eastAsia="仿宋" w:cs="仿宋"/>
        </w:rPr>
      </w:pPr>
      <w:r>
        <w:fldChar w:fldCharType="begin"/>
      </w:r>
      <w:r>
        <w:instrText xml:space="preserve"> HYPERLINK \l "_Toc7846" </w:instrText>
      </w:r>
      <w:r>
        <w:fldChar w:fldCharType="separate"/>
      </w:r>
      <w:r>
        <w:rPr>
          <w:rFonts w:hint="eastAsia" w:ascii="仿宋" w:hAnsi="仿宋" w:eastAsia="仿宋" w:cs="仿宋"/>
          <w:szCs w:val="44"/>
        </w:rPr>
        <w:t>第三部分 授予合同</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_Toc7846 \h </w:instrText>
      </w:r>
      <w:r>
        <w:rPr>
          <w:rFonts w:hint="eastAsia" w:ascii="仿宋" w:hAnsi="仿宋" w:eastAsia="仿宋" w:cs="仿宋"/>
        </w:rPr>
        <w:fldChar w:fldCharType="separate"/>
      </w:r>
      <w:r>
        <w:rPr>
          <w:rFonts w:hint="eastAsia" w:ascii="仿宋" w:hAnsi="仿宋" w:eastAsia="仿宋" w:cs="仿宋"/>
        </w:rPr>
        <w:t>- 11 -</w:t>
      </w:r>
      <w:r>
        <w:rPr>
          <w:rFonts w:hint="eastAsia" w:ascii="仿宋" w:hAnsi="仿宋" w:eastAsia="仿宋" w:cs="仿宋"/>
        </w:rPr>
        <w:fldChar w:fldCharType="end"/>
      </w:r>
      <w:r>
        <w:rPr>
          <w:rFonts w:hint="eastAsia" w:ascii="仿宋" w:hAnsi="仿宋" w:eastAsia="仿宋" w:cs="仿宋"/>
        </w:rPr>
        <w:fldChar w:fldCharType="end"/>
      </w:r>
    </w:p>
    <w:p w14:paraId="0A72904B">
      <w:pPr>
        <w:pStyle w:val="13"/>
        <w:tabs>
          <w:tab w:val="right" w:leader="dot" w:pos="9746"/>
        </w:tabs>
        <w:rPr>
          <w:rFonts w:hint="eastAsia" w:ascii="仿宋" w:hAnsi="仿宋" w:eastAsia="仿宋" w:cs="仿宋"/>
        </w:rPr>
      </w:pPr>
      <w:r>
        <w:fldChar w:fldCharType="begin"/>
      </w:r>
      <w:r>
        <w:instrText xml:space="preserve"> HYPERLINK \l "_Toc28109" </w:instrText>
      </w:r>
      <w:r>
        <w:fldChar w:fldCharType="separate"/>
      </w:r>
      <w:r>
        <w:rPr>
          <w:rFonts w:hint="eastAsia" w:ascii="仿宋" w:hAnsi="仿宋" w:eastAsia="仿宋" w:cs="仿宋"/>
        </w:rPr>
        <w:t>第四部分 项目需求及说明</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_Toc28109 \h </w:instrText>
      </w:r>
      <w:r>
        <w:rPr>
          <w:rFonts w:hint="eastAsia" w:ascii="仿宋" w:hAnsi="仿宋" w:eastAsia="仿宋" w:cs="仿宋"/>
        </w:rPr>
        <w:fldChar w:fldCharType="separate"/>
      </w:r>
      <w:r>
        <w:rPr>
          <w:rFonts w:hint="eastAsia" w:ascii="仿宋" w:hAnsi="仿宋" w:eastAsia="仿宋" w:cs="仿宋"/>
        </w:rPr>
        <w:t>- 16 -</w:t>
      </w:r>
      <w:r>
        <w:rPr>
          <w:rFonts w:hint="eastAsia" w:ascii="仿宋" w:hAnsi="仿宋" w:eastAsia="仿宋" w:cs="仿宋"/>
        </w:rPr>
        <w:fldChar w:fldCharType="end"/>
      </w:r>
      <w:r>
        <w:rPr>
          <w:rFonts w:hint="eastAsia" w:ascii="仿宋" w:hAnsi="仿宋" w:eastAsia="仿宋" w:cs="仿宋"/>
        </w:rPr>
        <w:fldChar w:fldCharType="end"/>
      </w:r>
    </w:p>
    <w:p w14:paraId="6816400C">
      <w:pPr>
        <w:pStyle w:val="13"/>
        <w:tabs>
          <w:tab w:val="right" w:leader="dot" w:pos="9746"/>
        </w:tabs>
        <w:rPr>
          <w:rFonts w:hint="eastAsia" w:ascii="仿宋" w:hAnsi="仿宋" w:eastAsia="仿宋" w:cs="仿宋"/>
        </w:rPr>
      </w:pPr>
      <w:r>
        <w:fldChar w:fldCharType="begin"/>
      </w:r>
      <w:r>
        <w:instrText xml:space="preserve"> HYPERLINK \l "_Toc25374" </w:instrText>
      </w:r>
      <w:r>
        <w:fldChar w:fldCharType="separate"/>
      </w:r>
      <w:r>
        <w:rPr>
          <w:rFonts w:hint="eastAsia" w:ascii="仿宋" w:hAnsi="仿宋" w:eastAsia="仿宋" w:cs="仿宋"/>
          <w:szCs w:val="44"/>
        </w:rPr>
        <w:t>第五部分 报价文件格式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_Toc25374 \h </w:instrText>
      </w:r>
      <w:r>
        <w:rPr>
          <w:rFonts w:hint="eastAsia" w:ascii="仿宋" w:hAnsi="仿宋" w:eastAsia="仿宋" w:cs="仿宋"/>
        </w:rPr>
        <w:fldChar w:fldCharType="separate"/>
      </w:r>
      <w:r>
        <w:rPr>
          <w:rFonts w:hint="eastAsia" w:ascii="仿宋" w:hAnsi="仿宋" w:eastAsia="仿宋" w:cs="仿宋"/>
        </w:rPr>
        <w:t>- 20 -</w:t>
      </w:r>
      <w:r>
        <w:rPr>
          <w:rFonts w:hint="eastAsia" w:ascii="仿宋" w:hAnsi="仿宋" w:eastAsia="仿宋" w:cs="仿宋"/>
        </w:rPr>
        <w:fldChar w:fldCharType="end"/>
      </w:r>
      <w:r>
        <w:rPr>
          <w:rFonts w:hint="eastAsia" w:ascii="仿宋" w:hAnsi="仿宋" w:eastAsia="仿宋" w:cs="仿宋"/>
        </w:rPr>
        <w:fldChar w:fldCharType="end"/>
      </w:r>
    </w:p>
    <w:p w14:paraId="38A3EC0B">
      <w:pPr>
        <w:pStyle w:val="13"/>
        <w:tabs>
          <w:tab w:val="right" w:leader="dot" w:pos="9746"/>
        </w:tabs>
        <w:rPr>
          <w:rFonts w:hint="eastAsia" w:ascii="仿宋" w:hAnsi="仿宋" w:eastAsia="仿宋" w:cs="仿宋"/>
        </w:rPr>
      </w:pPr>
      <w:r>
        <w:fldChar w:fldCharType="begin"/>
      </w:r>
      <w:r>
        <w:instrText xml:space="preserve"> HYPERLINK \l "_Toc6665" </w:instrText>
      </w:r>
      <w:r>
        <w:fldChar w:fldCharType="separate"/>
      </w:r>
      <w:r>
        <w:rPr>
          <w:rFonts w:hint="eastAsia" w:ascii="仿宋" w:hAnsi="仿宋" w:eastAsia="仿宋" w:cs="仿宋"/>
        </w:rPr>
        <w:t>一、商务部分</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_Toc6665 \h </w:instrText>
      </w:r>
      <w:r>
        <w:rPr>
          <w:rFonts w:hint="eastAsia" w:ascii="仿宋" w:hAnsi="仿宋" w:eastAsia="仿宋" w:cs="仿宋"/>
        </w:rPr>
        <w:fldChar w:fldCharType="separate"/>
      </w:r>
      <w:r>
        <w:rPr>
          <w:rFonts w:hint="eastAsia" w:ascii="仿宋" w:hAnsi="仿宋" w:eastAsia="仿宋" w:cs="仿宋"/>
        </w:rPr>
        <w:t>- 23 -</w:t>
      </w:r>
      <w:r>
        <w:rPr>
          <w:rFonts w:hint="eastAsia" w:ascii="仿宋" w:hAnsi="仿宋" w:eastAsia="仿宋" w:cs="仿宋"/>
        </w:rPr>
        <w:fldChar w:fldCharType="end"/>
      </w:r>
      <w:r>
        <w:rPr>
          <w:rFonts w:hint="eastAsia" w:ascii="仿宋" w:hAnsi="仿宋" w:eastAsia="仿宋" w:cs="仿宋"/>
        </w:rPr>
        <w:fldChar w:fldCharType="end"/>
      </w:r>
    </w:p>
    <w:p w14:paraId="03A33A1E">
      <w:pPr>
        <w:pStyle w:val="14"/>
        <w:tabs>
          <w:tab w:val="right" w:leader="dot" w:pos="9746"/>
        </w:tabs>
        <w:ind w:left="560"/>
        <w:rPr>
          <w:rFonts w:hint="eastAsia" w:ascii="仿宋" w:hAnsi="仿宋" w:eastAsia="仿宋" w:cs="仿宋"/>
        </w:rPr>
      </w:pPr>
      <w:r>
        <w:fldChar w:fldCharType="begin"/>
      </w:r>
      <w:r>
        <w:instrText xml:space="preserve"> HYPERLINK \l "_Toc13087" </w:instrText>
      </w:r>
      <w:r>
        <w:fldChar w:fldCharType="separate"/>
      </w:r>
      <w:r>
        <w:rPr>
          <w:rFonts w:hint="eastAsia" w:ascii="仿宋" w:hAnsi="仿宋" w:eastAsia="仿宋" w:cs="仿宋"/>
          <w:szCs w:val="36"/>
        </w:rPr>
        <w:t>1.附件1</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_Toc13087 \h </w:instrText>
      </w:r>
      <w:r>
        <w:rPr>
          <w:rFonts w:hint="eastAsia" w:ascii="仿宋" w:hAnsi="仿宋" w:eastAsia="仿宋" w:cs="仿宋"/>
        </w:rPr>
        <w:fldChar w:fldCharType="separate"/>
      </w:r>
      <w:r>
        <w:rPr>
          <w:rFonts w:hint="eastAsia" w:ascii="仿宋" w:hAnsi="仿宋" w:eastAsia="仿宋" w:cs="仿宋"/>
        </w:rPr>
        <w:t>- 24 -</w:t>
      </w:r>
      <w:r>
        <w:rPr>
          <w:rFonts w:hint="eastAsia" w:ascii="仿宋" w:hAnsi="仿宋" w:eastAsia="仿宋" w:cs="仿宋"/>
        </w:rPr>
        <w:fldChar w:fldCharType="end"/>
      </w:r>
      <w:r>
        <w:rPr>
          <w:rFonts w:hint="eastAsia" w:ascii="仿宋" w:hAnsi="仿宋" w:eastAsia="仿宋" w:cs="仿宋"/>
        </w:rPr>
        <w:fldChar w:fldCharType="end"/>
      </w:r>
    </w:p>
    <w:p w14:paraId="27F93564">
      <w:pPr>
        <w:pStyle w:val="14"/>
        <w:tabs>
          <w:tab w:val="right" w:leader="dot" w:pos="9746"/>
        </w:tabs>
        <w:ind w:left="560"/>
        <w:rPr>
          <w:rFonts w:hint="eastAsia" w:ascii="仿宋" w:hAnsi="仿宋" w:eastAsia="仿宋" w:cs="仿宋"/>
        </w:rPr>
      </w:pPr>
      <w:r>
        <w:fldChar w:fldCharType="begin"/>
      </w:r>
      <w:r>
        <w:instrText xml:space="preserve"> HYPERLINK \l "_Toc26378" </w:instrText>
      </w:r>
      <w:r>
        <w:fldChar w:fldCharType="separate"/>
      </w:r>
      <w:r>
        <w:rPr>
          <w:rFonts w:hint="eastAsia" w:ascii="仿宋" w:hAnsi="仿宋" w:eastAsia="仿宋" w:cs="仿宋"/>
          <w:szCs w:val="36"/>
        </w:rPr>
        <w:t>2.附件2</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_Toc26378 \h </w:instrText>
      </w:r>
      <w:r>
        <w:rPr>
          <w:rFonts w:hint="eastAsia" w:ascii="仿宋" w:hAnsi="仿宋" w:eastAsia="仿宋" w:cs="仿宋"/>
        </w:rPr>
        <w:fldChar w:fldCharType="separate"/>
      </w:r>
      <w:r>
        <w:rPr>
          <w:rFonts w:hint="eastAsia" w:ascii="仿宋" w:hAnsi="仿宋" w:eastAsia="仿宋" w:cs="仿宋"/>
        </w:rPr>
        <w:t>- 25 -</w:t>
      </w:r>
      <w:r>
        <w:rPr>
          <w:rFonts w:hint="eastAsia" w:ascii="仿宋" w:hAnsi="仿宋" w:eastAsia="仿宋" w:cs="仿宋"/>
        </w:rPr>
        <w:fldChar w:fldCharType="end"/>
      </w:r>
      <w:r>
        <w:rPr>
          <w:rFonts w:hint="eastAsia" w:ascii="仿宋" w:hAnsi="仿宋" w:eastAsia="仿宋" w:cs="仿宋"/>
        </w:rPr>
        <w:fldChar w:fldCharType="end"/>
      </w:r>
    </w:p>
    <w:p w14:paraId="1E82026A">
      <w:pPr>
        <w:pStyle w:val="14"/>
        <w:tabs>
          <w:tab w:val="right" w:leader="dot" w:pos="9746"/>
        </w:tabs>
        <w:ind w:left="560"/>
        <w:rPr>
          <w:rFonts w:hint="eastAsia" w:ascii="仿宋" w:hAnsi="仿宋" w:eastAsia="仿宋" w:cs="仿宋"/>
        </w:rPr>
      </w:pPr>
      <w:r>
        <w:fldChar w:fldCharType="begin"/>
      </w:r>
      <w:r>
        <w:instrText xml:space="preserve"> HYPERLINK \l "_Toc25524" </w:instrText>
      </w:r>
      <w:r>
        <w:fldChar w:fldCharType="separate"/>
      </w:r>
      <w:r>
        <w:rPr>
          <w:rFonts w:hint="eastAsia" w:ascii="仿宋" w:hAnsi="仿宋" w:eastAsia="仿宋" w:cs="仿宋"/>
          <w:szCs w:val="36"/>
        </w:rPr>
        <w:t>3.</w:t>
      </w:r>
      <w:r>
        <w:rPr>
          <w:rFonts w:hint="eastAsia" w:ascii="仿宋" w:hAnsi="仿宋" w:eastAsia="仿宋" w:cs="仿宋"/>
          <w:kern w:val="0"/>
          <w:szCs w:val="36"/>
        </w:rPr>
        <w:t>附件3</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_Toc25524 \h </w:instrText>
      </w:r>
      <w:r>
        <w:rPr>
          <w:rFonts w:hint="eastAsia" w:ascii="仿宋" w:hAnsi="仿宋" w:eastAsia="仿宋" w:cs="仿宋"/>
        </w:rPr>
        <w:fldChar w:fldCharType="separate"/>
      </w:r>
      <w:r>
        <w:rPr>
          <w:rFonts w:hint="eastAsia" w:ascii="仿宋" w:hAnsi="仿宋" w:eastAsia="仿宋" w:cs="仿宋"/>
        </w:rPr>
        <w:t>- 26 -</w:t>
      </w:r>
      <w:r>
        <w:rPr>
          <w:rFonts w:hint="eastAsia" w:ascii="仿宋" w:hAnsi="仿宋" w:eastAsia="仿宋" w:cs="仿宋"/>
        </w:rPr>
        <w:fldChar w:fldCharType="end"/>
      </w:r>
      <w:r>
        <w:rPr>
          <w:rFonts w:hint="eastAsia" w:ascii="仿宋" w:hAnsi="仿宋" w:eastAsia="仿宋" w:cs="仿宋"/>
        </w:rPr>
        <w:fldChar w:fldCharType="end"/>
      </w:r>
    </w:p>
    <w:p w14:paraId="7CA3621D">
      <w:pPr>
        <w:pStyle w:val="14"/>
        <w:tabs>
          <w:tab w:val="right" w:leader="dot" w:pos="9746"/>
        </w:tabs>
        <w:ind w:left="560"/>
        <w:rPr>
          <w:rFonts w:hint="eastAsia" w:ascii="仿宋" w:hAnsi="仿宋" w:eastAsia="仿宋" w:cs="仿宋"/>
        </w:rPr>
      </w:pPr>
      <w:r>
        <w:fldChar w:fldCharType="begin"/>
      </w:r>
      <w:r>
        <w:instrText xml:space="preserve"> HYPERLINK \l "_Toc8872" </w:instrText>
      </w:r>
      <w:r>
        <w:fldChar w:fldCharType="separate"/>
      </w:r>
      <w:r>
        <w:rPr>
          <w:rFonts w:hint="eastAsia" w:ascii="仿宋" w:hAnsi="仿宋" w:eastAsia="仿宋" w:cs="仿宋"/>
          <w:szCs w:val="36"/>
        </w:rPr>
        <w:t>4.</w:t>
      </w:r>
      <w:r>
        <w:rPr>
          <w:rFonts w:hint="eastAsia" w:ascii="仿宋" w:hAnsi="仿宋" w:eastAsia="仿宋" w:cs="仿宋"/>
          <w:kern w:val="0"/>
          <w:szCs w:val="36"/>
        </w:rPr>
        <w:t>附件4</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_Toc8872 \h </w:instrText>
      </w:r>
      <w:r>
        <w:rPr>
          <w:rFonts w:hint="eastAsia" w:ascii="仿宋" w:hAnsi="仿宋" w:eastAsia="仿宋" w:cs="仿宋"/>
        </w:rPr>
        <w:fldChar w:fldCharType="separate"/>
      </w:r>
      <w:r>
        <w:rPr>
          <w:rFonts w:hint="eastAsia" w:ascii="仿宋" w:hAnsi="仿宋" w:eastAsia="仿宋" w:cs="仿宋"/>
        </w:rPr>
        <w:t>- 27 -</w:t>
      </w:r>
      <w:r>
        <w:rPr>
          <w:rFonts w:hint="eastAsia" w:ascii="仿宋" w:hAnsi="仿宋" w:eastAsia="仿宋" w:cs="仿宋"/>
        </w:rPr>
        <w:fldChar w:fldCharType="end"/>
      </w:r>
      <w:r>
        <w:rPr>
          <w:rFonts w:hint="eastAsia" w:ascii="仿宋" w:hAnsi="仿宋" w:eastAsia="仿宋" w:cs="仿宋"/>
        </w:rPr>
        <w:fldChar w:fldCharType="end"/>
      </w:r>
    </w:p>
    <w:p w14:paraId="22F7E8ED">
      <w:pPr>
        <w:pStyle w:val="13"/>
        <w:tabs>
          <w:tab w:val="right" w:leader="dot" w:pos="9746"/>
        </w:tabs>
        <w:rPr>
          <w:rFonts w:hint="eastAsia" w:ascii="仿宋" w:hAnsi="仿宋" w:eastAsia="仿宋" w:cs="仿宋"/>
        </w:rPr>
      </w:pPr>
      <w:r>
        <w:fldChar w:fldCharType="begin"/>
      </w:r>
      <w:r>
        <w:instrText xml:space="preserve"> HYPERLINK \l "_Toc3171" </w:instrText>
      </w:r>
      <w:r>
        <w:fldChar w:fldCharType="separate"/>
      </w:r>
      <w:r>
        <w:rPr>
          <w:rFonts w:hint="eastAsia" w:ascii="仿宋" w:hAnsi="仿宋" w:eastAsia="仿宋" w:cs="仿宋"/>
        </w:rPr>
        <w:t>二、 资信部分</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_Toc3171 \h </w:instrText>
      </w:r>
      <w:r>
        <w:rPr>
          <w:rFonts w:hint="eastAsia" w:ascii="仿宋" w:hAnsi="仿宋" w:eastAsia="仿宋" w:cs="仿宋"/>
        </w:rPr>
        <w:fldChar w:fldCharType="separate"/>
      </w:r>
      <w:r>
        <w:rPr>
          <w:rFonts w:hint="eastAsia" w:ascii="仿宋" w:hAnsi="仿宋" w:eastAsia="仿宋" w:cs="仿宋"/>
        </w:rPr>
        <w:t>- 29 -</w:t>
      </w:r>
      <w:r>
        <w:rPr>
          <w:rFonts w:hint="eastAsia" w:ascii="仿宋" w:hAnsi="仿宋" w:eastAsia="仿宋" w:cs="仿宋"/>
        </w:rPr>
        <w:fldChar w:fldCharType="end"/>
      </w:r>
      <w:r>
        <w:rPr>
          <w:rFonts w:hint="eastAsia" w:ascii="仿宋" w:hAnsi="仿宋" w:eastAsia="仿宋" w:cs="仿宋"/>
        </w:rPr>
        <w:fldChar w:fldCharType="end"/>
      </w:r>
    </w:p>
    <w:p w14:paraId="1BAF7F47">
      <w:pPr>
        <w:pStyle w:val="13"/>
        <w:tabs>
          <w:tab w:val="right" w:leader="dot" w:pos="9746"/>
        </w:tabs>
        <w:rPr>
          <w:rFonts w:hint="eastAsia" w:ascii="仿宋" w:hAnsi="仿宋" w:eastAsia="仿宋" w:cs="仿宋"/>
        </w:rPr>
      </w:pPr>
      <w:r>
        <w:fldChar w:fldCharType="begin"/>
      </w:r>
      <w:r>
        <w:instrText xml:space="preserve"> HYPERLINK \l "_Toc19227" </w:instrText>
      </w:r>
      <w:r>
        <w:fldChar w:fldCharType="separate"/>
      </w:r>
      <w:r>
        <w:rPr>
          <w:rFonts w:hint="eastAsia" w:ascii="仿宋" w:hAnsi="仿宋" w:eastAsia="仿宋" w:cs="仿宋"/>
        </w:rPr>
        <w:t>三、 技术部分</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_Toc19227 \h </w:instrText>
      </w:r>
      <w:r>
        <w:rPr>
          <w:rFonts w:hint="eastAsia" w:ascii="仿宋" w:hAnsi="仿宋" w:eastAsia="仿宋" w:cs="仿宋"/>
        </w:rPr>
        <w:fldChar w:fldCharType="separate"/>
      </w:r>
      <w:r>
        <w:rPr>
          <w:rFonts w:hint="eastAsia" w:ascii="仿宋" w:hAnsi="仿宋" w:eastAsia="仿宋" w:cs="仿宋"/>
        </w:rPr>
        <w:t>- 29 -</w:t>
      </w:r>
      <w:r>
        <w:rPr>
          <w:rFonts w:hint="eastAsia" w:ascii="仿宋" w:hAnsi="仿宋" w:eastAsia="仿宋" w:cs="仿宋"/>
        </w:rPr>
        <w:fldChar w:fldCharType="end"/>
      </w:r>
      <w:r>
        <w:rPr>
          <w:rFonts w:hint="eastAsia" w:ascii="仿宋" w:hAnsi="仿宋" w:eastAsia="仿宋" w:cs="仿宋"/>
        </w:rPr>
        <w:fldChar w:fldCharType="end"/>
      </w:r>
    </w:p>
    <w:p w14:paraId="36B27C98">
      <w:pPr>
        <w:pStyle w:val="14"/>
        <w:tabs>
          <w:tab w:val="right" w:leader="dot" w:pos="9746"/>
        </w:tabs>
        <w:ind w:left="560"/>
        <w:rPr>
          <w:rFonts w:hint="eastAsia" w:ascii="仿宋" w:hAnsi="仿宋" w:eastAsia="仿宋" w:cs="仿宋"/>
        </w:rPr>
      </w:pPr>
      <w:r>
        <w:fldChar w:fldCharType="begin"/>
      </w:r>
      <w:r>
        <w:instrText xml:space="preserve"> HYPERLINK \l "_Toc3116" </w:instrText>
      </w:r>
      <w:r>
        <w:fldChar w:fldCharType="separate"/>
      </w:r>
      <w:r>
        <w:rPr>
          <w:rFonts w:hint="eastAsia" w:ascii="仿宋" w:hAnsi="仿宋" w:eastAsia="仿宋" w:cs="仿宋"/>
          <w:kern w:val="0"/>
          <w:szCs w:val="36"/>
        </w:rPr>
        <w:t>5.附件5</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_Toc3116 \h </w:instrText>
      </w:r>
      <w:r>
        <w:rPr>
          <w:rFonts w:hint="eastAsia" w:ascii="仿宋" w:hAnsi="仿宋" w:eastAsia="仿宋" w:cs="仿宋"/>
        </w:rPr>
        <w:fldChar w:fldCharType="separate"/>
      </w:r>
      <w:r>
        <w:rPr>
          <w:rFonts w:hint="eastAsia" w:ascii="仿宋" w:hAnsi="仿宋" w:eastAsia="仿宋" w:cs="仿宋"/>
        </w:rPr>
        <w:t>- 30 -</w:t>
      </w:r>
      <w:r>
        <w:rPr>
          <w:rFonts w:hint="eastAsia" w:ascii="仿宋" w:hAnsi="仿宋" w:eastAsia="仿宋" w:cs="仿宋"/>
        </w:rPr>
        <w:fldChar w:fldCharType="end"/>
      </w:r>
      <w:r>
        <w:rPr>
          <w:rFonts w:hint="eastAsia" w:ascii="仿宋" w:hAnsi="仿宋" w:eastAsia="仿宋" w:cs="仿宋"/>
        </w:rPr>
        <w:fldChar w:fldCharType="end"/>
      </w:r>
    </w:p>
    <w:p w14:paraId="786296BA">
      <w:pPr>
        <w:pStyle w:val="14"/>
        <w:tabs>
          <w:tab w:val="right" w:leader="dot" w:pos="9746"/>
        </w:tabs>
        <w:ind w:left="560"/>
        <w:rPr>
          <w:rFonts w:hint="eastAsia" w:ascii="仿宋" w:hAnsi="仿宋" w:eastAsia="仿宋" w:cs="仿宋"/>
        </w:rPr>
      </w:pPr>
      <w:r>
        <w:fldChar w:fldCharType="begin"/>
      </w:r>
      <w:r>
        <w:instrText xml:space="preserve"> HYPERLINK \l "_Toc15995" </w:instrText>
      </w:r>
      <w:r>
        <w:fldChar w:fldCharType="separate"/>
      </w:r>
      <w:r>
        <w:rPr>
          <w:rFonts w:hint="eastAsia" w:ascii="仿宋" w:hAnsi="仿宋" w:eastAsia="仿宋" w:cs="仿宋"/>
          <w:szCs w:val="36"/>
        </w:rPr>
        <w:t>6.</w:t>
      </w:r>
      <w:r>
        <w:rPr>
          <w:rFonts w:hint="eastAsia" w:ascii="仿宋" w:hAnsi="仿宋" w:eastAsia="仿宋" w:cs="仿宋"/>
          <w:kern w:val="0"/>
          <w:szCs w:val="36"/>
        </w:rPr>
        <w:t>附件6</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_Toc15995 \h </w:instrText>
      </w:r>
      <w:r>
        <w:rPr>
          <w:rFonts w:hint="eastAsia" w:ascii="仿宋" w:hAnsi="仿宋" w:eastAsia="仿宋" w:cs="仿宋"/>
        </w:rPr>
        <w:fldChar w:fldCharType="separate"/>
      </w:r>
      <w:r>
        <w:rPr>
          <w:rFonts w:hint="eastAsia" w:ascii="仿宋" w:hAnsi="仿宋" w:eastAsia="仿宋" w:cs="仿宋"/>
        </w:rPr>
        <w:t>- 31 -</w:t>
      </w:r>
      <w:r>
        <w:rPr>
          <w:rFonts w:hint="eastAsia" w:ascii="仿宋" w:hAnsi="仿宋" w:eastAsia="仿宋" w:cs="仿宋"/>
        </w:rPr>
        <w:fldChar w:fldCharType="end"/>
      </w:r>
      <w:r>
        <w:rPr>
          <w:rFonts w:hint="eastAsia" w:ascii="仿宋" w:hAnsi="仿宋" w:eastAsia="仿宋" w:cs="仿宋"/>
        </w:rPr>
        <w:fldChar w:fldCharType="end"/>
      </w:r>
    </w:p>
    <w:p w14:paraId="793D50A8">
      <w:pPr>
        <w:pStyle w:val="13"/>
        <w:tabs>
          <w:tab w:val="right" w:leader="dot" w:pos="9746"/>
        </w:tabs>
        <w:rPr>
          <w:rFonts w:hint="eastAsia" w:ascii="仿宋" w:hAnsi="仿宋" w:eastAsia="仿宋" w:cs="仿宋"/>
        </w:rPr>
      </w:pPr>
      <w:r>
        <w:fldChar w:fldCharType="begin"/>
      </w:r>
      <w:r>
        <w:instrText xml:space="preserve"> HYPERLINK \l "_Toc16244" </w:instrText>
      </w:r>
      <w:r>
        <w:fldChar w:fldCharType="separate"/>
      </w:r>
      <w:r>
        <w:rPr>
          <w:rFonts w:hint="eastAsia" w:ascii="仿宋" w:hAnsi="仿宋" w:eastAsia="仿宋" w:cs="仿宋"/>
        </w:rPr>
        <w:t>四、报价部分</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_Toc16244 \h </w:instrText>
      </w:r>
      <w:r>
        <w:rPr>
          <w:rFonts w:hint="eastAsia" w:ascii="仿宋" w:hAnsi="仿宋" w:eastAsia="仿宋" w:cs="仿宋"/>
        </w:rPr>
        <w:fldChar w:fldCharType="separate"/>
      </w:r>
      <w:r>
        <w:rPr>
          <w:rFonts w:hint="eastAsia" w:ascii="仿宋" w:hAnsi="仿宋" w:eastAsia="仿宋" w:cs="仿宋"/>
        </w:rPr>
        <w:t>- 32 -</w:t>
      </w:r>
      <w:r>
        <w:rPr>
          <w:rFonts w:hint="eastAsia" w:ascii="仿宋" w:hAnsi="仿宋" w:eastAsia="仿宋" w:cs="仿宋"/>
        </w:rPr>
        <w:fldChar w:fldCharType="end"/>
      </w:r>
      <w:r>
        <w:rPr>
          <w:rFonts w:hint="eastAsia" w:ascii="仿宋" w:hAnsi="仿宋" w:eastAsia="仿宋" w:cs="仿宋"/>
        </w:rPr>
        <w:fldChar w:fldCharType="end"/>
      </w:r>
    </w:p>
    <w:p w14:paraId="404C3D3C">
      <w:pPr>
        <w:pStyle w:val="14"/>
        <w:tabs>
          <w:tab w:val="right" w:leader="dot" w:pos="9746"/>
        </w:tabs>
        <w:ind w:left="560"/>
        <w:rPr>
          <w:rFonts w:hint="eastAsia" w:ascii="仿宋" w:hAnsi="仿宋" w:eastAsia="仿宋" w:cs="仿宋"/>
        </w:rPr>
      </w:pPr>
      <w:r>
        <w:fldChar w:fldCharType="begin"/>
      </w:r>
      <w:r>
        <w:instrText xml:space="preserve"> HYPERLINK \l "_Toc19336" </w:instrText>
      </w:r>
      <w:r>
        <w:fldChar w:fldCharType="separate"/>
      </w:r>
      <w:r>
        <w:rPr>
          <w:rFonts w:hint="eastAsia" w:ascii="仿宋" w:hAnsi="仿宋" w:eastAsia="仿宋" w:cs="仿宋"/>
          <w:szCs w:val="36"/>
        </w:rPr>
        <w:t>7.附件7</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_Toc19336 \h </w:instrText>
      </w:r>
      <w:r>
        <w:rPr>
          <w:rFonts w:hint="eastAsia" w:ascii="仿宋" w:hAnsi="仿宋" w:eastAsia="仿宋" w:cs="仿宋"/>
        </w:rPr>
        <w:fldChar w:fldCharType="separate"/>
      </w:r>
      <w:r>
        <w:rPr>
          <w:rFonts w:hint="eastAsia" w:ascii="仿宋" w:hAnsi="仿宋" w:eastAsia="仿宋" w:cs="仿宋"/>
        </w:rPr>
        <w:t>- 33 -</w:t>
      </w:r>
      <w:r>
        <w:rPr>
          <w:rFonts w:hint="eastAsia" w:ascii="仿宋" w:hAnsi="仿宋" w:eastAsia="仿宋" w:cs="仿宋"/>
        </w:rPr>
        <w:fldChar w:fldCharType="end"/>
      </w:r>
      <w:r>
        <w:rPr>
          <w:rFonts w:hint="eastAsia" w:ascii="仿宋" w:hAnsi="仿宋" w:eastAsia="仿宋" w:cs="仿宋"/>
        </w:rPr>
        <w:fldChar w:fldCharType="end"/>
      </w:r>
    </w:p>
    <w:p w14:paraId="47D5F88B">
      <w:pPr>
        <w:pStyle w:val="13"/>
        <w:tabs>
          <w:tab w:val="right" w:leader="dot" w:pos="9746"/>
        </w:tabs>
        <w:rPr>
          <w:rFonts w:hint="eastAsia" w:ascii="仿宋" w:hAnsi="仿宋" w:eastAsia="仿宋" w:cs="仿宋"/>
        </w:rPr>
      </w:pPr>
      <w:r>
        <w:fldChar w:fldCharType="begin"/>
      </w:r>
      <w:r>
        <w:instrText xml:space="preserve"> HYPERLINK \l "_Toc13890" </w:instrText>
      </w:r>
      <w:r>
        <w:fldChar w:fldCharType="separate"/>
      </w:r>
      <w:r>
        <w:rPr>
          <w:rFonts w:hint="eastAsia" w:ascii="仿宋" w:hAnsi="仿宋" w:eastAsia="仿宋" w:cs="仿宋"/>
        </w:rPr>
        <w:t>封套格式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_Toc13890 \h </w:instrText>
      </w:r>
      <w:r>
        <w:rPr>
          <w:rFonts w:hint="eastAsia" w:ascii="仿宋" w:hAnsi="仿宋" w:eastAsia="仿宋" w:cs="仿宋"/>
        </w:rPr>
        <w:fldChar w:fldCharType="separate"/>
      </w:r>
      <w:r>
        <w:rPr>
          <w:rFonts w:hint="eastAsia" w:ascii="仿宋" w:hAnsi="仿宋" w:eastAsia="仿宋" w:cs="仿宋"/>
        </w:rPr>
        <w:t>- 34 -</w:t>
      </w:r>
      <w:r>
        <w:rPr>
          <w:rFonts w:hint="eastAsia" w:ascii="仿宋" w:hAnsi="仿宋" w:eastAsia="仿宋" w:cs="仿宋"/>
        </w:rPr>
        <w:fldChar w:fldCharType="end"/>
      </w:r>
      <w:r>
        <w:rPr>
          <w:rFonts w:hint="eastAsia" w:ascii="仿宋" w:hAnsi="仿宋" w:eastAsia="仿宋" w:cs="仿宋"/>
        </w:rPr>
        <w:fldChar w:fldCharType="end"/>
      </w:r>
    </w:p>
    <w:p w14:paraId="76ACCCDA">
      <w:pPr>
        <w:adjustRightInd w:val="0"/>
        <w:snapToGrid w:val="0"/>
        <w:spacing w:line="560" w:lineRule="exact"/>
        <w:ind w:firstLine="560" w:firstLineChars="200"/>
        <w:rPr>
          <w:rStyle w:val="23"/>
          <w:rFonts w:hint="eastAsia" w:asciiTheme="minorEastAsia" w:hAnsiTheme="minorEastAsia" w:eastAsiaTheme="minorEastAsia" w:cstheme="minorEastAsia"/>
          <w:sz w:val="44"/>
        </w:rPr>
      </w:pPr>
      <w:r>
        <w:rPr>
          <w:rFonts w:hint="eastAsia" w:ascii="仿宋" w:hAnsi="仿宋" w:eastAsia="仿宋" w:cs="仿宋"/>
          <w:szCs w:val="32"/>
        </w:rPr>
        <w:fldChar w:fldCharType="end"/>
      </w:r>
      <w:bookmarkStart w:id="10" w:name="_Toc24815"/>
    </w:p>
    <w:p w14:paraId="5E3BB7A9">
      <w:pPr>
        <w:pStyle w:val="3"/>
        <w:rPr>
          <w:rFonts w:hint="eastAsia" w:asciiTheme="minorEastAsia" w:hAnsiTheme="minorEastAsia" w:eastAsiaTheme="minorEastAsia" w:cstheme="minorEastAsia"/>
          <w:sz w:val="44"/>
        </w:rPr>
      </w:pPr>
      <w:r>
        <w:rPr>
          <w:rStyle w:val="23"/>
          <w:rFonts w:hint="eastAsia" w:asciiTheme="minorEastAsia" w:hAnsiTheme="minorEastAsia" w:eastAsiaTheme="minorEastAsia" w:cstheme="minorEastAsia"/>
          <w:b/>
          <w:sz w:val="44"/>
        </w:rPr>
        <w:t xml:space="preserve">第一部分 </w:t>
      </w:r>
      <w:bookmarkEnd w:id="8"/>
      <w:bookmarkEnd w:id="9"/>
      <w:r>
        <w:rPr>
          <w:rStyle w:val="23"/>
          <w:rFonts w:hint="eastAsia" w:asciiTheme="minorEastAsia" w:hAnsiTheme="minorEastAsia" w:eastAsiaTheme="minorEastAsia" w:cstheme="minorEastAsia"/>
          <w:b/>
          <w:sz w:val="44"/>
        </w:rPr>
        <w:t>竞争性谈判公告</w:t>
      </w:r>
      <w:bookmarkEnd w:id="10"/>
    </w:p>
    <w:p w14:paraId="3401C0F6">
      <w:pPr>
        <w:adjustRightInd w:val="0"/>
        <w:snapToGrid w:val="0"/>
        <w:spacing w:line="560" w:lineRule="exact"/>
        <w:ind w:firstLine="640" w:firstLineChars="200"/>
        <w:jc w:val="left"/>
        <w:rPr>
          <w:rFonts w:hint="eastAsia" w:ascii="黑体" w:hAnsi="黑体" w:eastAsia="黑体" w:cs="黑体"/>
          <w:sz w:val="32"/>
          <w:szCs w:val="32"/>
        </w:rPr>
      </w:pPr>
      <w:bookmarkStart w:id="11" w:name="_Toc325582571"/>
      <w:bookmarkStart w:id="12" w:name="_Toc325620702"/>
      <w:bookmarkStart w:id="13" w:name="_Toc325582066"/>
    </w:p>
    <w:p w14:paraId="42546CCB">
      <w:p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一、采购项目名称</w:t>
      </w:r>
    </w:p>
    <w:p w14:paraId="4CAE620F">
      <w:pPr>
        <w:adjustRightInd w:val="0"/>
        <w:snapToGrid w:val="0"/>
        <w:spacing w:line="560" w:lineRule="exact"/>
        <w:ind w:firstLine="640" w:firstLineChars="200"/>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海南卫生健康职业学院2025年度消防安全评估项目</w:t>
      </w:r>
    </w:p>
    <w:p w14:paraId="5F77C7AF">
      <w:p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二、采购项目编号</w:t>
      </w:r>
    </w:p>
    <w:p w14:paraId="68556AC3">
      <w:pPr>
        <w:adjustRightInd w:val="0"/>
        <w:snapToGrid w:val="0"/>
        <w:spacing w:line="520" w:lineRule="exact"/>
        <w:ind w:firstLine="640" w:firstLineChars="200"/>
        <w:rPr>
          <w:rFonts w:hint="eastAsia" w:ascii="仿宋" w:hAnsi="仿宋" w:eastAsia="仿宋" w:cs="仿宋"/>
          <w:sz w:val="32"/>
          <w:szCs w:val="32"/>
        </w:rPr>
      </w:pPr>
      <w:bookmarkStart w:id="107" w:name="_GoBack"/>
      <w:r>
        <w:rPr>
          <w:rFonts w:hint="eastAsia" w:ascii="仿宋" w:hAnsi="仿宋" w:eastAsia="仿宋" w:cs="仿宋"/>
          <w:sz w:val="32"/>
          <w:szCs w:val="32"/>
        </w:rPr>
        <w:t>HNWJY-FW2025037</w:t>
      </w:r>
    </w:p>
    <w:bookmarkEnd w:id="107"/>
    <w:p w14:paraId="230B03AE">
      <w:pPr>
        <w:adjustRightInd w:val="0"/>
        <w:snapToGrid w:val="0"/>
        <w:spacing w:line="52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三、采购项目</w:t>
      </w:r>
    </w:p>
    <w:tbl>
      <w:tblPr>
        <w:tblStyle w:val="18"/>
        <w:tblW w:w="10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8"/>
        <w:gridCol w:w="6443"/>
        <w:gridCol w:w="2211"/>
      </w:tblGrid>
      <w:tr w14:paraId="705FC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378" w:type="dxa"/>
            <w:vAlign w:val="center"/>
          </w:tcPr>
          <w:p w14:paraId="7898E913">
            <w:pPr>
              <w:adjustRightInd w:val="0"/>
              <w:snapToGrid w:val="0"/>
              <w:spacing w:line="520" w:lineRule="exact"/>
              <w:jc w:val="center"/>
              <w:rPr>
                <w:rFonts w:hint="eastAsia" w:ascii="仿宋" w:hAnsi="仿宋" w:eastAsia="仿宋" w:cs="仿宋"/>
                <w:sz w:val="32"/>
                <w:szCs w:val="32"/>
              </w:rPr>
            </w:pPr>
            <w:r>
              <w:rPr>
                <w:rFonts w:hint="eastAsia" w:ascii="仿宋" w:hAnsi="仿宋" w:eastAsia="仿宋" w:cs="仿宋"/>
                <w:sz w:val="32"/>
                <w:szCs w:val="32"/>
              </w:rPr>
              <w:t>项目</w:t>
            </w:r>
          </w:p>
          <w:p w14:paraId="1D3266F4">
            <w:pPr>
              <w:adjustRightInd w:val="0"/>
              <w:snapToGrid w:val="0"/>
              <w:spacing w:line="520" w:lineRule="exact"/>
              <w:jc w:val="center"/>
              <w:rPr>
                <w:rFonts w:hint="eastAsia" w:ascii="仿宋" w:hAnsi="仿宋" w:eastAsia="仿宋" w:cs="仿宋"/>
                <w:sz w:val="32"/>
                <w:szCs w:val="32"/>
              </w:rPr>
            </w:pPr>
            <w:r>
              <w:rPr>
                <w:rFonts w:hint="eastAsia" w:ascii="仿宋" w:hAnsi="仿宋" w:eastAsia="仿宋" w:cs="仿宋"/>
                <w:sz w:val="32"/>
                <w:szCs w:val="32"/>
              </w:rPr>
              <w:t>名称</w:t>
            </w:r>
          </w:p>
        </w:tc>
        <w:tc>
          <w:tcPr>
            <w:tcW w:w="6443" w:type="dxa"/>
            <w:vAlign w:val="center"/>
          </w:tcPr>
          <w:p w14:paraId="31A46B98">
            <w:pPr>
              <w:adjustRightInd w:val="0"/>
              <w:snapToGrid w:val="0"/>
              <w:spacing w:line="520" w:lineRule="exact"/>
              <w:ind w:firstLine="640" w:firstLineChars="200"/>
              <w:jc w:val="center"/>
              <w:rPr>
                <w:rFonts w:hint="eastAsia" w:ascii="仿宋" w:hAnsi="仿宋" w:eastAsia="仿宋" w:cs="仿宋"/>
                <w:sz w:val="32"/>
                <w:szCs w:val="32"/>
              </w:rPr>
            </w:pPr>
            <w:r>
              <w:rPr>
                <w:rFonts w:hint="eastAsia" w:ascii="仿宋" w:hAnsi="仿宋" w:eastAsia="仿宋" w:cs="仿宋"/>
                <w:sz w:val="32"/>
                <w:szCs w:val="32"/>
              </w:rPr>
              <w:t>投标人资格要求</w:t>
            </w:r>
          </w:p>
        </w:tc>
        <w:tc>
          <w:tcPr>
            <w:tcW w:w="2211" w:type="dxa"/>
            <w:vAlign w:val="center"/>
          </w:tcPr>
          <w:p w14:paraId="0BC06E9A">
            <w:pPr>
              <w:adjustRightInd w:val="0"/>
              <w:snapToGrid w:val="0"/>
              <w:spacing w:line="520" w:lineRule="exact"/>
              <w:jc w:val="center"/>
              <w:rPr>
                <w:rFonts w:hint="eastAsia" w:ascii="仿宋" w:hAnsi="仿宋" w:eastAsia="仿宋" w:cs="仿宋"/>
                <w:sz w:val="32"/>
                <w:szCs w:val="32"/>
              </w:rPr>
            </w:pPr>
            <w:r>
              <w:rPr>
                <w:rFonts w:hint="eastAsia" w:ascii="仿宋" w:hAnsi="仿宋" w:eastAsia="仿宋" w:cs="仿宋"/>
                <w:sz w:val="32"/>
                <w:szCs w:val="32"/>
              </w:rPr>
              <w:t>预算金额(元)</w:t>
            </w:r>
          </w:p>
        </w:tc>
      </w:tr>
      <w:tr w14:paraId="5C7FA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1" w:hRule="atLeast"/>
          <w:jc w:val="center"/>
        </w:trPr>
        <w:tc>
          <w:tcPr>
            <w:tcW w:w="1378" w:type="dxa"/>
            <w:vAlign w:val="center"/>
          </w:tcPr>
          <w:p w14:paraId="269ECB21">
            <w:pPr>
              <w:keepNext w:val="0"/>
              <w:keepLines w:val="0"/>
              <w:pageBreakBefore w:val="0"/>
              <w:kinsoku/>
              <w:wordWrap/>
              <w:overflowPunct/>
              <w:topLinePunct w:val="0"/>
              <w:autoSpaceDE/>
              <w:autoSpaceDN/>
              <w:bidi w:val="0"/>
              <w:adjustRightInd w:val="0"/>
              <w:snapToGrid w:val="0"/>
              <w:spacing w:line="440" w:lineRule="exact"/>
              <w:jc w:val="left"/>
              <w:rPr>
                <w:rFonts w:hint="eastAsia" w:ascii="仿宋" w:hAnsi="仿宋" w:eastAsia="仿宋" w:cs="仿宋"/>
                <w:color w:val="E54C5E" w:themeColor="accent6"/>
                <w:sz w:val="32"/>
                <w:szCs w:val="32"/>
                <w14:textFill>
                  <w14:solidFill>
                    <w14:schemeClr w14:val="accent6"/>
                  </w14:solidFill>
                </w14:textFill>
              </w:rPr>
            </w:pPr>
          </w:p>
          <w:p w14:paraId="34E374A6">
            <w:pPr>
              <w:keepNext w:val="0"/>
              <w:keepLines w:val="0"/>
              <w:pageBreakBefore w:val="0"/>
              <w:kinsoku/>
              <w:wordWrap/>
              <w:overflowPunct/>
              <w:topLinePunct w:val="0"/>
              <w:autoSpaceDE/>
              <w:autoSpaceDN/>
              <w:bidi w:val="0"/>
              <w:adjustRightInd w:val="0"/>
              <w:snapToGrid w:val="0"/>
              <w:spacing w:line="440" w:lineRule="exact"/>
              <w:jc w:val="left"/>
              <w:rPr>
                <w:rFonts w:hint="eastAsia" w:ascii="仿宋" w:hAnsi="仿宋" w:eastAsia="仿宋" w:cs="仿宋"/>
                <w:color w:val="E54C5E" w:themeColor="accent6"/>
                <w:sz w:val="32"/>
                <w:szCs w:val="32"/>
                <w14:textFill>
                  <w14:solidFill>
                    <w14:schemeClr w14:val="accent6"/>
                  </w14:solidFill>
                </w14:textFill>
              </w:rPr>
            </w:pPr>
          </w:p>
          <w:p w14:paraId="40CD23EF">
            <w:pPr>
              <w:keepNext w:val="0"/>
              <w:keepLines w:val="0"/>
              <w:pageBreakBefore w:val="0"/>
              <w:kinsoku/>
              <w:wordWrap/>
              <w:overflowPunct/>
              <w:topLinePunct w:val="0"/>
              <w:autoSpaceDE/>
              <w:autoSpaceDN/>
              <w:bidi w:val="0"/>
              <w:adjustRightInd w:val="0"/>
              <w:snapToGrid w:val="0"/>
              <w:spacing w:line="440" w:lineRule="exact"/>
              <w:jc w:val="left"/>
              <w:rPr>
                <w:rFonts w:hint="eastAsia" w:ascii="方正仿宋_GB2312" w:hAnsi="方正仿宋_GB2312" w:eastAsia="方正仿宋_GB2312" w:cs="方正仿宋_GB2312"/>
                <w:sz w:val="32"/>
                <w:szCs w:val="32"/>
                <w:u w:val="none"/>
                <w:lang w:val="en-US" w:eastAsia="zh-CN"/>
              </w:rPr>
            </w:pPr>
            <w:r>
              <w:rPr>
                <w:rFonts w:hint="eastAsia" w:ascii="方正仿宋_GB2312" w:hAnsi="方正仿宋_GB2312" w:eastAsia="方正仿宋_GB2312" w:cs="方正仿宋_GB2312"/>
                <w:sz w:val="32"/>
                <w:szCs w:val="32"/>
                <w:u w:val="none"/>
                <w:lang w:val="en-US" w:eastAsia="zh-CN"/>
              </w:rPr>
              <w:t>海南卫生健康职业学院</w:t>
            </w:r>
            <w:r>
              <w:rPr>
                <w:rFonts w:hint="default" w:ascii="Times New Roman" w:hAnsi="Times New Roman" w:eastAsia="方正仿宋_GB2312" w:cs="Times New Roman"/>
                <w:sz w:val="32"/>
                <w:szCs w:val="32"/>
                <w:u w:val="none"/>
                <w:lang w:val="en-US" w:eastAsia="zh-CN"/>
              </w:rPr>
              <w:t>2025年</w:t>
            </w:r>
            <w:r>
              <w:rPr>
                <w:rFonts w:hint="eastAsia" w:ascii="方正仿宋_GB2312" w:hAnsi="方正仿宋_GB2312" w:eastAsia="方正仿宋_GB2312" w:cs="方正仿宋_GB2312"/>
                <w:sz w:val="32"/>
                <w:szCs w:val="32"/>
                <w:u w:val="none"/>
                <w:lang w:val="en-US" w:eastAsia="zh-CN"/>
              </w:rPr>
              <w:t>度消防安全评估项目</w:t>
            </w:r>
          </w:p>
          <w:p w14:paraId="6797F60E">
            <w:pPr>
              <w:keepNext w:val="0"/>
              <w:keepLines w:val="0"/>
              <w:pageBreakBefore w:val="0"/>
              <w:kinsoku/>
              <w:wordWrap/>
              <w:overflowPunct/>
              <w:topLinePunct w:val="0"/>
              <w:autoSpaceDE/>
              <w:autoSpaceDN/>
              <w:bidi w:val="0"/>
              <w:adjustRightInd w:val="0"/>
              <w:snapToGrid w:val="0"/>
              <w:spacing w:line="440" w:lineRule="exact"/>
              <w:jc w:val="left"/>
              <w:rPr>
                <w:rFonts w:hint="eastAsia" w:ascii="仿宋" w:hAnsi="仿宋" w:eastAsia="仿宋" w:cs="仿宋"/>
                <w:sz w:val="32"/>
                <w:szCs w:val="32"/>
              </w:rPr>
            </w:pPr>
          </w:p>
          <w:p w14:paraId="2F93D5B9">
            <w:pPr>
              <w:keepNext w:val="0"/>
              <w:keepLines w:val="0"/>
              <w:pageBreakBefore w:val="0"/>
              <w:kinsoku/>
              <w:wordWrap/>
              <w:overflowPunct/>
              <w:topLinePunct w:val="0"/>
              <w:autoSpaceDE/>
              <w:autoSpaceDN/>
              <w:bidi w:val="0"/>
              <w:adjustRightInd w:val="0"/>
              <w:snapToGrid w:val="0"/>
              <w:spacing w:line="440" w:lineRule="exact"/>
              <w:jc w:val="left"/>
              <w:rPr>
                <w:rFonts w:hint="eastAsia" w:ascii="仿宋" w:hAnsi="仿宋" w:eastAsia="仿宋" w:cs="仿宋"/>
                <w:color w:val="E54C5E" w:themeColor="accent6"/>
                <w:sz w:val="32"/>
                <w:szCs w:val="32"/>
                <w14:textFill>
                  <w14:solidFill>
                    <w14:schemeClr w14:val="accent6"/>
                  </w14:solidFill>
                </w14:textFill>
              </w:rPr>
            </w:pPr>
          </w:p>
          <w:p w14:paraId="557AEC8D">
            <w:pPr>
              <w:keepNext w:val="0"/>
              <w:keepLines w:val="0"/>
              <w:pageBreakBefore w:val="0"/>
              <w:kinsoku/>
              <w:wordWrap/>
              <w:overflowPunct/>
              <w:topLinePunct w:val="0"/>
              <w:autoSpaceDE/>
              <w:autoSpaceDN/>
              <w:bidi w:val="0"/>
              <w:adjustRightInd w:val="0"/>
              <w:snapToGrid w:val="0"/>
              <w:spacing w:line="440" w:lineRule="exact"/>
              <w:ind w:firstLine="640" w:firstLineChars="200"/>
              <w:jc w:val="left"/>
              <w:rPr>
                <w:rFonts w:hint="eastAsia" w:ascii="仿宋" w:hAnsi="仿宋" w:eastAsia="仿宋" w:cs="仿宋"/>
                <w:color w:val="E54C5E" w:themeColor="accent6"/>
                <w:sz w:val="32"/>
                <w:szCs w:val="32"/>
                <w14:textFill>
                  <w14:solidFill>
                    <w14:schemeClr w14:val="accent6"/>
                  </w14:solidFill>
                </w14:textFill>
              </w:rPr>
            </w:pPr>
          </w:p>
          <w:p w14:paraId="67D1CEF6">
            <w:pPr>
              <w:keepNext w:val="0"/>
              <w:keepLines w:val="0"/>
              <w:pageBreakBefore w:val="0"/>
              <w:kinsoku/>
              <w:wordWrap/>
              <w:overflowPunct/>
              <w:topLinePunct w:val="0"/>
              <w:autoSpaceDE/>
              <w:autoSpaceDN/>
              <w:bidi w:val="0"/>
              <w:adjustRightInd w:val="0"/>
              <w:snapToGrid w:val="0"/>
              <w:spacing w:line="440" w:lineRule="exact"/>
              <w:jc w:val="left"/>
              <w:textAlignment w:val="center"/>
              <w:rPr>
                <w:rFonts w:hint="eastAsia" w:ascii="仿宋" w:hAnsi="仿宋" w:eastAsia="仿宋" w:cs="仿宋"/>
                <w:color w:val="E54C5E" w:themeColor="accent6"/>
                <w:kern w:val="0"/>
                <w:sz w:val="32"/>
                <w:szCs w:val="32"/>
                <w14:textFill>
                  <w14:solidFill>
                    <w14:schemeClr w14:val="accent6"/>
                  </w14:solidFill>
                </w14:textFill>
              </w:rPr>
            </w:pPr>
          </w:p>
        </w:tc>
        <w:tc>
          <w:tcPr>
            <w:tcW w:w="6443" w:type="dxa"/>
            <w:vAlign w:val="center"/>
          </w:tcPr>
          <w:p w14:paraId="76FDA93A">
            <w:pPr>
              <w:pStyle w:val="24"/>
              <w:keepNext w:val="0"/>
              <w:keepLines w:val="0"/>
              <w:pageBreakBefore w:val="0"/>
              <w:widowControl/>
              <w:numPr>
                <w:ilvl w:val="0"/>
                <w:numId w:val="2"/>
              </w:numPr>
              <w:kinsoku/>
              <w:wordWrap/>
              <w:overflowPunct/>
              <w:topLinePunct w:val="0"/>
              <w:autoSpaceDE/>
              <w:autoSpaceDN/>
              <w:bidi w:val="0"/>
              <w:adjustRightInd w:val="0"/>
              <w:snapToGrid w:val="0"/>
              <w:spacing w:line="440" w:lineRule="exact"/>
              <w:ind w:firstLine="0" w:firstLineChars="0"/>
              <w:jc w:val="left"/>
              <w:textAlignment w:val="center"/>
              <w:rPr>
                <w:rFonts w:hint="eastAsia" w:ascii="仿宋" w:hAnsi="仿宋" w:eastAsia="仿宋" w:cs="仿宋"/>
                <w:kern w:val="0"/>
                <w:sz w:val="32"/>
                <w:szCs w:val="32"/>
              </w:rPr>
            </w:pPr>
            <w:r>
              <w:rPr>
                <w:rFonts w:hint="eastAsia" w:ascii="仿宋" w:hAnsi="仿宋" w:eastAsia="仿宋" w:cs="仿宋"/>
                <w:kern w:val="0"/>
                <w:sz w:val="32"/>
                <w:szCs w:val="32"/>
              </w:rPr>
              <w:t>符合《中华人民共和国政府采购法》第二十二条规定，在中国境内注册的具有独立法人资格或个体户（提供营业执照）。</w:t>
            </w:r>
          </w:p>
          <w:p w14:paraId="7C520B8E">
            <w:pPr>
              <w:pStyle w:val="24"/>
              <w:keepNext w:val="0"/>
              <w:keepLines w:val="0"/>
              <w:pageBreakBefore w:val="0"/>
              <w:widowControl/>
              <w:kinsoku/>
              <w:wordWrap/>
              <w:overflowPunct/>
              <w:topLinePunct w:val="0"/>
              <w:autoSpaceDE/>
              <w:autoSpaceDN/>
              <w:bidi w:val="0"/>
              <w:adjustRightInd w:val="0"/>
              <w:snapToGrid w:val="0"/>
              <w:spacing w:line="440" w:lineRule="exact"/>
              <w:ind w:firstLine="0" w:firstLineChars="0"/>
              <w:jc w:val="left"/>
              <w:textAlignment w:val="center"/>
              <w:rPr>
                <w:rFonts w:hint="eastAsia" w:ascii="仿宋" w:hAnsi="仿宋" w:eastAsia="仿宋" w:cs="仿宋"/>
                <w:kern w:val="0"/>
                <w:sz w:val="32"/>
                <w:szCs w:val="32"/>
              </w:rPr>
            </w:pPr>
            <w:r>
              <w:rPr>
                <w:rFonts w:hint="eastAsia" w:ascii="仿宋" w:hAnsi="仿宋" w:eastAsia="仿宋" w:cs="仿宋"/>
                <w:kern w:val="0"/>
                <w:sz w:val="32"/>
                <w:szCs w:val="32"/>
              </w:rPr>
              <w:t>2.近三年内（成立时间不足三年的、自成立时间起），在经营活动中没有重大违法记录，提供声明函原件（详见附件3）。</w:t>
            </w:r>
          </w:p>
          <w:p w14:paraId="72923F98">
            <w:pPr>
              <w:pStyle w:val="24"/>
              <w:keepNext w:val="0"/>
              <w:keepLines w:val="0"/>
              <w:pageBreakBefore w:val="0"/>
              <w:widowControl/>
              <w:kinsoku/>
              <w:wordWrap/>
              <w:overflowPunct/>
              <w:topLinePunct w:val="0"/>
              <w:autoSpaceDE/>
              <w:autoSpaceDN/>
              <w:bidi w:val="0"/>
              <w:adjustRightInd w:val="0"/>
              <w:snapToGrid w:val="0"/>
              <w:spacing w:line="440" w:lineRule="exact"/>
              <w:ind w:firstLine="0" w:firstLineChars="0"/>
              <w:jc w:val="left"/>
              <w:textAlignment w:val="center"/>
              <w:rPr>
                <w:rFonts w:hint="eastAsia" w:ascii="仿宋" w:hAnsi="仿宋" w:eastAsia="仿宋" w:cs="仿宋"/>
                <w:kern w:val="0"/>
                <w:sz w:val="32"/>
                <w:szCs w:val="32"/>
              </w:rPr>
            </w:pPr>
            <w:r>
              <w:rPr>
                <w:rFonts w:hint="eastAsia" w:ascii="仿宋" w:hAnsi="仿宋" w:eastAsia="仿宋" w:cs="仿宋"/>
                <w:kern w:val="0"/>
                <w:sz w:val="32"/>
                <w:szCs w:val="32"/>
              </w:rPr>
              <w:t>3.未被“信用中国”网站。（www.creditchina.gov.cn）列入失信被执行人、重大税收违法案件当事人名单、政府采购严重失信行为记录名单或信用报告（提供网上截图</w:t>
            </w:r>
            <w:r>
              <w:rPr>
                <w:rFonts w:hint="eastAsia" w:ascii="仿宋" w:hAnsi="仿宋" w:eastAsia="仿宋" w:cs="仿宋"/>
                <w:sz w:val="31"/>
                <w:szCs w:val="31"/>
                <w:shd w:val="clear" w:color="auto" w:fill="FFFFFF"/>
              </w:rPr>
              <w:t>加盖公章</w:t>
            </w:r>
            <w:r>
              <w:rPr>
                <w:rFonts w:hint="eastAsia" w:ascii="仿宋" w:hAnsi="仿宋" w:eastAsia="仿宋" w:cs="仿宋"/>
                <w:kern w:val="0"/>
                <w:sz w:val="32"/>
                <w:szCs w:val="32"/>
              </w:rPr>
              <w:t>）。</w:t>
            </w:r>
          </w:p>
          <w:p w14:paraId="100AC663">
            <w:pPr>
              <w:keepNext w:val="0"/>
              <w:keepLines w:val="0"/>
              <w:pageBreakBefore w:val="0"/>
              <w:widowControl/>
              <w:suppressLineNumbers w:val="0"/>
              <w:kinsoku/>
              <w:wordWrap/>
              <w:overflowPunct/>
              <w:topLinePunct w:val="0"/>
              <w:autoSpaceDE/>
              <w:autoSpaceDN/>
              <w:bidi w:val="0"/>
              <w:spacing w:line="440" w:lineRule="exact"/>
              <w:jc w:val="left"/>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4.投标</w:t>
            </w:r>
            <w:r>
              <w:rPr>
                <w:rFonts w:hint="eastAsia" w:ascii="仿宋" w:hAnsi="仿宋" w:eastAsia="仿宋" w:cs="仿宋"/>
                <w:bCs w:val="0"/>
                <w:kern w:val="0"/>
                <w:sz w:val="32"/>
                <w:szCs w:val="32"/>
                <w:lang w:val="en-US" w:eastAsia="zh-CN" w:bidi="ar-SA"/>
              </w:rPr>
              <w:t>人应具有独立的法人资格且经营范围内容含本次招标服务内容且有能力进行消防安全评估的合格供应商（社会消防技术服务信息系统可查询，提供截图）。</w:t>
            </w:r>
          </w:p>
          <w:p w14:paraId="6F9E918B">
            <w:pPr>
              <w:pStyle w:val="24"/>
              <w:keepNext w:val="0"/>
              <w:keepLines w:val="0"/>
              <w:pageBreakBefore w:val="0"/>
              <w:widowControl/>
              <w:kinsoku/>
              <w:wordWrap/>
              <w:overflowPunct/>
              <w:topLinePunct w:val="0"/>
              <w:autoSpaceDE/>
              <w:autoSpaceDN/>
              <w:bidi w:val="0"/>
              <w:adjustRightInd w:val="0"/>
              <w:snapToGrid w:val="0"/>
              <w:spacing w:line="440" w:lineRule="exact"/>
              <w:ind w:firstLine="0" w:firstLineChars="0"/>
              <w:jc w:val="left"/>
              <w:textAlignment w:val="center"/>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5</w:t>
            </w:r>
            <w:r>
              <w:rPr>
                <w:rFonts w:hint="eastAsia" w:ascii="仿宋" w:hAnsi="仿宋" w:eastAsia="仿宋" w:cs="仿宋"/>
                <w:kern w:val="0"/>
                <w:sz w:val="32"/>
                <w:szCs w:val="32"/>
              </w:rPr>
              <w:t>.本项目不接受联合体参与报价，成交后不允许转包，提交承诺函。</w:t>
            </w:r>
          </w:p>
        </w:tc>
        <w:tc>
          <w:tcPr>
            <w:tcW w:w="2211" w:type="dxa"/>
            <w:vAlign w:val="center"/>
          </w:tcPr>
          <w:p w14:paraId="31426DEB">
            <w:pPr>
              <w:adjustRightInd w:val="0"/>
              <w:snapToGrid w:val="0"/>
              <w:spacing w:line="520" w:lineRule="exact"/>
              <w:jc w:val="center"/>
              <w:rPr>
                <w:rFonts w:hint="eastAsia" w:ascii="仿宋" w:hAnsi="仿宋" w:eastAsia="仿宋" w:cs="仿宋"/>
                <w:color w:val="E54C5E" w:themeColor="accent6"/>
                <w:sz w:val="32"/>
                <w:szCs w:val="32"/>
                <w14:textFill>
                  <w14:solidFill>
                    <w14:schemeClr w14:val="accent6"/>
                  </w14:solidFill>
                </w14:textFill>
              </w:rPr>
            </w:pPr>
            <w:r>
              <w:rPr>
                <w:rFonts w:hint="eastAsia" w:ascii="仿宋" w:hAnsi="仿宋" w:eastAsia="仿宋" w:cs="仿宋"/>
                <w:sz w:val="32"/>
                <w:szCs w:val="32"/>
                <w:lang w:val="en-US" w:eastAsia="zh-CN"/>
              </w:rPr>
              <w:t>46000</w:t>
            </w:r>
            <w:r>
              <w:rPr>
                <w:rFonts w:hint="eastAsia" w:ascii="仿宋" w:hAnsi="仿宋" w:eastAsia="仿宋" w:cs="仿宋"/>
                <w:sz w:val="32"/>
                <w:szCs w:val="32"/>
              </w:rPr>
              <w:t>.00元</w:t>
            </w:r>
          </w:p>
        </w:tc>
      </w:tr>
    </w:tbl>
    <w:p w14:paraId="27C03627">
      <w:pPr>
        <w:adjustRightInd w:val="0"/>
        <w:snapToGrid w:val="0"/>
        <w:spacing w:line="560" w:lineRule="exact"/>
        <w:ind w:firstLine="640" w:firstLineChars="200"/>
        <w:rPr>
          <w:rFonts w:hint="eastAsia" w:ascii="方正仿宋_GB2312" w:hAnsi="方正仿宋_GB2312" w:eastAsia="方正仿宋_GB2312" w:cs="方正仿宋_GB2312"/>
          <w:sz w:val="32"/>
          <w:szCs w:val="32"/>
        </w:rPr>
        <w:sectPr>
          <w:headerReference r:id="rId6" w:type="first"/>
          <w:footerReference r:id="rId8" w:type="first"/>
          <w:headerReference r:id="rId5" w:type="default"/>
          <w:footerReference r:id="rId7" w:type="default"/>
          <w:pgSz w:w="11906" w:h="16838"/>
          <w:pgMar w:top="1440" w:right="1587" w:bottom="1440" w:left="1587" w:header="851" w:footer="992" w:gutter="0"/>
          <w:pgNumType w:fmt="numberInDash" w:start="1"/>
          <w:cols w:space="425" w:num="1"/>
          <w:titlePg/>
          <w:docGrid w:type="lines" w:linePitch="312" w:charSpace="0"/>
        </w:sectPr>
      </w:pPr>
    </w:p>
    <w:p w14:paraId="13EA5076">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四、投标人须知</w:t>
      </w:r>
    </w:p>
    <w:p w14:paraId="1F1D6DA0">
      <w:pPr>
        <w:adjustRightInd w:val="0"/>
        <w:snapToGrid w:val="0"/>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sz w:val="32"/>
          <w:szCs w:val="32"/>
        </w:rPr>
        <w:t>1.报名时间</w:t>
      </w:r>
      <w:r>
        <w:rPr>
          <w:rFonts w:hint="eastAsia" w:ascii="仿宋" w:hAnsi="仿宋" w:eastAsia="仿宋" w:cs="仿宋"/>
          <w:color w:val="auto"/>
          <w:sz w:val="32"/>
          <w:szCs w:val="32"/>
        </w:rPr>
        <w:t>：2025年</w:t>
      </w:r>
      <w:r>
        <w:rPr>
          <w:rFonts w:hint="eastAsia" w:ascii="仿宋" w:hAnsi="仿宋" w:eastAsia="仿宋" w:cs="仿宋"/>
          <w:color w:val="auto"/>
          <w:sz w:val="32"/>
          <w:szCs w:val="32"/>
          <w:lang w:val="en-US" w:eastAsia="zh-CN"/>
        </w:rPr>
        <w:t>10</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20</w:t>
      </w:r>
      <w:r>
        <w:rPr>
          <w:rFonts w:hint="eastAsia" w:ascii="仿宋" w:hAnsi="仿宋" w:eastAsia="仿宋" w:cs="仿宋"/>
          <w:color w:val="auto"/>
          <w:sz w:val="32"/>
          <w:szCs w:val="32"/>
        </w:rPr>
        <w:t>日1</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时</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0分至2025年</w:t>
      </w:r>
      <w:r>
        <w:rPr>
          <w:rFonts w:hint="eastAsia" w:ascii="仿宋" w:hAnsi="仿宋" w:eastAsia="仿宋" w:cs="仿宋"/>
          <w:color w:val="auto"/>
          <w:sz w:val="32"/>
          <w:szCs w:val="32"/>
          <w:lang w:val="en-US" w:eastAsia="zh-CN"/>
        </w:rPr>
        <w:t>10</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23</w:t>
      </w:r>
      <w:r>
        <w:rPr>
          <w:rFonts w:hint="eastAsia" w:ascii="仿宋" w:hAnsi="仿宋" w:eastAsia="仿宋" w:cs="仿宋"/>
          <w:color w:val="auto"/>
          <w:sz w:val="32"/>
          <w:szCs w:val="32"/>
        </w:rPr>
        <w:t>日下午17时30分（北京时间，法定节假日除外），逾期不再受理。</w:t>
      </w:r>
    </w:p>
    <w:p w14:paraId="470353CA">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报名方式：本次采购采用邮件报名。报名时需提供以下加盖供应商公章的扫描件一套：报名表（自行下载）、营业执照、法定代表人身份证复印件或授权委托书及委托代理人身份证。相关文件的扫描件发送至联系人邮箱，并注意查收个人邮箱收件箱确认报名信息。</w:t>
      </w:r>
    </w:p>
    <w:p w14:paraId="65B23CDB">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3.采购文件获取方式：海南卫生健康职业学院官方网站（https://www.hnhvc.edu.cn/1036/list.htm）自行下载。</w:t>
      </w:r>
    </w:p>
    <w:p w14:paraId="01D57A8C">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4.递交报价文件时间及地点：</w:t>
      </w:r>
    </w:p>
    <w:p w14:paraId="75CB104B">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4.1 时间：报价文件递交截止时间2025年</w:t>
      </w:r>
      <w:r>
        <w:rPr>
          <w:rFonts w:hint="eastAsia" w:ascii="仿宋" w:hAnsi="仿宋" w:eastAsia="仿宋" w:cs="仿宋"/>
          <w:sz w:val="32"/>
          <w:szCs w:val="32"/>
          <w:lang w:val="en-US" w:eastAsia="zh-CN"/>
        </w:rPr>
        <w:t>10</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24</w:t>
      </w:r>
      <w:r>
        <w:rPr>
          <w:rFonts w:hint="eastAsia" w:ascii="仿宋" w:hAnsi="仿宋" w:eastAsia="仿宋" w:cs="仿宋"/>
          <w:color w:val="auto"/>
          <w:sz w:val="32"/>
          <w:szCs w:val="32"/>
        </w:rPr>
        <w:t>日</w:t>
      </w:r>
      <w:r>
        <w:rPr>
          <w:rFonts w:hint="eastAsia" w:ascii="仿宋" w:hAnsi="仿宋" w:eastAsia="仿宋" w:cs="仿宋"/>
          <w:sz w:val="32"/>
          <w:szCs w:val="32"/>
          <w:lang w:eastAsia="zh-CN"/>
        </w:rPr>
        <w:t>下</w:t>
      </w:r>
      <w:r>
        <w:rPr>
          <w:rFonts w:hint="eastAsia" w:ascii="仿宋" w:hAnsi="仿宋" w:eastAsia="仿宋" w:cs="仿宋"/>
          <w:sz w:val="32"/>
          <w:szCs w:val="32"/>
        </w:rPr>
        <w:t>午</w:t>
      </w:r>
      <w:r>
        <w:rPr>
          <w:rFonts w:hint="eastAsia" w:ascii="仿宋" w:hAnsi="仿宋" w:eastAsia="仿宋" w:cs="仿宋"/>
          <w:sz w:val="32"/>
          <w:szCs w:val="32"/>
          <w:lang w:val="en-US" w:eastAsia="zh-CN"/>
        </w:rPr>
        <w:t>15</w:t>
      </w:r>
      <w:r>
        <w:rPr>
          <w:rFonts w:hint="eastAsia" w:ascii="仿宋" w:hAnsi="仿宋" w:eastAsia="仿宋" w:cs="仿宋"/>
          <w:sz w:val="32"/>
          <w:szCs w:val="32"/>
        </w:rPr>
        <w:t>时</w:t>
      </w:r>
      <w:r>
        <w:rPr>
          <w:rFonts w:hint="eastAsia" w:ascii="仿宋" w:hAnsi="仿宋" w:eastAsia="仿宋" w:cs="仿宋"/>
          <w:sz w:val="32"/>
          <w:szCs w:val="32"/>
          <w:lang w:val="en-US" w:eastAsia="zh-CN"/>
        </w:rPr>
        <w:t>00</w:t>
      </w:r>
      <w:r>
        <w:rPr>
          <w:rFonts w:hint="eastAsia" w:ascii="仿宋" w:hAnsi="仿宋" w:eastAsia="仿宋" w:cs="仿宋"/>
          <w:sz w:val="32"/>
          <w:szCs w:val="32"/>
        </w:rPr>
        <w:t>分前（北京时间），逾期未提交报价文件者视为自动放弃本项目报价资格。</w:t>
      </w:r>
    </w:p>
    <w:p w14:paraId="0A3CF960">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4.2 地址：</w:t>
      </w:r>
      <w:r>
        <w:rPr>
          <w:rFonts w:hint="eastAsia" w:ascii="仿宋" w:hAnsi="仿宋" w:eastAsia="仿宋" w:cs="仿宋"/>
          <w:color w:val="auto"/>
          <w:sz w:val="32"/>
          <w:szCs w:val="32"/>
          <w:lang w:val="en-US" w:eastAsia="zh-CN"/>
        </w:rPr>
        <w:t>海口市秀英区秀华路32号海南卫生健康职业学院教职工之家-职工书屋（靠近学校西门）</w:t>
      </w:r>
      <w:r>
        <w:rPr>
          <w:rFonts w:hint="eastAsia" w:ascii="仿宋" w:hAnsi="仿宋" w:eastAsia="仿宋" w:cs="仿宋"/>
          <w:sz w:val="32"/>
          <w:szCs w:val="32"/>
        </w:rPr>
        <w:t>。</w:t>
      </w:r>
    </w:p>
    <w:p w14:paraId="6037801C">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5.开标时间及地点：</w:t>
      </w:r>
    </w:p>
    <w:p w14:paraId="4C3AA0C4">
      <w:pPr>
        <w:adjustRightInd w:val="0"/>
        <w:snapToGrid w:val="0"/>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5.1 时间：时间2025年</w:t>
      </w:r>
      <w:r>
        <w:rPr>
          <w:rFonts w:hint="eastAsia" w:ascii="仿宋" w:hAnsi="仿宋" w:eastAsia="仿宋" w:cs="仿宋"/>
          <w:color w:val="auto"/>
          <w:sz w:val="32"/>
          <w:szCs w:val="32"/>
          <w:lang w:val="en-US" w:eastAsia="zh-CN"/>
        </w:rPr>
        <w:t>10</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24</w:t>
      </w:r>
      <w:r>
        <w:rPr>
          <w:rFonts w:hint="eastAsia" w:ascii="仿宋" w:hAnsi="仿宋" w:eastAsia="仿宋" w:cs="仿宋"/>
          <w:color w:val="auto"/>
          <w:sz w:val="32"/>
          <w:szCs w:val="32"/>
        </w:rPr>
        <w:t>日</w:t>
      </w:r>
      <w:r>
        <w:rPr>
          <w:rFonts w:hint="eastAsia" w:ascii="仿宋" w:hAnsi="仿宋" w:eastAsia="仿宋" w:cs="仿宋"/>
          <w:color w:val="auto"/>
          <w:sz w:val="32"/>
          <w:szCs w:val="32"/>
          <w:lang w:eastAsia="zh-CN"/>
        </w:rPr>
        <w:t>下</w:t>
      </w:r>
      <w:r>
        <w:rPr>
          <w:rFonts w:hint="eastAsia" w:ascii="仿宋" w:hAnsi="仿宋" w:eastAsia="仿宋" w:cs="仿宋"/>
          <w:color w:val="auto"/>
          <w:sz w:val="32"/>
          <w:szCs w:val="32"/>
        </w:rPr>
        <w:t>午</w:t>
      </w:r>
      <w:r>
        <w:rPr>
          <w:rFonts w:hint="eastAsia" w:ascii="仿宋" w:hAnsi="仿宋" w:eastAsia="仿宋" w:cs="仿宋"/>
          <w:color w:val="auto"/>
          <w:sz w:val="32"/>
          <w:szCs w:val="32"/>
          <w:lang w:val="en-US" w:eastAsia="zh-CN"/>
        </w:rPr>
        <w:t>15</w:t>
      </w:r>
      <w:r>
        <w:rPr>
          <w:rFonts w:hint="eastAsia" w:ascii="仿宋" w:hAnsi="仿宋" w:eastAsia="仿宋" w:cs="仿宋"/>
          <w:color w:val="auto"/>
          <w:sz w:val="32"/>
          <w:szCs w:val="32"/>
        </w:rPr>
        <w:t>时</w:t>
      </w:r>
      <w:r>
        <w:rPr>
          <w:rFonts w:hint="eastAsia" w:ascii="仿宋" w:hAnsi="仿宋" w:eastAsia="仿宋" w:cs="仿宋"/>
          <w:color w:val="auto"/>
          <w:sz w:val="32"/>
          <w:szCs w:val="32"/>
          <w:lang w:val="en-US" w:eastAsia="zh-CN"/>
        </w:rPr>
        <w:t>00</w:t>
      </w:r>
      <w:r>
        <w:rPr>
          <w:rFonts w:hint="eastAsia" w:ascii="仿宋" w:hAnsi="仿宋" w:eastAsia="仿宋" w:cs="仿宋"/>
          <w:color w:val="auto"/>
          <w:sz w:val="32"/>
          <w:szCs w:val="32"/>
        </w:rPr>
        <w:t>分前（北京时间）；</w:t>
      </w:r>
    </w:p>
    <w:p w14:paraId="00365CF1">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5.2 地点：</w:t>
      </w:r>
      <w:r>
        <w:rPr>
          <w:rFonts w:hint="eastAsia" w:ascii="仿宋" w:hAnsi="仿宋" w:eastAsia="仿宋" w:cs="仿宋"/>
          <w:color w:val="auto"/>
          <w:sz w:val="32"/>
          <w:szCs w:val="32"/>
          <w:lang w:val="en-US" w:eastAsia="zh-CN"/>
        </w:rPr>
        <w:t>海口市秀英区秀华路32号海南卫生健康职业学院教职工之家-职工书屋（靠近学校西门）</w:t>
      </w:r>
      <w:r>
        <w:rPr>
          <w:rFonts w:hint="eastAsia" w:ascii="仿宋" w:hAnsi="仿宋" w:eastAsia="仿宋" w:cs="仿宋"/>
          <w:sz w:val="32"/>
          <w:szCs w:val="32"/>
        </w:rPr>
        <w:t>。</w:t>
      </w:r>
    </w:p>
    <w:p w14:paraId="409845F1">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6.报价要求及成交原则：</w:t>
      </w:r>
    </w:p>
    <w:p w14:paraId="2CC017D4">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6.1报价的供应商向采购人做出一次性书面报价（单价、总价）（均按人民币进行报价）。</w:t>
      </w:r>
    </w:p>
    <w:p w14:paraId="605EE9BE">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6.2 成交原则：在符合本项目采购需求、质量和服务的前提下，以提出最低报价的供应商作为成交供应商,允许现场二次报价，供应商报价和承诺一经认可，即为成交的合同价。中标结果请关注学校官方网站。</w:t>
      </w:r>
    </w:p>
    <w:p w14:paraId="343A1409">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6.3供应商如对本项目报价，即不可撤回。否则，该供应商在今后一年内不得参与本单位的采购活动。</w:t>
      </w:r>
    </w:p>
    <w:p w14:paraId="331F7A55">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7.报价文件编制要求：</w:t>
      </w:r>
    </w:p>
    <w:p w14:paraId="59A4D948">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7.1 本项目相关的资质证明材料；</w:t>
      </w:r>
    </w:p>
    <w:p w14:paraId="24308729">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7.2 近三年内，在经营活动中没有重大违法记录的声明原件；</w:t>
      </w:r>
    </w:p>
    <w:p w14:paraId="74BDE7DD">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7.3报价文件应用不褪色的材料书写或打印。并由供应商法定代表人或其授权代表在响应文件相应位置签字及加盖公章，正本须逐页盖章，副本可以是正本的复印件，正本及副本胶装成册后均加盖骑缝章。</w:t>
      </w:r>
    </w:p>
    <w:p w14:paraId="3474FD6D">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7.4报价文件一式三份（包含相应材料，须胶装打印）电子文档1份（U盘或光盘），其中正本壹份、副本贰份（正本、副本和电子文档一起密封），“正本”和“副本”之间如有差异，以正本为准。在封面上注明项目名称、编号、盖章密封后递交采购人。</w:t>
      </w:r>
    </w:p>
    <w:p w14:paraId="072B070F">
      <w:pPr>
        <w:adjustRightInd w:val="0"/>
        <w:snapToGrid w:val="0"/>
        <w:spacing w:line="560" w:lineRule="exact"/>
        <w:ind w:firstLine="640" w:firstLineChars="200"/>
        <w:rPr>
          <w:rFonts w:hint="eastAsia" w:ascii="方正仿宋_GB2312" w:hAnsi="方正仿宋_GB2312" w:eastAsia="方正仿宋_GB2312" w:cs="方正仿宋_GB2312"/>
          <w:sz w:val="32"/>
          <w:szCs w:val="32"/>
        </w:rPr>
      </w:pPr>
      <w:r>
        <w:rPr>
          <w:rFonts w:hint="eastAsia" w:ascii="黑体" w:hAnsi="黑体" w:eastAsia="黑体" w:cs="黑体"/>
          <w:sz w:val="32"/>
          <w:szCs w:val="32"/>
        </w:rPr>
        <w:t xml:space="preserve">五、联系方式 </w:t>
      </w:r>
      <w:r>
        <w:rPr>
          <w:rFonts w:hint="eastAsia" w:ascii="方正仿宋_GB2312" w:hAnsi="方正仿宋_GB2312" w:eastAsia="方正仿宋_GB2312" w:cs="方正仿宋_GB2312"/>
          <w:sz w:val="32"/>
          <w:szCs w:val="32"/>
        </w:rPr>
        <w:t xml:space="preserve">  </w:t>
      </w:r>
    </w:p>
    <w:p w14:paraId="18BA705E">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联系人：</w:t>
      </w:r>
      <w:r>
        <w:rPr>
          <w:rFonts w:hint="eastAsia" w:ascii="仿宋" w:hAnsi="仿宋" w:eastAsia="仿宋" w:cs="仿宋"/>
          <w:color w:val="auto"/>
          <w:sz w:val="32"/>
          <w:szCs w:val="32"/>
          <w:lang w:val="en-US" w:eastAsia="zh-CN"/>
        </w:rPr>
        <w:t>凌老师</w:t>
      </w:r>
    </w:p>
    <w:p w14:paraId="4375762D">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电话：0898-68642247、0898-68662169   </w:t>
      </w:r>
    </w:p>
    <w:p w14:paraId="0C4386C0">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邮箱：hnwjy0898@163.com</w:t>
      </w:r>
    </w:p>
    <w:p w14:paraId="15952488">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地址：海南卫生健康职业学院校长办公室(海口市秀英区秀华路32号行政办公楼3楼305办公室)</w:t>
      </w:r>
    </w:p>
    <w:p w14:paraId="15A73267">
      <w:pPr>
        <w:rPr>
          <w:rFonts w:hint="eastAsia" w:hAnsi="宋体" w:cs="宋体"/>
          <w:sz w:val="44"/>
        </w:rPr>
      </w:pPr>
      <w:bookmarkStart w:id="14" w:name="_Toc356491306"/>
      <w:r>
        <w:rPr>
          <w:rFonts w:hint="eastAsia"/>
        </w:rPr>
        <w:br w:type="page"/>
      </w:r>
      <w:bookmarkStart w:id="15" w:name="_Toc12548"/>
      <w:bookmarkStart w:id="16" w:name="_Toc40089789"/>
      <w:bookmarkStart w:id="17" w:name="_Toc29613"/>
    </w:p>
    <w:p w14:paraId="4A454759">
      <w:pPr>
        <w:pStyle w:val="3"/>
        <w:adjustRightInd w:val="0"/>
        <w:snapToGrid w:val="0"/>
        <w:spacing w:line="560" w:lineRule="exact"/>
        <w:rPr>
          <w:rFonts w:hint="eastAsia" w:hAnsi="宋体" w:cs="宋体"/>
          <w:sz w:val="44"/>
        </w:rPr>
      </w:pPr>
      <w:r>
        <w:rPr>
          <w:rFonts w:hint="eastAsia" w:hAnsi="宋体" w:cs="宋体"/>
          <w:sz w:val="44"/>
        </w:rPr>
        <w:t>第二部分  开标、评标、定标</w:t>
      </w:r>
      <w:bookmarkEnd w:id="15"/>
    </w:p>
    <w:p w14:paraId="5ECF086F">
      <w:pPr>
        <w:adjustRightInd w:val="0"/>
        <w:snapToGrid w:val="0"/>
        <w:spacing w:line="560" w:lineRule="exact"/>
        <w:ind w:firstLine="640" w:firstLineChars="200"/>
        <w:rPr>
          <w:rFonts w:hint="eastAsia" w:ascii="黑体" w:hAnsi="黑体" w:eastAsia="黑体" w:cs="黑体"/>
          <w:sz w:val="32"/>
          <w:szCs w:val="32"/>
        </w:rPr>
      </w:pPr>
      <w:bookmarkStart w:id="18" w:name="_Toc325620714"/>
      <w:bookmarkStart w:id="19" w:name="_Toc332979555"/>
      <w:bookmarkStart w:id="20" w:name="_Toc29040"/>
    </w:p>
    <w:p w14:paraId="478361C4">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一、开标</w:t>
      </w:r>
      <w:bookmarkEnd w:id="18"/>
      <w:bookmarkEnd w:id="19"/>
      <w:bookmarkEnd w:id="20"/>
    </w:p>
    <w:p w14:paraId="164A7512">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1.按照谈判文件规定的时间、地点开标。开标由采购人主持，供应商和有关方面的代表参加。供应商法定代表人或其授权代理人应参加并签名报到以证明其出席。</w:t>
      </w:r>
    </w:p>
    <w:p w14:paraId="4179F759">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2.开标时，由供应商或者其推选的代表检查响应文件的密封情况。</w:t>
      </w:r>
    </w:p>
    <w:p w14:paraId="7F12F9EE">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3.工作人员当众拆封，宣读供应商名称、投标价格和响应文件的其他主要内容。采购人在谈判文件要求提交响应文件的截止时间前收到的所有响应文件，开标时当众予以拆封、宣读。</w:t>
      </w:r>
    </w:p>
    <w:p w14:paraId="160B0F2F">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4.记录员将唱价内容记录并由供应商法定代表人或授权代理人签字确认。</w:t>
      </w:r>
    </w:p>
    <w:p w14:paraId="41522AF5">
      <w:pPr>
        <w:adjustRightInd w:val="0"/>
        <w:snapToGrid w:val="0"/>
        <w:spacing w:line="560" w:lineRule="exact"/>
        <w:ind w:firstLine="640" w:firstLineChars="200"/>
        <w:rPr>
          <w:rFonts w:hint="eastAsia" w:ascii="黑体" w:hAnsi="黑体" w:eastAsia="黑体" w:cs="黑体"/>
          <w:sz w:val="32"/>
          <w:szCs w:val="32"/>
        </w:rPr>
      </w:pPr>
      <w:bookmarkStart w:id="21" w:name="_Toc27176"/>
      <w:bookmarkStart w:id="22" w:name="_Toc332979556"/>
      <w:bookmarkStart w:id="23" w:name="_Toc325620715"/>
      <w:r>
        <w:rPr>
          <w:rFonts w:hint="eastAsia" w:ascii="黑体" w:hAnsi="黑体" w:eastAsia="黑体" w:cs="黑体"/>
          <w:sz w:val="32"/>
          <w:szCs w:val="32"/>
        </w:rPr>
        <w:t>二、</w:t>
      </w:r>
      <w:bookmarkEnd w:id="21"/>
      <w:bookmarkEnd w:id="22"/>
      <w:bookmarkEnd w:id="23"/>
      <w:r>
        <w:rPr>
          <w:rFonts w:hint="eastAsia" w:ascii="黑体" w:hAnsi="黑体" w:eastAsia="黑体" w:cs="黑体"/>
          <w:sz w:val="32"/>
          <w:szCs w:val="32"/>
        </w:rPr>
        <w:t>谈判小组</w:t>
      </w:r>
    </w:p>
    <w:p w14:paraId="0846CB47">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本项目将根据项目特点组成谈判小组，其成员由学校推荐专家、采购人代表、法务等组成，谈判小组负责对响应文件进行审查、质疑、评审，推荐成交候选供应商。</w:t>
      </w:r>
    </w:p>
    <w:p w14:paraId="1EF12734">
      <w:pPr>
        <w:adjustRightInd w:val="0"/>
        <w:snapToGrid w:val="0"/>
        <w:spacing w:line="560" w:lineRule="exact"/>
        <w:ind w:firstLine="640" w:firstLineChars="200"/>
        <w:rPr>
          <w:rFonts w:hint="eastAsia" w:ascii="黑体" w:hAnsi="黑体" w:eastAsia="黑体" w:cs="黑体"/>
          <w:sz w:val="32"/>
          <w:szCs w:val="32"/>
        </w:rPr>
      </w:pPr>
      <w:bookmarkStart w:id="24" w:name="_Toc27961"/>
      <w:bookmarkStart w:id="25" w:name="_Toc325620716"/>
      <w:bookmarkStart w:id="26" w:name="_Toc332979557"/>
      <w:r>
        <w:rPr>
          <w:rFonts w:hint="eastAsia" w:ascii="黑体" w:hAnsi="黑体" w:eastAsia="黑体" w:cs="黑体"/>
          <w:sz w:val="32"/>
          <w:szCs w:val="32"/>
        </w:rPr>
        <w:t>三、评审原则</w:t>
      </w:r>
      <w:bookmarkEnd w:id="24"/>
      <w:bookmarkEnd w:id="25"/>
      <w:bookmarkEnd w:id="26"/>
    </w:p>
    <w:p w14:paraId="2479C983">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“公平、公正、择优、效益”为本次招标的基本原则，谈判小组按照这一原则的要求，公正、平等地对待各供应商。同时，在评审过程中恪守以下原则：</w:t>
      </w:r>
    </w:p>
    <w:p w14:paraId="6F347556">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1.客观性原则：谈判小组将严格按照谈判文件要求的内容，对供应商的响应文件进行认真评审；谈判小组对响应文件的评审仅依据响应文件本身，而不依靠响应文件以外的任何因素；</w:t>
      </w:r>
    </w:p>
    <w:p w14:paraId="4A8660C6">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2.统一性原则：谈判小组将按照统一的原则和方法，对各供应商的响应文件进行评审；</w:t>
      </w:r>
    </w:p>
    <w:p w14:paraId="203B6193">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3.独立性原则：评标工作在谈判小组内部独立进行，不受外界任何因素的干扰和影响，谈判小组成员对出具的专家意见承担个人责任；</w:t>
      </w:r>
    </w:p>
    <w:p w14:paraId="211B0F7C">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4.保密性原则：谈判小组成员及有关工作人员将保守供应商的商业秘密；</w:t>
      </w:r>
    </w:p>
    <w:p w14:paraId="262DBBAD">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5.综合性原则：谈判小组将综合分析评审供应商的各项指标，而不以单项指标的优劣评定中标人；</w:t>
      </w:r>
    </w:p>
    <w:p w14:paraId="43859518">
      <w:pPr>
        <w:adjustRightInd w:val="0"/>
        <w:snapToGrid w:val="0"/>
        <w:spacing w:line="560" w:lineRule="exact"/>
        <w:ind w:firstLine="640" w:firstLineChars="200"/>
        <w:rPr>
          <w:rFonts w:hint="eastAsia" w:ascii="黑体" w:hAnsi="黑体" w:eastAsia="黑体" w:cs="黑体"/>
          <w:sz w:val="32"/>
          <w:szCs w:val="32"/>
        </w:rPr>
      </w:pPr>
      <w:bookmarkStart w:id="27" w:name="_Toc9800"/>
      <w:bookmarkStart w:id="28" w:name="_Toc332979558"/>
      <w:bookmarkStart w:id="29" w:name="_Toc325620717"/>
      <w:r>
        <w:rPr>
          <w:rFonts w:hint="eastAsia" w:ascii="黑体" w:hAnsi="黑体" w:eastAsia="黑体" w:cs="黑体"/>
          <w:sz w:val="32"/>
          <w:szCs w:val="32"/>
        </w:rPr>
        <w:t>四、</w:t>
      </w:r>
      <w:bookmarkEnd w:id="27"/>
      <w:bookmarkEnd w:id="28"/>
      <w:bookmarkEnd w:id="29"/>
      <w:r>
        <w:rPr>
          <w:rFonts w:hint="eastAsia" w:ascii="黑体" w:hAnsi="黑体" w:eastAsia="黑体" w:cs="黑体"/>
          <w:sz w:val="32"/>
          <w:szCs w:val="32"/>
        </w:rPr>
        <w:t>谈判程序</w:t>
      </w:r>
    </w:p>
    <w:p w14:paraId="76B58ADD">
      <w:pPr>
        <w:adjustRightInd w:val="0"/>
        <w:snapToGrid w:val="0"/>
        <w:spacing w:line="560" w:lineRule="exact"/>
        <w:ind w:firstLine="640" w:firstLineChars="200"/>
        <w:rPr>
          <w:rFonts w:hint="eastAsia" w:ascii="仿宋" w:hAnsi="仿宋" w:eastAsia="仿宋" w:cs="仿宋"/>
          <w:sz w:val="32"/>
          <w:szCs w:val="32"/>
        </w:rPr>
      </w:pPr>
      <w:bookmarkStart w:id="30" w:name="_Toc325620718"/>
      <w:r>
        <w:rPr>
          <w:rFonts w:hint="eastAsia" w:ascii="仿宋" w:hAnsi="仿宋" w:eastAsia="仿宋" w:cs="仿宋"/>
          <w:sz w:val="32"/>
          <w:szCs w:val="32"/>
        </w:rPr>
        <w:t>1.公开报价：采购人将对所有参与谈判的供应商的报价内容进行公开报价。</w:t>
      </w:r>
    </w:p>
    <w:p w14:paraId="2D9D35A0">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资格审查：谈判小组对供应商进行资格审查、审查供应商是否按谈判文件要求提供资质证件及有无效报价的情形，发现存在无效报价的情形存在将不再进入下一步评审和报价。供应商有下列情形之一，其报价将被视为无效报价，采购人将严格按照《中华人民共和国政府采购法》及相关法律、法规及规章制度的规定行使权利。供应商给采购人造成损失的，采购人有索赔的权利，供应商应予以赔偿。</w:t>
      </w:r>
    </w:p>
    <w:p w14:paraId="031EFFFD">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（1）供应商提供的有关资格、资质证明文件不真实或提供虚假材料；</w:t>
      </w:r>
    </w:p>
    <w:p w14:paraId="574F3D9D">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（2）供应商未按谈判文件要求装订的；</w:t>
      </w:r>
    </w:p>
    <w:p w14:paraId="6E46FAA6">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（3）在整个谈判过程中，供应商有企图影响采购结果公正性的任何活动；</w:t>
      </w:r>
    </w:p>
    <w:p w14:paraId="340AB654">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（4）供应商以任何方式诋毁其他供应商；</w:t>
      </w:r>
    </w:p>
    <w:p w14:paraId="1A019075">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（5）供应商串通报价；</w:t>
      </w:r>
    </w:p>
    <w:p w14:paraId="490F871C">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（6）以他人名义报价或者以其他方式弄虚作假，骗取成交；</w:t>
      </w:r>
    </w:p>
    <w:p w14:paraId="73BF1642">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（7）成交供应商不按要求签订合同；</w:t>
      </w:r>
    </w:p>
    <w:p w14:paraId="04C5E10F">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（8）提供多个报价方案的；</w:t>
      </w:r>
    </w:p>
    <w:p w14:paraId="3657B253">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（9）供应商必须明确所报产品的品牌、型号及规格参数，描述不清楚的视为无效报价；</w:t>
      </w:r>
    </w:p>
    <w:p w14:paraId="5D60E4A1">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（10）法律、法规规定的其他情况。</w:t>
      </w:r>
    </w:p>
    <w:p w14:paraId="692FE374">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资格审查合格供应商按照报名顺序或签到顺序确定谈判顺序。</w:t>
      </w:r>
    </w:p>
    <w:p w14:paraId="6D35D9B7">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谈判：谈判小组所有成员集中与单一供应商进行一对一的报价。在谈判中，报价的任何一方不得透露与报价有关的其他供应商的技术资料、价格和其他信息。响应文件有实质性变动时（仅包括采购需求中的技术、服务要求以及合同草案条款），谈判小组以书面形式通知所有参加谈判的供应商。</w:t>
      </w:r>
    </w:p>
    <w:p w14:paraId="45EE35FE">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在报价范围及技术要求不变的前提下，最终报价不得高于初始报价，否则按照无效报价处理。谈判重点：主要针对供应商所投货物性能特点、质量等是否满足采购人的要求进行报价。</w:t>
      </w:r>
    </w:p>
    <w:p w14:paraId="5E9A3C7F">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（1）供应商所报货物的性能特点、质量；</w:t>
      </w:r>
    </w:p>
    <w:p w14:paraId="5E0FAB34">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（2）商务条款的陈述；</w:t>
      </w:r>
    </w:p>
    <w:p w14:paraId="1A27C648">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（3）专家针对各供应商响应文件对谈判文件的响应情况提问；</w:t>
      </w:r>
    </w:p>
    <w:p w14:paraId="02EE6A36">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谈判结束后，谈判小组要求所有参加报价的供应商在规定的时间内进行最后报价及有关承诺。如果报价过程未对文件做实质性变动，供应商的最后报价不得高于其初始报价。</w:t>
      </w:r>
    </w:p>
    <w:p w14:paraId="0F6D59FC">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4.谈判评审方法</w:t>
      </w:r>
    </w:p>
    <w:p w14:paraId="7121CD25">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谈判小组应当从质量和服务均能满足采购文件实质性响应要求的供应商中，按照最后报价总分值由低到高的顺序提出3名成交候选人，并编写评审报告。若最后报价出现两家或两家以上供应商最低时，谈判小组可以视情况要求最后报价最低的两家或两家以上供应商再一次进行报价。采购人应当在收到评审报告后3个工作日内，从评审报告提出的成交候选人中，根据质量和服务均能满足采购文件实质性响应要求且最后报价最低的原则确定成交供应商，也可以书面授权报价小组直接确定成交供应商。采购人逾期未确定成交供应商且不提出异议的，视为确定评审报告提出的最后报价最低的供应商为成交供应商。</w:t>
      </w:r>
    </w:p>
    <w:p w14:paraId="38C808EA">
      <w:pPr>
        <w:adjustRightInd w:val="0"/>
        <w:snapToGrid w:val="0"/>
        <w:spacing w:line="54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2）如出现供应商达不到法定数量、全部不符合谈判文件要求、串通报价、报价均超项目预算，导致谈判小组无法评审时，谈判小组有权停止本次谈判采购，否决所有供应商的报价，采购人有权改用其它采购方式进行采购。</w:t>
      </w:r>
    </w:p>
    <w:p w14:paraId="6D0AD83D">
      <w:pPr>
        <w:adjustRightInd w:val="0"/>
        <w:snapToGrid w:val="0"/>
        <w:spacing w:line="54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（3）禁止供应商相互串通报价：</w:t>
      </w:r>
    </w:p>
    <w:p w14:paraId="54169731">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有下列情形之一的，属于供应商相互串通报价：</w:t>
      </w:r>
    </w:p>
    <w:p w14:paraId="01B31689">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1）供应商之间协商报价等响应文件的实质性内容；</w:t>
      </w:r>
    </w:p>
    <w:p w14:paraId="4E74302E">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2）供应商之间约定成交供应商；</w:t>
      </w:r>
    </w:p>
    <w:p w14:paraId="5A692735">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3）供应商之间约定部分供应商放弃报价或者成交；</w:t>
      </w:r>
    </w:p>
    <w:p w14:paraId="0F120C93">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4）属于同一集团、协会、商会等组织成员的供应商按照该组织要求协同报价；</w:t>
      </w:r>
    </w:p>
    <w:p w14:paraId="42792198">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5）供应商之间为谋取成交或者排斥特定供应商而采取的其他联合行动。</w:t>
      </w:r>
    </w:p>
    <w:p w14:paraId="3C0A94EB">
      <w:pPr>
        <w:adjustRightInd w:val="0"/>
        <w:snapToGrid w:val="0"/>
        <w:spacing w:line="54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（4）有下列情形之一的，视为供应商相互串通报价：</w:t>
      </w:r>
    </w:p>
    <w:p w14:paraId="7CFFC6E5">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1）不同供应商的响应文件由同一单位或者个人编制；</w:t>
      </w:r>
    </w:p>
    <w:p w14:paraId="7B7E42FD">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2）不同供应商委托同一单位或者个人办理报价事宜；</w:t>
      </w:r>
    </w:p>
    <w:p w14:paraId="35DCD13B">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3）不同供应商的响应文件载明的项目管理成员为同一人；</w:t>
      </w:r>
    </w:p>
    <w:p w14:paraId="73539EDF">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4）不同供应商的响应文件异常一致或者报价呈规律性差异；</w:t>
      </w:r>
    </w:p>
    <w:p w14:paraId="6A02B411">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5）不同供应商的响应文件相互混装；</w:t>
      </w:r>
    </w:p>
    <w:p w14:paraId="04C2CF1D">
      <w:pPr>
        <w:adjustRightInd w:val="0"/>
        <w:snapToGrid w:val="0"/>
        <w:spacing w:line="54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（5）弄虚作假的行为：</w:t>
      </w:r>
    </w:p>
    <w:p w14:paraId="40904455">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使用通过受让或者租借等方式获取资格、资质证书报价的。</w:t>
      </w:r>
    </w:p>
    <w:p w14:paraId="799A3E94">
      <w:pPr>
        <w:adjustRightInd w:val="0"/>
        <w:snapToGrid w:val="0"/>
        <w:spacing w:line="540" w:lineRule="exact"/>
        <w:rPr>
          <w:rFonts w:hint="eastAsia" w:ascii="仿宋" w:hAnsi="仿宋" w:eastAsia="仿宋" w:cs="仿宋"/>
          <w:sz w:val="32"/>
          <w:szCs w:val="32"/>
        </w:rPr>
      </w:pPr>
      <w:r>
        <w:rPr>
          <w:rFonts w:hint="eastAsia" w:ascii="仿宋" w:hAnsi="仿宋" w:eastAsia="仿宋" w:cs="仿宋"/>
          <w:sz w:val="32"/>
          <w:szCs w:val="32"/>
        </w:rPr>
        <w:t>以其他方式弄虚作假的行为：</w:t>
      </w:r>
    </w:p>
    <w:p w14:paraId="2D5F9B78">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1）使用伪造、变造的许可证件；</w:t>
      </w:r>
    </w:p>
    <w:p w14:paraId="47DC0D0E">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2）提供虚假的财务状况或者业绩；</w:t>
      </w:r>
    </w:p>
    <w:p w14:paraId="5FEDB058">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3）提供虚假的项目负责人或者主要技术人员简历、劳动关系证明；</w:t>
      </w:r>
    </w:p>
    <w:p w14:paraId="3C930D24">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4）提供虚假的信用状况；</w:t>
      </w:r>
    </w:p>
    <w:p w14:paraId="706BEA81">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5）其他弄虚作假的行为。</w:t>
      </w:r>
    </w:p>
    <w:p w14:paraId="77103B30">
      <w:pPr>
        <w:adjustRightInd w:val="0"/>
        <w:snapToGrid w:val="0"/>
        <w:spacing w:line="540" w:lineRule="exact"/>
        <w:ind w:firstLine="640" w:firstLineChars="200"/>
        <w:rPr>
          <w:rFonts w:hint="eastAsia" w:ascii="黑体" w:hAnsi="黑体" w:eastAsia="黑体" w:cs="黑体"/>
          <w:sz w:val="32"/>
          <w:szCs w:val="32"/>
        </w:rPr>
      </w:pPr>
      <w:bookmarkStart w:id="31" w:name="_Toc22147"/>
      <w:bookmarkStart w:id="32" w:name="_Toc332979559"/>
      <w:r>
        <w:rPr>
          <w:rFonts w:hint="eastAsia" w:ascii="黑体" w:hAnsi="黑体" w:eastAsia="黑体" w:cs="黑体"/>
          <w:sz w:val="32"/>
          <w:szCs w:val="32"/>
        </w:rPr>
        <w:t>五、废标</w:t>
      </w:r>
      <w:bookmarkEnd w:id="30"/>
      <w:bookmarkEnd w:id="31"/>
      <w:bookmarkEnd w:id="32"/>
    </w:p>
    <w:p w14:paraId="44BBA908">
      <w:pPr>
        <w:adjustRightInd w:val="0"/>
        <w:snapToGrid w:val="0"/>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在招标采购中，出现下列情形之一的，应予废标：</w:t>
      </w:r>
    </w:p>
    <w:p w14:paraId="6E5076D7">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1.符合专业条件的供应商或者对谈判文件作实质响应的供应商不足三家的；</w:t>
      </w:r>
    </w:p>
    <w:p w14:paraId="1FEBF544">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2.出现影响采购公正的违法、违规行为的；</w:t>
      </w:r>
    </w:p>
    <w:p w14:paraId="3A2CFF8E">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3.供应商的报价均超过了预算金额（备注：设定最高限价的，本项内容改为最高限价），招标人不能支付的；</w:t>
      </w:r>
    </w:p>
    <w:p w14:paraId="6B54B9DC">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4.因重大变故，采购任务取消的；</w:t>
      </w:r>
    </w:p>
    <w:p w14:paraId="2C6B0D82">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在开标后如发现一方直接或者间接持有另一方的股份总和达到25%以上的，双方直接或者间接同为第三方所持有的股份达到25%以上的，一律按否决其投标处理；或双方存在持股关系或者同为第三方持股，虽持股比例未达到25%以上，但一方的购买、销售、接受劳务、提供劳务等经营活动由另一方控制的，一律按否决其投标处理。</w:t>
      </w:r>
    </w:p>
    <w:p w14:paraId="21F1ECF3">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不同单位的法定代表人、负责人、董事或监事有夫妻、直系血亲关系、其他抚养或赡养关系的，应主动向招标人告知，否则事后一经查实，一律视投标人在投标中弄虚作假，已经中标的则取消中标资格并承担相应法律责任。</w:t>
      </w:r>
    </w:p>
    <w:p w14:paraId="591BED02">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7.供应商（投标人）之间存在关联关系采购人有权根据学校采购有关规定取消其投标（或取消其提交响应文件），由此产生的一切后果均由相关供应商（投标人）承担。</w:t>
      </w:r>
    </w:p>
    <w:p w14:paraId="1F60518D">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8.法律、法规规定的其他情况。</w:t>
      </w:r>
    </w:p>
    <w:p w14:paraId="4D25504F">
      <w:pPr>
        <w:adjustRightInd w:val="0"/>
        <w:snapToGrid w:val="0"/>
        <w:spacing w:line="540" w:lineRule="exact"/>
        <w:ind w:firstLine="640" w:firstLineChars="200"/>
        <w:rPr>
          <w:rFonts w:hint="eastAsia" w:ascii="黑体" w:hAnsi="黑体" w:eastAsia="黑体" w:cs="黑体"/>
          <w:sz w:val="32"/>
          <w:szCs w:val="32"/>
        </w:rPr>
      </w:pPr>
      <w:bookmarkStart w:id="33" w:name="_Toc325620719"/>
      <w:bookmarkStart w:id="34" w:name="_Toc3341"/>
      <w:bookmarkStart w:id="35" w:name="_Toc332979560"/>
      <w:r>
        <w:rPr>
          <w:rFonts w:hint="eastAsia" w:ascii="黑体" w:hAnsi="黑体" w:eastAsia="黑体" w:cs="黑体"/>
          <w:sz w:val="32"/>
          <w:szCs w:val="32"/>
        </w:rPr>
        <w:t>六、中标通知书</w:t>
      </w:r>
      <w:bookmarkEnd w:id="33"/>
      <w:bookmarkEnd w:id="34"/>
      <w:bookmarkEnd w:id="35"/>
    </w:p>
    <w:p w14:paraId="2B86C87B">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1.评标结束后，由采购人即日向中标人签发《中标通知书》。</w:t>
      </w:r>
    </w:p>
    <w:p w14:paraId="6CC5F218">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2.中标人收到中标通知书后，应于指定的时间、地点与招标人签订采购合同。</w:t>
      </w:r>
    </w:p>
    <w:p w14:paraId="00E573A4">
      <w:pPr>
        <w:adjustRightInd w:val="0"/>
        <w:snapToGrid w:val="0"/>
        <w:spacing w:line="540" w:lineRule="exact"/>
        <w:ind w:firstLine="640" w:firstLineChars="200"/>
        <w:rPr>
          <w:rFonts w:hint="eastAsia" w:ascii="仿宋" w:hAnsi="仿宋" w:eastAsia="仿宋" w:cs="仿宋"/>
          <w:sz w:val="44"/>
        </w:rPr>
      </w:pPr>
      <w:r>
        <w:rPr>
          <w:rFonts w:hint="eastAsia" w:ascii="仿宋" w:hAnsi="仿宋" w:eastAsia="仿宋" w:cs="仿宋"/>
          <w:sz w:val="32"/>
          <w:szCs w:val="32"/>
        </w:rPr>
        <w:t>3.谈判文件及其补充、中标人的报价文件及澄清文件等，均为签订合同的依据。</w:t>
      </w:r>
      <w:bookmarkStart w:id="36" w:name="_Toc7846"/>
      <w:bookmarkStart w:id="37" w:name="_Toc332979561"/>
      <w:bookmarkStart w:id="38" w:name="_Toc18290"/>
    </w:p>
    <w:p w14:paraId="2EBBB3DC">
      <w:pPr>
        <w:widowControl/>
        <w:jc w:val="left"/>
      </w:pPr>
      <w:r>
        <w:br w:type="page"/>
      </w:r>
    </w:p>
    <w:p w14:paraId="71EFBDA2">
      <w:pPr>
        <w:pStyle w:val="3"/>
        <w:adjustRightInd w:val="0"/>
        <w:snapToGrid w:val="0"/>
        <w:spacing w:line="560" w:lineRule="exact"/>
        <w:rPr>
          <w:rFonts w:hint="eastAsia" w:hAnsi="宋体" w:cs="宋体"/>
          <w:sz w:val="44"/>
        </w:rPr>
      </w:pPr>
      <w:r>
        <w:rPr>
          <w:rFonts w:hint="eastAsia" w:hAnsi="宋体" w:cs="宋体"/>
          <w:sz w:val="44"/>
        </w:rPr>
        <w:t>第三部分 授予合同</w:t>
      </w:r>
      <w:bookmarkEnd w:id="36"/>
      <w:bookmarkEnd w:id="37"/>
      <w:bookmarkEnd w:id="38"/>
    </w:p>
    <w:p w14:paraId="154AF155">
      <w:pPr>
        <w:adjustRightInd w:val="0"/>
        <w:snapToGrid w:val="0"/>
        <w:spacing w:line="560" w:lineRule="exact"/>
        <w:ind w:firstLine="640" w:firstLineChars="200"/>
        <w:rPr>
          <w:rFonts w:hint="eastAsia" w:ascii="黑体" w:hAnsi="黑体" w:eastAsia="黑体" w:cs="黑体"/>
          <w:sz w:val="32"/>
          <w:szCs w:val="32"/>
        </w:rPr>
      </w:pPr>
      <w:bookmarkStart w:id="39" w:name="_Toc325620721"/>
      <w:bookmarkStart w:id="40" w:name="_Toc332979562"/>
      <w:bookmarkStart w:id="41" w:name="_Toc8997"/>
    </w:p>
    <w:p w14:paraId="7718F88E">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一、签订合同</w:t>
      </w:r>
      <w:bookmarkEnd w:id="39"/>
      <w:bookmarkEnd w:id="40"/>
      <w:bookmarkEnd w:id="41"/>
    </w:p>
    <w:p w14:paraId="14046603">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1.评审工作结束后，采购人向成交供应商签发《中标通知书》，在7个工作日内，由采购人和成交供应商签订合同。合同签订的内容不能超出谈判文件和响应文件的实质性内容。</w:t>
      </w:r>
    </w:p>
    <w:p w14:paraId="07CA2F79">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2.谈判文件、采购人的报价文件及评审过程中有关澄清文件等均可为合同附件。</w:t>
      </w:r>
    </w:p>
    <w:p w14:paraId="728BF924">
      <w:pPr>
        <w:adjustRightInd w:val="0"/>
        <w:snapToGrid w:val="0"/>
        <w:spacing w:line="560" w:lineRule="exact"/>
        <w:ind w:firstLine="640" w:firstLineChars="200"/>
        <w:rPr>
          <w:rFonts w:hint="eastAsia" w:ascii="黑体" w:hAnsi="黑体" w:eastAsia="黑体" w:cs="黑体"/>
          <w:sz w:val="32"/>
          <w:szCs w:val="32"/>
        </w:rPr>
      </w:pPr>
      <w:bookmarkStart w:id="42" w:name="_Toc16534"/>
      <w:bookmarkStart w:id="43" w:name="_Toc325620722"/>
      <w:bookmarkStart w:id="44" w:name="_Toc332979563"/>
      <w:r>
        <w:rPr>
          <w:rFonts w:hint="eastAsia" w:ascii="黑体" w:hAnsi="黑体" w:eastAsia="黑体" w:cs="黑体"/>
          <w:sz w:val="32"/>
          <w:szCs w:val="32"/>
        </w:rPr>
        <w:t>二、合同格式</w:t>
      </w:r>
      <w:bookmarkEnd w:id="42"/>
      <w:bookmarkEnd w:id="43"/>
      <w:bookmarkEnd w:id="44"/>
    </w:p>
    <w:p w14:paraId="7EE1BF27">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详见附件</w:t>
      </w:r>
    </w:p>
    <w:p w14:paraId="356F3CB8">
      <w:pPr>
        <w:rPr>
          <w:rFonts w:hint="eastAsia" w:ascii="仿宋_GB2312" w:hAnsi="仿宋_GB2312" w:eastAsia="仿宋_GB2312" w:cs="仿宋_GB2312"/>
        </w:rPr>
      </w:pPr>
    </w:p>
    <w:p w14:paraId="07793AEF">
      <w:pPr>
        <w:rPr>
          <w:rFonts w:hint="eastAsia" w:ascii="仿宋_GB2312" w:hAnsi="仿宋_GB2312" w:eastAsia="仿宋_GB2312" w:cs="仿宋_GB2312"/>
        </w:rPr>
      </w:pPr>
    </w:p>
    <w:p w14:paraId="50D69F5E">
      <w:pPr>
        <w:rPr>
          <w:rFonts w:hint="eastAsia" w:ascii="仿宋_GB2312" w:hAnsi="仿宋_GB2312" w:eastAsia="仿宋_GB2312" w:cs="仿宋_GB2312"/>
        </w:rPr>
      </w:pPr>
    </w:p>
    <w:bookmarkEnd w:id="11"/>
    <w:bookmarkEnd w:id="12"/>
    <w:bookmarkEnd w:id="13"/>
    <w:bookmarkEnd w:id="14"/>
    <w:bookmarkEnd w:id="16"/>
    <w:bookmarkEnd w:id="17"/>
    <w:p w14:paraId="54ACA9FF">
      <w:pPr>
        <w:widowControl/>
        <w:adjustRightInd w:val="0"/>
        <w:snapToGrid w:val="0"/>
        <w:spacing w:line="420" w:lineRule="auto"/>
        <w:jc w:val="center"/>
        <w:rPr>
          <w:rFonts w:hint="eastAsia" w:ascii="仿宋_GB2312" w:hAnsi="仿宋_GB2312" w:eastAsia="仿宋_GB2312" w:cs="仿宋_GB2312"/>
          <w:b/>
          <w:kern w:val="0"/>
          <w:sz w:val="36"/>
          <w:szCs w:val="36"/>
        </w:rPr>
      </w:pPr>
    </w:p>
    <w:p w14:paraId="7F027519">
      <w:pPr>
        <w:widowControl/>
        <w:adjustRightInd w:val="0"/>
        <w:snapToGrid w:val="0"/>
        <w:spacing w:line="420" w:lineRule="auto"/>
        <w:jc w:val="center"/>
        <w:rPr>
          <w:rFonts w:hint="eastAsia" w:ascii="仿宋_GB2312" w:hAnsi="仿宋_GB2312" w:eastAsia="仿宋_GB2312" w:cs="仿宋_GB2312"/>
          <w:b/>
          <w:kern w:val="0"/>
          <w:sz w:val="36"/>
          <w:szCs w:val="36"/>
        </w:rPr>
      </w:pPr>
    </w:p>
    <w:p w14:paraId="1C533BA4">
      <w:pPr>
        <w:rPr>
          <w:rFonts w:hint="eastAsia" w:ascii="仿宋_GB2312" w:hAnsi="仿宋_GB2312" w:eastAsia="仿宋_GB2312" w:cs="仿宋_GB2312"/>
          <w:b/>
          <w:kern w:val="0"/>
          <w:sz w:val="36"/>
          <w:szCs w:val="36"/>
        </w:rPr>
      </w:pPr>
      <w:r>
        <w:rPr>
          <w:rFonts w:hint="eastAsia" w:ascii="仿宋_GB2312" w:hAnsi="仿宋_GB2312" w:eastAsia="仿宋_GB2312" w:cs="仿宋_GB2312"/>
          <w:b/>
          <w:kern w:val="0"/>
          <w:sz w:val="36"/>
          <w:szCs w:val="36"/>
        </w:rPr>
        <w:br w:type="page"/>
      </w:r>
    </w:p>
    <w:p w14:paraId="4023CA49">
      <w:pPr>
        <w:rPr>
          <w:b/>
          <w:bCs w:val="0"/>
          <w:sz w:val="36"/>
          <w:szCs w:val="36"/>
        </w:rPr>
      </w:pPr>
      <w:r>
        <w:rPr>
          <w:rFonts w:hint="eastAsia"/>
          <w:b/>
          <w:bCs w:val="0"/>
          <w:sz w:val="36"/>
          <w:szCs w:val="36"/>
        </w:rPr>
        <w:t>附件</w:t>
      </w:r>
    </w:p>
    <w:p w14:paraId="4F80DE94">
      <w:pPr>
        <w:adjustRightInd w:val="0"/>
        <w:snapToGrid w:val="0"/>
        <w:spacing w:line="520" w:lineRule="exact"/>
        <w:ind w:firstLine="883" w:firstLineChars="200"/>
        <w:jc w:val="center"/>
        <w:rPr>
          <w:rFonts w:hint="default" w:asciiTheme="majorEastAsia" w:hAnsiTheme="majorEastAsia" w:eastAsiaTheme="majorEastAsia" w:cstheme="majorEastAsia"/>
          <w:b/>
          <w:bCs w:val="0"/>
          <w:sz w:val="44"/>
          <w:szCs w:val="44"/>
          <w:lang w:val="en-US" w:eastAsia="zh-CN"/>
        </w:rPr>
      </w:pPr>
      <w:r>
        <w:rPr>
          <w:rFonts w:hint="eastAsia" w:asciiTheme="majorEastAsia" w:hAnsiTheme="majorEastAsia" w:eastAsiaTheme="majorEastAsia" w:cstheme="majorEastAsia"/>
          <w:b/>
          <w:bCs w:val="0"/>
          <w:sz w:val="44"/>
          <w:szCs w:val="44"/>
          <w:lang w:val="en-US" w:eastAsia="zh-CN"/>
        </w:rPr>
        <w:t>海南卫生健康职业学院年度消防安全评估项目合同</w:t>
      </w:r>
    </w:p>
    <w:p w14:paraId="6D8429BA">
      <w:pPr>
        <w:adjustRightInd w:val="0"/>
        <w:snapToGrid w:val="0"/>
        <w:spacing w:line="560" w:lineRule="exact"/>
        <w:ind w:firstLine="883" w:firstLineChars="200"/>
        <w:jc w:val="center"/>
        <w:rPr>
          <w:rFonts w:hint="eastAsia" w:asciiTheme="majorEastAsia" w:hAnsiTheme="majorEastAsia" w:eastAsiaTheme="majorEastAsia" w:cstheme="majorEastAsia"/>
          <w:b/>
          <w:bCs w:val="0"/>
          <w:sz w:val="44"/>
          <w:szCs w:val="44"/>
        </w:rPr>
      </w:pPr>
    </w:p>
    <w:p w14:paraId="77FC8258">
      <w:pPr>
        <w:adjustRightInd w:val="0"/>
        <w:snapToGrid w:val="0"/>
        <w:spacing w:line="560" w:lineRule="exact"/>
        <w:ind w:firstLine="640" w:firstLineChars="200"/>
        <w:jc w:val="left"/>
        <w:rPr>
          <w:rFonts w:hint="eastAsia" w:ascii="仿宋_GB2312" w:hAnsi="仿宋_GB2312" w:eastAsia="仿宋_GB2312" w:cs="仿宋_GB2312"/>
          <w:color w:val="E54C5E" w:themeColor="accent6"/>
          <w:sz w:val="32"/>
          <w:szCs w:val="32"/>
          <w14:textFill>
            <w14:solidFill>
              <w14:schemeClr w14:val="accent6"/>
            </w14:solidFill>
          </w14:textFill>
        </w:rPr>
      </w:pPr>
    </w:p>
    <w:p w14:paraId="2D21509F">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 xml:space="preserve">采购方（甲方）：海南卫生健康职业学院                             </w:t>
      </w:r>
    </w:p>
    <w:p w14:paraId="721EB7E7">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 xml:space="preserve">供货方（乙方）：                            </w:t>
      </w:r>
    </w:p>
    <w:p w14:paraId="1F821873">
      <w:pPr>
        <w:adjustRightInd w:val="0"/>
        <w:snapToGrid w:val="0"/>
        <w:spacing w:line="52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甲、乙双方    年    月    日依据</w:t>
      </w:r>
      <w:r>
        <w:rPr>
          <w:rFonts w:hint="eastAsia" w:ascii="仿宋" w:hAnsi="仿宋" w:eastAsia="仿宋" w:cs="仿宋"/>
          <w:sz w:val="32"/>
          <w:szCs w:val="32"/>
          <w:lang w:val="en-US" w:eastAsia="zh-CN"/>
        </w:rPr>
        <w:t>2025级学生消防疏散演练培训项目</w:t>
      </w:r>
      <w:r>
        <w:rPr>
          <w:rFonts w:hint="eastAsia" w:ascii="仿宋" w:hAnsi="仿宋" w:eastAsia="仿宋" w:cs="仿宋"/>
          <w:sz w:val="32"/>
          <w:szCs w:val="32"/>
        </w:rPr>
        <w:t>（项目编号：            ）根据《中华人民共和国民法典》、《中华人民共和国政府采购法》等相关法律法规及竞争性磋商采购结果及磋商文件的要求，遵循平等、自愿、公平和诚实信用原则，经协商一致，达成如下合同：</w:t>
      </w:r>
    </w:p>
    <w:p w14:paraId="5CF0AD3F">
      <w:p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一、合同总价</w:t>
      </w:r>
    </w:p>
    <w:p w14:paraId="18332FF1">
      <w:pPr>
        <w:pStyle w:val="5"/>
        <w:adjustRightInd w:val="0"/>
        <w:snapToGrid w:val="0"/>
        <w:spacing w:line="560" w:lineRule="exact"/>
        <w:ind w:left="0" w:firstLine="640" w:firstLineChars="200"/>
        <w:jc w:val="left"/>
        <w:rPr>
          <w:rFonts w:hint="eastAsia" w:ascii="仿宋" w:hAnsi="仿宋" w:eastAsia="仿宋" w:cs="仿宋"/>
          <w:sz w:val="32"/>
          <w:szCs w:val="32"/>
        </w:rPr>
      </w:pPr>
      <w:r>
        <w:rPr>
          <w:rFonts w:hint="eastAsia" w:ascii="仿宋" w:hAnsi="仿宋" w:eastAsia="仿宋" w:cs="仿宋"/>
          <w:sz w:val="32"/>
          <w:szCs w:val="32"/>
        </w:rPr>
        <w:t>合同总价为人民币大写：     元整 ，即 RMB￥：      元；合同总价为最终用户验收合格后的总价，包含货物设计、材料、制造、运输、安装、调试、检测、招标代理服务费、验收合格交付使用之前及保修期内保修服务与备用物件等所有其他有关各项的含税费用及完成本项目的全部直接、间接费用。本合同执行期间合同总价不变，甲方无须另向乙方支付本合同规定之外的其他任何费用。</w:t>
      </w:r>
    </w:p>
    <w:p w14:paraId="7EC2F329">
      <w:pPr>
        <w:numPr>
          <w:ilvl w:val="0"/>
          <w:numId w:val="3"/>
        </w:num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质保期</w:t>
      </w:r>
    </w:p>
    <w:p w14:paraId="17F75818">
      <w:pPr>
        <w:adjustRightInd w:val="0"/>
        <w:snapToGrid w:val="0"/>
        <w:spacing w:line="560" w:lineRule="exact"/>
        <w:ind w:firstLine="640" w:firstLineChars="200"/>
        <w:jc w:val="left"/>
        <w:rPr>
          <w:rFonts w:hint="eastAsia" w:ascii="仿宋" w:hAnsi="仿宋" w:eastAsia="仿宋" w:cs="仿宋"/>
          <w:color w:val="E54C5E" w:themeColor="accent6"/>
          <w:sz w:val="32"/>
          <w:szCs w:val="32"/>
          <w14:textFill>
            <w14:solidFill>
              <w14:schemeClr w14:val="accent6"/>
            </w14:solidFill>
          </w14:textFill>
        </w:rPr>
      </w:pPr>
      <w:r>
        <w:rPr>
          <w:rFonts w:hint="eastAsia" w:ascii="仿宋" w:hAnsi="仿宋" w:eastAsia="仿宋" w:cs="仿宋"/>
          <w:sz w:val="32"/>
          <w:szCs w:val="32"/>
        </w:rPr>
        <w:t xml:space="preserve">一年    </w:t>
      </w:r>
      <w:r>
        <w:rPr>
          <w:rFonts w:hint="eastAsia" w:ascii="仿宋" w:hAnsi="仿宋" w:eastAsia="仿宋" w:cs="仿宋"/>
          <w:color w:val="E54C5E" w:themeColor="accent6"/>
          <w:sz w:val="32"/>
          <w:szCs w:val="32"/>
          <w14:textFill>
            <w14:solidFill>
              <w14:schemeClr w14:val="accent6"/>
            </w14:solidFill>
          </w14:textFill>
        </w:rPr>
        <w:t xml:space="preserve">              </w:t>
      </w:r>
    </w:p>
    <w:p w14:paraId="06FB4F4A">
      <w:pPr>
        <w:numPr>
          <w:ilvl w:val="0"/>
          <w:numId w:val="3"/>
        </w:num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交货地点</w:t>
      </w:r>
    </w:p>
    <w:p w14:paraId="721D70B1">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 xml:space="preserve">海南卫生健康职业学院  </w:t>
      </w:r>
    </w:p>
    <w:p w14:paraId="6E7939F3">
      <w:pPr>
        <w:numPr>
          <w:ilvl w:val="0"/>
          <w:numId w:val="3"/>
        </w:num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交货时间</w:t>
      </w:r>
    </w:p>
    <w:p w14:paraId="3BB0FEA9">
      <w:pPr>
        <w:adjustRightInd w:val="0"/>
        <w:snapToGrid w:val="0"/>
        <w:spacing w:line="560" w:lineRule="exact"/>
        <w:ind w:left="560" w:leftChars="200"/>
        <w:jc w:val="left"/>
        <w:rPr>
          <w:rFonts w:hint="eastAsia" w:ascii="仿宋" w:hAnsi="仿宋" w:eastAsia="仿宋" w:cs="仿宋"/>
          <w:sz w:val="32"/>
          <w:szCs w:val="32"/>
        </w:rPr>
      </w:pPr>
      <w:r>
        <w:rPr>
          <w:rFonts w:hint="eastAsia" w:ascii="仿宋" w:hAnsi="仿宋" w:eastAsia="仿宋" w:cs="仿宋"/>
          <w:sz w:val="32"/>
          <w:szCs w:val="32"/>
        </w:rPr>
        <w:t>交货期：合同签订之日起</w:t>
      </w:r>
      <w:r>
        <w:rPr>
          <w:rFonts w:hint="eastAsia" w:ascii="仿宋" w:hAnsi="仿宋" w:eastAsia="仿宋" w:cs="仿宋"/>
          <w:sz w:val="32"/>
          <w:szCs w:val="32"/>
          <w:lang w:val="en-US" w:eastAsia="zh-CN"/>
        </w:rPr>
        <w:t>7</w:t>
      </w:r>
      <w:r>
        <w:rPr>
          <w:rFonts w:hint="eastAsia" w:ascii="仿宋" w:hAnsi="仿宋" w:eastAsia="仿宋" w:cs="仿宋"/>
          <w:sz w:val="32"/>
          <w:szCs w:val="32"/>
        </w:rPr>
        <w:t xml:space="preserve">天内完成供货、安装调试，验收合格并能正常使用。    </w:t>
      </w:r>
    </w:p>
    <w:p w14:paraId="10267C14">
      <w:pPr>
        <w:numPr>
          <w:ilvl w:val="0"/>
          <w:numId w:val="3"/>
        </w:num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质量标准</w:t>
      </w:r>
    </w:p>
    <w:p w14:paraId="2F72C736">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1.乙方须提供全新的货物（含零部件、配件等），表面无划伤、无碰撞痕迹，且权属清楚，不得侵害他人的知识产权。</w:t>
      </w:r>
    </w:p>
    <w:p w14:paraId="61512214">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2.货物必须符合或优于国家（行业）标准，以及本项目招标文件的质量要求和技术指标与出厂标准。</w:t>
      </w:r>
    </w:p>
    <w:p w14:paraId="009553B4">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3.货物制造质量出现问题，乙方应负责三包（包修、包换、包退），费用由乙方负担，甲方有权到乙方生产场地检查货物质量和生产进度。</w:t>
      </w:r>
    </w:p>
    <w:p w14:paraId="7BB8CC38">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4.货到现场后由于甲方保管不当造成的质量问题，乙方亦应负责修理，但费用由甲方负担。</w:t>
      </w:r>
    </w:p>
    <w:p w14:paraId="7B7F8A82">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5.国内产品或合资厂的产品必须具备出厂合格证。</w:t>
      </w:r>
    </w:p>
    <w:p w14:paraId="66F1A6DE">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6.乙方应将所供物品的用户手册、保修手册、有关资料及配件、随机工具等交付给甲方。</w:t>
      </w:r>
    </w:p>
    <w:p w14:paraId="5F9B8669">
      <w:pPr>
        <w:numPr>
          <w:ilvl w:val="0"/>
          <w:numId w:val="3"/>
        </w:num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知识产权</w:t>
      </w:r>
    </w:p>
    <w:p w14:paraId="6C805C55">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乙方应保证，甲方在中华人民共和国使用设备或设备的任何一部分时，买方免受第三方提出侵其专利权、商标权或其它知识产权的主张，如因第三方的主张而影响甲方使用设备的，甲方有权解除本合同，要求乙方退还全部已收取的款项，并要求乙方免费限期取走所提供的设备。</w:t>
      </w:r>
    </w:p>
    <w:p w14:paraId="13632231">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2.投标价应包括所有应支付的对专利权和版权、设计或其他知识产权而需要向其他方支付的版税。</w:t>
      </w:r>
    </w:p>
    <w:p w14:paraId="5D236846">
      <w:pPr>
        <w:numPr>
          <w:ilvl w:val="0"/>
          <w:numId w:val="3"/>
        </w:num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验收方法</w:t>
      </w:r>
    </w:p>
    <w:p w14:paraId="3264214B">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sym w:font="Wingdings 2" w:char="00A3"/>
      </w:r>
      <w:r>
        <w:rPr>
          <w:rFonts w:hint="eastAsia" w:ascii="仿宋" w:hAnsi="仿宋" w:eastAsia="仿宋" w:cs="仿宋"/>
          <w:sz w:val="32"/>
          <w:szCs w:val="32"/>
        </w:rPr>
        <w:t>甲方按照国家有关标准和采购文件的规定进行验收。</w:t>
      </w:r>
    </w:p>
    <w:p w14:paraId="465E083F">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sym w:font="Wingdings 2" w:char="00A3"/>
      </w:r>
      <w:r>
        <w:rPr>
          <w:rFonts w:hint="eastAsia" w:ascii="仿宋" w:hAnsi="仿宋" w:eastAsia="仿宋" w:cs="仿宋"/>
          <w:sz w:val="32"/>
          <w:szCs w:val="32"/>
        </w:rPr>
        <w:t>委托第三方验收。第三方指                    。</w:t>
      </w:r>
    </w:p>
    <w:p w14:paraId="657B356C">
      <w:pPr>
        <w:adjustRightInd w:val="0"/>
        <w:snapToGrid w:val="0"/>
        <w:spacing w:line="560" w:lineRule="exact"/>
        <w:jc w:val="left"/>
        <w:rPr>
          <w:rFonts w:hint="eastAsia" w:ascii="仿宋" w:hAnsi="仿宋" w:eastAsia="仿宋" w:cs="仿宋"/>
          <w:sz w:val="32"/>
          <w:szCs w:val="32"/>
        </w:rPr>
      </w:pPr>
      <w:r>
        <w:rPr>
          <w:rFonts w:hint="eastAsia" w:ascii="仿宋" w:hAnsi="仿宋" w:eastAsia="仿宋" w:cs="仿宋"/>
          <w:sz w:val="32"/>
          <w:szCs w:val="32"/>
        </w:rPr>
        <w:t>验收费用由成交供应商承担。必要时，提交质量技术监督部门鉴定。</w:t>
      </w:r>
    </w:p>
    <w:p w14:paraId="42BD4FFE">
      <w:pPr>
        <w:numPr>
          <w:ilvl w:val="0"/>
          <w:numId w:val="3"/>
        </w:num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付款方式</w:t>
      </w:r>
    </w:p>
    <w:p w14:paraId="73B2A25B">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产品到货、安装、调试并经甲方验收合格后30个工作日内，甲方凭乙方开具的正式有效发票向乙方支付合同金额的97%。如存在重大质量问题，采购人有权拒绝付款。</w:t>
      </w:r>
    </w:p>
    <w:p w14:paraId="270B6A28">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乙方向甲方提供银行出具的履约保函，履约保函担保金额不得低于合同总价的3%,履约担保期为一年，甲方收到履约保函后10个工作日内向乙方支付合同总价的3%货款。</w:t>
      </w:r>
    </w:p>
    <w:p w14:paraId="7BF445FD">
      <w:pPr>
        <w:numPr>
          <w:ilvl w:val="0"/>
          <w:numId w:val="3"/>
        </w:num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组成本合同的文件包括</w:t>
      </w:r>
    </w:p>
    <w:p w14:paraId="652DE35C">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合同通用条款和专用条款;采购文件和乙方的响应文件;成交通知书;甲乙双方商定的其他必要文件。</w:t>
      </w:r>
    </w:p>
    <w:p w14:paraId="2C78225B">
      <w:pPr>
        <w:numPr>
          <w:ilvl w:val="0"/>
          <w:numId w:val="3"/>
        </w:num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争议的解决</w:t>
      </w:r>
    </w:p>
    <w:p w14:paraId="17CAC00C">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本合同履行期间产生纠纷，双方应友好协商解决，如协商不成，任何一方均可向甲方所在地人民法院提起诉讼。</w:t>
      </w:r>
    </w:p>
    <w:p w14:paraId="58364EAB">
      <w:pPr>
        <w:numPr>
          <w:ilvl w:val="0"/>
          <w:numId w:val="3"/>
        </w:num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其他</w:t>
      </w:r>
    </w:p>
    <w:p w14:paraId="3674ECCF">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本合同未尽事宜双方可签订补充协议，补充协议与本合同具有同等法律效力。</w:t>
      </w:r>
    </w:p>
    <w:p w14:paraId="3EAD9040">
      <w:pPr>
        <w:numPr>
          <w:ilvl w:val="0"/>
          <w:numId w:val="3"/>
        </w:num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合同生效</w:t>
      </w:r>
    </w:p>
    <w:p w14:paraId="2383B2EE">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本合同由甲乙双方签字盖章后生效。</w:t>
      </w:r>
    </w:p>
    <w:p w14:paraId="0E741979">
      <w:pPr>
        <w:numPr>
          <w:ilvl w:val="0"/>
          <w:numId w:val="3"/>
        </w:num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合同鉴证</w:t>
      </w:r>
    </w:p>
    <w:p w14:paraId="1701F59A">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采购代理机构应当在本合同上盖章，以证明本合同条款与磋商文件、响应文件的相关要求相符并且未对采购货物和技术参数进行实质性修改。</w:t>
      </w:r>
    </w:p>
    <w:p w14:paraId="4137C2BA">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上述合同文件内容互为补充，如有不明确，由甲方负责解释。</w:t>
      </w:r>
    </w:p>
    <w:p w14:paraId="133632BD">
      <w:pPr>
        <w:numPr>
          <w:ilvl w:val="0"/>
          <w:numId w:val="3"/>
        </w:num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合同备案</w:t>
      </w:r>
    </w:p>
    <w:p w14:paraId="214535FC">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本合同一式陆份，中文书写。甲方、乙方各执叁份。</w:t>
      </w:r>
    </w:p>
    <w:p w14:paraId="7734B64C">
      <w:pPr>
        <w:adjustRightInd w:val="0"/>
        <w:snapToGrid w:val="0"/>
        <w:spacing w:line="560" w:lineRule="exact"/>
        <w:ind w:firstLine="640" w:firstLineChars="200"/>
        <w:jc w:val="left"/>
        <w:rPr>
          <w:rFonts w:hint="eastAsia" w:ascii="仿宋_GB2312" w:hAnsi="仿宋_GB2312" w:eastAsia="仿宋_GB2312" w:cs="仿宋_GB2312"/>
          <w:sz w:val="32"/>
          <w:szCs w:val="32"/>
        </w:rPr>
      </w:pPr>
    </w:p>
    <w:p w14:paraId="3C4272D4">
      <w:pPr>
        <w:adjustRightInd w:val="0"/>
        <w:snapToGrid w:val="0"/>
        <w:spacing w:line="560" w:lineRule="exact"/>
        <w:ind w:firstLine="640" w:firstLineChars="200"/>
        <w:jc w:val="left"/>
        <w:rPr>
          <w:rFonts w:hint="eastAsia" w:ascii="仿宋_GB2312" w:hAnsi="仿宋_GB2312" w:eastAsia="仿宋_GB2312" w:cs="仿宋_GB2312"/>
          <w:sz w:val="32"/>
          <w:szCs w:val="32"/>
        </w:rPr>
      </w:pPr>
    </w:p>
    <w:p w14:paraId="5C3BF42C">
      <w:pPr>
        <w:adjustRightInd w:val="0"/>
        <w:snapToGrid w:val="0"/>
        <w:spacing w:line="560" w:lineRule="exact"/>
        <w:ind w:firstLine="640" w:firstLineChars="200"/>
        <w:jc w:val="left"/>
        <w:rPr>
          <w:rFonts w:hint="eastAsia" w:ascii="仿宋_GB2312" w:hAnsi="仿宋_GB2312" w:eastAsia="仿宋_GB2312" w:cs="仿宋_GB2312"/>
          <w:sz w:val="32"/>
          <w:szCs w:val="32"/>
        </w:rPr>
      </w:pPr>
    </w:p>
    <w:p w14:paraId="03132EEE">
      <w:pPr>
        <w:adjustRightInd w:val="0"/>
        <w:snapToGrid w:val="0"/>
        <w:spacing w:line="560" w:lineRule="exact"/>
        <w:ind w:firstLine="640" w:firstLineChars="200"/>
        <w:jc w:val="left"/>
        <w:rPr>
          <w:rFonts w:hint="eastAsia" w:ascii="仿宋_GB2312" w:hAnsi="仿宋_GB2312" w:eastAsia="仿宋_GB2312" w:cs="仿宋_GB2312"/>
          <w:sz w:val="32"/>
          <w:szCs w:val="32"/>
        </w:rPr>
      </w:pPr>
    </w:p>
    <w:p w14:paraId="11FC0601">
      <w:pPr>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甲方：（盖章）                      乙方：  （盖章）</w:t>
      </w:r>
    </w:p>
    <w:p w14:paraId="0C7F07EB">
      <w:pPr>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                              地址：</w:t>
      </w:r>
    </w:p>
    <w:p w14:paraId="005F8BA8">
      <w:pPr>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电话:                               电话：  </w:t>
      </w:r>
    </w:p>
    <w:p w14:paraId="6C7D51DE">
      <w:pPr>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开户银行：</w:t>
      </w:r>
    </w:p>
    <w:p w14:paraId="1EBAA771">
      <w:pPr>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账号：</w:t>
      </w:r>
    </w:p>
    <w:p w14:paraId="79B64A3A">
      <w:pPr>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法定（或授权）代表人：              法定（或授权）代表人：            </w:t>
      </w:r>
    </w:p>
    <w:p w14:paraId="614A8B67">
      <w:pPr>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     年   月    日    日期：    年   月  日</w:t>
      </w:r>
    </w:p>
    <w:p w14:paraId="03D2E3D6">
      <w:pPr>
        <w:adjustRightInd w:val="0"/>
        <w:snapToGrid w:val="0"/>
        <w:spacing w:line="560" w:lineRule="exact"/>
        <w:ind w:firstLine="640" w:firstLineChars="200"/>
        <w:jc w:val="left"/>
        <w:rPr>
          <w:rFonts w:hint="eastAsia" w:ascii="仿宋_GB2312" w:hAnsi="仿宋_GB2312" w:eastAsia="仿宋_GB2312" w:cs="仿宋_GB2312"/>
          <w:sz w:val="32"/>
          <w:szCs w:val="32"/>
        </w:rPr>
      </w:pPr>
    </w:p>
    <w:p w14:paraId="4C7B2E0E">
      <w:bookmarkStart w:id="45" w:name="_Toc356491327"/>
      <w:bookmarkStart w:id="46" w:name="_Toc325620723"/>
      <w:bookmarkStart w:id="47" w:name="_Toc356490388"/>
      <w:bookmarkStart w:id="48" w:name="_Toc905"/>
      <w:bookmarkStart w:id="49" w:name="_Toc28109"/>
      <w:bookmarkStart w:id="50" w:name="_Toc40089798"/>
    </w:p>
    <w:p w14:paraId="2CA2BA76"/>
    <w:p w14:paraId="79D7FF81"/>
    <w:p w14:paraId="6E71F25E"/>
    <w:p w14:paraId="246BFFC1"/>
    <w:p w14:paraId="5E3F4F7A"/>
    <w:p w14:paraId="3DD8D649"/>
    <w:p w14:paraId="42A175A0"/>
    <w:p w14:paraId="472A636D"/>
    <w:p w14:paraId="40352071"/>
    <w:p w14:paraId="512A72B4"/>
    <w:p w14:paraId="03B56B92"/>
    <w:p w14:paraId="61EC729D"/>
    <w:p w14:paraId="46F5E22D">
      <w:pPr>
        <w:pStyle w:val="3"/>
        <w:adjustRightInd w:val="0"/>
        <w:snapToGrid w:val="0"/>
        <w:spacing w:line="560" w:lineRule="exact"/>
        <w:rPr>
          <w:rFonts w:hint="eastAsia" w:hAnsi="宋体" w:cs="宋体"/>
          <w:sz w:val="44"/>
        </w:rPr>
      </w:pPr>
      <w:r>
        <w:rPr>
          <w:rFonts w:hint="eastAsia" w:hAnsi="宋体" w:cs="宋体"/>
          <w:sz w:val="44"/>
        </w:rPr>
        <w:t xml:space="preserve">第四部分 </w:t>
      </w:r>
      <w:bookmarkEnd w:id="45"/>
      <w:bookmarkEnd w:id="46"/>
      <w:bookmarkEnd w:id="47"/>
      <w:r>
        <w:rPr>
          <w:rFonts w:hint="eastAsia" w:hAnsi="宋体" w:cs="宋体"/>
          <w:sz w:val="44"/>
        </w:rPr>
        <w:t>项目需求及说明</w:t>
      </w:r>
      <w:bookmarkEnd w:id="48"/>
      <w:bookmarkEnd w:id="49"/>
      <w:bookmarkEnd w:id="50"/>
    </w:p>
    <w:p w14:paraId="61F2BCD3">
      <w:pPr>
        <w:adjustRightInd w:val="0"/>
        <w:snapToGrid w:val="0"/>
        <w:spacing w:line="560" w:lineRule="exact"/>
        <w:ind w:firstLine="640" w:firstLineChars="200"/>
        <w:rPr>
          <w:rFonts w:hint="eastAsia" w:ascii="黑体" w:hAnsi="黑体" w:eastAsia="黑体" w:cs="黑体"/>
          <w:sz w:val="32"/>
          <w:szCs w:val="32"/>
        </w:rPr>
      </w:pPr>
      <w:bookmarkStart w:id="51" w:name="_Toc425948677"/>
    </w:p>
    <w:p w14:paraId="3842DABF">
      <w:p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一、项目概况</w:t>
      </w:r>
    </w:p>
    <w:p w14:paraId="77CEA108">
      <w:pPr>
        <w:adjustRightInd w:val="0"/>
        <w:snapToGrid w:val="0"/>
        <w:spacing w:line="560" w:lineRule="exact"/>
        <w:ind w:firstLine="640" w:firstLineChars="200"/>
        <w:jc w:val="left"/>
        <w:rPr>
          <w:rFonts w:hint="eastAsia" w:ascii="仿宋" w:hAnsi="仿宋" w:eastAsia="仿宋" w:cs="仿宋"/>
          <w:b/>
          <w:bCs w:val="0"/>
          <w:sz w:val="44"/>
          <w:szCs w:val="44"/>
          <w:lang w:eastAsia="zh-CN"/>
        </w:rPr>
      </w:pPr>
      <w:r>
        <w:rPr>
          <w:rFonts w:hint="eastAsia" w:ascii="仿宋" w:hAnsi="仿宋" w:eastAsia="仿宋" w:cs="仿宋"/>
          <w:sz w:val="32"/>
          <w:szCs w:val="32"/>
        </w:rPr>
        <w:t>1.采购项目名称：</w:t>
      </w:r>
      <w:r>
        <w:rPr>
          <w:rFonts w:hint="eastAsia" w:ascii="方正仿宋_GB2312" w:hAnsi="方正仿宋_GB2312" w:eastAsia="方正仿宋_GB2312" w:cs="方正仿宋_GB2312"/>
          <w:sz w:val="32"/>
          <w:szCs w:val="32"/>
          <w:u w:val="none"/>
          <w:lang w:val="en-US" w:eastAsia="zh-CN"/>
        </w:rPr>
        <w:t>海南卫生健康职业学院年度消防安全评估项目</w:t>
      </w:r>
    </w:p>
    <w:p w14:paraId="0B56F275">
      <w:pPr>
        <w:adjustRightInd w:val="0"/>
        <w:snapToGrid w:val="0"/>
        <w:spacing w:line="520" w:lineRule="exact"/>
        <w:ind w:firstLine="640" w:firstLineChars="200"/>
        <w:rPr>
          <w:rFonts w:hint="eastAsia" w:ascii="仿宋" w:hAnsi="仿宋" w:eastAsia="仿宋" w:cs="仿宋"/>
          <w:sz w:val="32"/>
          <w:szCs w:val="32"/>
          <w:shd w:val="clear" w:color="auto" w:fill="FFFF00"/>
          <w:lang w:val="en-US" w:eastAsia="zh-CN"/>
        </w:rPr>
      </w:pPr>
      <w:r>
        <w:rPr>
          <w:rFonts w:hint="eastAsia" w:ascii="仿宋" w:hAnsi="仿宋" w:eastAsia="仿宋" w:cs="仿宋"/>
          <w:sz w:val="32"/>
          <w:szCs w:val="32"/>
        </w:rPr>
        <w:t>2.采购项目编号：HNWJY-FW2025037</w:t>
      </w:r>
    </w:p>
    <w:p w14:paraId="48608E6F">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3.项目预算：</w:t>
      </w:r>
      <w:r>
        <w:rPr>
          <w:rFonts w:hint="eastAsia" w:ascii="仿宋" w:hAnsi="仿宋" w:eastAsia="仿宋" w:cs="仿宋"/>
          <w:sz w:val="32"/>
          <w:szCs w:val="32"/>
          <w:lang w:val="en-US" w:eastAsia="zh-CN"/>
        </w:rPr>
        <w:t>46000</w:t>
      </w:r>
      <w:r>
        <w:rPr>
          <w:rFonts w:hint="eastAsia" w:ascii="仿宋" w:hAnsi="仿宋" w:eastAsia="仿宋" w:cs="仿宋"/>
          <w:sz w:val="32"/>
          <w:szCs w:val="32"/>
        </w:rPr>
        <w:t>.00元</w:t>
      </w:r>
    </w:p>
    <w:p w14:paraId="3B4507E6">
      <w:pPr>
        <w:pStyle w:val="10"/>
        <w:adjustRightInd w:val="0"/>
        <w:snapToGrid w:val="0"/>
        <w:spacing w:after="0" w:line="560" w:lineRule="exact"/>
        <w:ind w:left="0" w:leftChars="0" w:firstLine="640" w:firstLineChars="200"/>
        <w:rPr>
          <w:rFonts w:hint="eastAsia" w:ascii="仿宋" w:hAnsi="仿宋" w:eastAsia="仿宋" w:cs="仿宋"/>
          <w:kern w:val="2"/>
          <w:sz w:val="32"/>
          <w:szCs w:val="32"/>
        </w:rPr>
      </w:pPr>
      <w:r>
        <w:rPr>
          <w:rFonts w:hint="eastAsia" w:ascii="仿宋" w:hAnsi="仿宋" w:eastAsia="仿宋" w:cs="仿宋"/>
          <w:kern w:val="2"/>
          <w:sz w:val="32"/>
          <w:szCs w:val="32"/>
        </w:rPr>
        <w:t>4.</w:t>
      </w:r>
      <w:r>
        <w:rPr>
          <w:rFonts w:hint="eastAsia" w:ascii="仿宋" w:hAnsi="仿宋" w:eastAsia="仿宋" w:cs="仿宋"/>
          <w:kern w:val="2"/>
          <w:sz w:val="32"/>
          <w:szCs w:val="32"/>
          <w:lang w:val="en-US" w:eastAsia="zh-CN"/>
        </w:rPr>
        <w:t>服务项目</w:t>
      </w:r>
      <w:r>
        <w:rPr>
          <w:rFonts w:hint="eastAsia" w:ascii="仿宋" w:hAnsi="仿宋" w:eastAsia="仿宋" w:cs="仿宋"/>
          <w:kern w:val="2"/>
          <w:sz w:val="32"/>
          <w:szCs w:val="32"/>
        </w:rPr>
        <w:t>必</w:t>
      </w:r>
      <w:r>
        <w:rPr>
          <w:rFonts w:hint="eastAsia" w:ascii="仿宋" w:hAnsi="仿宋" w:eastAsia="仿宋" w:cs="仿宋"/>
          <w:kern w:val="2"/>
          <w:sz w:val="32"/>
          <w:szCs w:val="32"/>
          <w:lang w:val="en-US" w:eastAsia="zh-CN"/>
        </w:rPr>
        <w:t>质量需</w:t>
      </w:r>
      <w:r>
        <w:rPr>
          <w:rFonts w:hint="eastAsia" w:ascii="仿宋" w:hAnsi="仿宋" w:eastAsia="仿宋" w:cs="仿宋"/>
          <w:kern w:val="2"/>
          <w:sz w:val="32"/>
          <w:szCs w:val="32"/>
        </w:rPr>
        <w:t>达到国家相关标准、行业标准、地方标准或者其他标准、规范，成交供应商供货时应当提供有关货物的合格证明材料等。</w:t>
      </w:r>
    </w:p>
    <w:p w14:paraId="624CD8A5">
      <w:p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二、商务需求</w:t>
      </w:r>
    </w:p>
    <w:p w14:paraId="392026D5">
      <w:pPr>
        <w:pStyle w:val="10"/>
        <w:adjustRightInd w:val="0"/>
        <w:snapToGrid w:val="0"/>
        <w:spacing w:after="0" w:line="560" w:lineRule="exact"/>
        <w:ind w:left="0" w:leftChars="0" w:firstLine="640" w:firstLineChars="200"/>
        <w:rPr>
          <w:rFonts w:hint="eastAsia" w:ascii="仿宋" w:hAnsi="仿宋" w:eastAsia="仿宋" w:cs="仿宋"/>
          <w:kern w:val="2"/>
          <w:sz w:val="32"/>
          <w:szCs w:val="32"/>
        </w:rPr>
      </w:pPr>
      <w:r>
        <w:rPr>
          <w:rFonts w:hint="eastAsia" w:ascii="仿宋" w:hAnsi="仿宋" w:eastAsia="仿宋" w:cs="仿宋"/>
          <w:kern w:val="2"/>
          <w:sz w:val="32"/>
          <w:szCs w:val="32"/>
        </w:rPr>
        <w:t>1.质保期：一年。</w:t>
      </w:r>
    </w:p>
    <w:p w14:paraId="217E7AA5">
      <w:pPr>
        <w:pStyle w:val="10"/>
        <w:adjustRightInd w:val="0"/>
        <w:snapToGrid w:val="0"/>
        <w:spacing w:after="0" w:line="560" w:lineRule="exact"/>
        <w:ind w:left="0" w:leftChars="0" w:firstLine="640" w:firstLineChars="200"/>
        <w:rPr>
          <w:rFonts w:hint="eastAsia" w:ascii="仿宋" w:hAnsi="仿宋" w:eastAsia="仿宋" w:cs="仿宋"/>
          <w:kern w:val="2"/>
          <w:sz w:val="32"/>
          <w:szCs w:val="32"/>
        </w:rPr>
      </w:pPr>
      <w:r>
        <w:rPr>
          <w:rFonts w:hint="eastAsia" w:ascii="仿宋" w:hAnsi="仿宋" w:eastAsia="仿宋" w:cs="仿宋"/>
          <w:sz w:val="32"/>
          <w:szCs w:val="32"/>
        </w:rPr>
        <w:t>2.付款方式：根据合同要求</w:t>
      </w:r>
      <w:r>
        <w:rPr>
          <w:rFonts w:hint="eastAsia" w:ascii="仿宋" w:hAnsi="仿宋" w:eastAsia="仿宋" w:cs="仿宋"/>
          <w:kern w:val="2"/>
          <w:sz w:val="32"/>
          <w:szCs w:val="32"/>
        </w:rPr>
        <w:t>。</w:t>
      </w:r>
    </w:p>
    <w:p w14:paraId="0C33C770">
      <w:pPr>
        <w:pStyle w:val="10"/>
        <w:adjustRightInd w:val="0"/>
        <w:snapToGrid w:val="0"/>
        <w:spacing w:after="0" w:line="560" w:lineRule="exact"/>
        <w:ind w:left="0" w:leftChars="0" w:firstLine="640" w:firstLineChars="200"/>
        <w:rPr>
          <w:rFonts w:hint="eastAsia" w:ascii="仿宋" w:hAnsi="仿宋" w:eastAsia="仿宋" w:cs="仿宋"/>
          <w:sz w:val="32"/>
          <w:szCs w:val="32"/>
        </w:rPr>
      </w:pPr>
      <w:r>
        <w:rPr>
          <w:rFonts w:hint="eastAsia" w:ascii="仿宋" w:hAnsi="仿宋" w:eastAsia="仿宋" w:cs="仿宋"/>
          <w:kern w:val="2"/>
          <w:sz w:val="32"/>
          <w:szCs w:val="32"/>
        </w:rPr>
        <w:t>3.</w:t>
      </w:r>
      <w:r>
        <w:rPr>
          <w:rFonts w:hint="eastAsia" w:ascii="仿宋" w:hAnsi="仿宋" w:eastAsia="仿宋" w:cs="仿宋"/>
          <w:sz w:val="32"/>
          <w:szCs w:val="32"/>
        </w:rPr>
        <w:t>项目完成期限：合同签订后</w:t>
      </w:r>
      <w:r>
        <w:rPr>
          <w:rFonts w:hint="eastAsia" w:ascii="仿宋" w:hAnsi="仿宋" w:eastAsia="仿宋" w:cs="仿宋"/>
          <w:sz w:val="32"/>
          <w:szCs w:val="32"/>
          <w:lang w:val="en-US" w:eastAsia="zh-CN"/>
        </w:rPr>
        <w:t>7</w:t>
      </w:r>
      <w:r>
        <w:rPr>
          <w:rFonts w:hint="eastAsia" w:ascii="仿宋" w:hAnsi="仿宋" w:eastAsia="仿宋" w:cs="仿宋"/>
          <w:sz w:val="32"/>
          <w:szCs w:val="32"/>
        </w:rPr>
        <w:t>天内。</w:t>
      </w:r>
    </w:p>
    <w:p w14:paraId="3976CFB5">
      <w:pPr>
        <w:pStyle w:val="10"/>
        <w:adjustRightInd w:val="0"/>
        <w:snapToGrid w:val="0"/>
        <w:spacing w:after="0" w:line="560" w:lineRule="exact"/>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4.投标人具有履行合同所必需的设备和专业技术能力：自行承诺具备履行合同所必需的设备和专业技术能力（承诺函自拟）</w:t>
      </w:r>
    </w:p>
    <w:p w14:paraId="1E0B1930">
      <w:pPr>
        <w:adjustRightInd w:val="0"/>
        <w:snapToGrid w:val="0"/>
        <w:spacing w:line="560" w:lineRule="exact"/>
        <w:ind w:left="560" w:leftChars="200"/>
        <w:jc w:val="left"/>
        <w:rPr>
          <w:rFonts w:hint="eastAsia" w:ascii="黑体" w:hAnsi="黑体" w:eastAsia="黑体" w:cs="黑体"/>
          <w:sz w:val="32"/>
          <w:szCs w:val="32"/>
        </w:rPr>
      </w:pPr>
      <w:r>
        <w:rPr>
          <w:rFonts w:hint="eastAsia" w:ascii="黑体" w:hAnsi="黑体" w:eastAsia="黑体" w:cs="黑体"/>
          <w:sz w:val="32"/>
          <w:szCs w:val="32"/>
        </w:rPr>
        <w:t>三、</w:t>
      </w:r>
      <w:r>
        <w:rPr>
          <w:rFonts w:hint="eastAsia" w:ascii="黑体" w:hAnsi="黑体" w:eastAsia="黑体" w:cs="黑体"/>
          <w:color w:val="auto"/>
          <w:sz w:val="32"/>
          <w:szCs w:val="32"/>
          <w:lang w:val="en-US" w:eastAsia="zh-CN"/>
        </w:rPr>
        <w:t>项目服务</w:t>
      </w:r>
      <w:r>
        <w:rPr>
          <w:rFonts w:hint="eastAsia" w:ascii="黑体" w:hAnsi="黑体" w:eastAsia="黑体" w:cs="黑体"/>
          <w:color w:val="auto"/>
          <w:sz w:val="32"/>
          <w:szCs w:val="32"/>
        </w:rPr>
        <w:t>需求</w:t>
      </w:r>
    </w:p>
    <w:p w14:paraId="2A7E8E42">
      <w:pPr>
        <w:pStyle w:val="10"/>
        <w:adjustRightInd w:val="0"/>
        <w:snapToGrid w:val="0"/>
        <w:spacing w:after="0" w:line="560" w:lineRule="exact"/>
        <w:ind w:left="0" w:leftChars="0"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1.项目</w:t>
      </w:r>
      <w:r>
        <w:rPr>
          <w:rFonts w:hint="default" w:ascii="仿宋" w:hAnsi="仿宋" w:eastAsia="仿宋" w:cs="仿宋"/>
          <w:sz w:val="32"/>
          <w:szCs w:val="32"/>
          <w:lang w:val="en-US" w:eastAsia="zh-CN"/>
        </w:rPr>
        <w:t>内容要求</w:t>
      </w:r>
    </w:p>
    <w:p w14:paraId="52B55EA0">
      <w:pPr>
        <w:pStyle w:val="10"/>
        <w:keepNext w:val="0"/>
        <w:keepLines w:val="0"/>
        <w:pageBreakBefore w:val="0"/>
        <w:kinsoku/>
        <w:wordWrap/>
        <w:overflowPunct/>
        <w:topLinePunct w:val="0"/>
        <w:autoSpaceDE/>
        <w:autoSpaceDN/>
        <w:bidi w:val="0"/>
        <w:adjustRightInd w:val="0"/>
        <w:snapToGrid w:val="0"/>
        <w:spacing w:after="0" w:line="560" w:lineRule="exact"/>
        <w:ind w:left="0" w:leftChars="0"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消防评估机构及评估人员应具备相应的评估资质，能够按照《建筑防火通用规范》（GB55037-2022）《建筑设计防火规范》（GB50016-204）《单位消防安全评估》（XF/T3005-2020）《机关、团体、企业、事业单位消防安全管理规定》（公安部令第61号）《消防给水及消火栓系统设计规范》（GB50974-2014）等国家标准和管理规定及消防技术标准运用参照当时建筑、设施设备设计要求的原则对两个院区建筑防火、消防设施设备、消防安全管理方面进行实地检查，查找消防隐患，提出整改意见，并制作评估报告。</w:t>
      </w:r>
    </w:p>
    <w:p w14:paraId="6A9B84D7">
      <w:pPr>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bCs/>
          <w:kern w:val="0"/>
          <w:sz w:val="32"/>
          <w:szCs w:val="32"/>
          <w:lang w:val="en-US" w:eastAsia="zh-CN" w:bidi="ar-SA"/>
        </w:rPr>
      </w:pPr>
      <w:r>
        <w:rPr>
          <w:rFonts w:hint="eastAsia" w:ascii="仿宋" w:hAnsi="仿宋" w:eastAsia="仿宋" w:cs="仿宋"/>
          <w:bCs/>
          <w:kern w:val="0"/>
          <w:sz w:val="32"/>
          <w:szCs w:val="32"/>
          <w:lang w:val="en-US" w:eastAsia="zh-CN" w:bidi="ar-SA"/>
        </w:rPr>
        <w:t>2.其他要求</w:t>
      </w:r>
    </w:p>
    <w:p w14:paraId="6D698C16">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bCs/>
          <w:kern w:val="0"/>
          <w:sz w:val="32"/>
          <w:szCs w:val="32"/>
          <w:lang w:val="en-US" w:eastAsia="zh-CN" w:bidi="ar-SA"/>
        </w:rPr>
      </w:pPr>
      <w:r>
        <w:rPr>
          <w:rFonts w:hint="eastAsia" w:ascii="仿宋" w:hAnsi="仿宋" w:eastAsia="仿宋" w:cs="仿宋"/>
          <w:bCs w:val="0"/>
          <w:color w:val="FF0000"/>
          <w:kern w:val="0"/>
          <w:sz w:val="32"/>
          <w:szCs w:val="32"/>
          <w:lang w:val="en-US" w:eastAsia="zh-CN" w:bidi="ar-SA"/>
        </w:rPr>
        <w:t>项目负责人和审核人必须是具有一级注册消防工程师执业资格</w:t>
      </w:r>
      <w:r>
        <w:rPr>
          <w:rFonts w:hint="eastAsia" w:ascii="仿宋" w:hAnsi="仿宋" w:eastAsia="仿宋" w:cs="仿宋"/>
          <w:bCs/>
          <w:color w:val="FF0000"/>
          <w:kern w:val="0"/>
          <w:sz w:val="32"/>
          <w:szCs w:val="32"/>
          <w:lang w:val="en-US" w:eastAsia="zh-CN" w:bidi="ar-SA"/>
        </w:rPr>
        <w:t>，</w:t>
      </w:r>
      <w:r>
        <w:rPr>
          <w:rFonts w:hint="eastAsia" w:ascii="仿宋" w:hAnsi="仿宋" w:eastAsia="仿宋" w:cs="仿宋"/>
          <w:bCs/>
          <w:kern w:val="0"/>
          <w:sz w:val="32"/>
          <w:szCs w:val="32"/>
          <w:lang w:val="en-US" w:eastAsia="zh-CN" w:bidi="ar-SA"/>
        </w:rPr>
        <w:t>评估人员应具有相应资质且具有丰富的评估经验和较高的评估能力，对建筑防火、消防设施设备、消防电源等方面检查应配备相应的消防检测工具，确保检查数据化、具体化、精准化，对检查隐患应能提出合理的整改意见，确保评估内容准确并具有指导意义。</w:t>
      </w:r>
    </w:p>
    <w:p w14:paraId="104FF56D">
      <w:pPr>
        <w:rPr>
          <w:rFonts w:hint="eastAsia"/>
          <w:lang w:val="en-US" w:eastAsia="zh-CN"/>
        </w:rPr>
      </w:pPr>
      <w:bookmarkStart w:id="52" w:name="_Toc21799"/>
      <w:bookmarkStart w:id="53" w:name="_Toc25374"/>
      <w:bookmarkStart w:id="54" w:name="_Toc40089799"/>
    </w:p>
    <w:p w14:paraId="09DDA82F">
      <w:pPr>
        <w:rPr>
          <w:rFonts w:hint="eastAsia"/>
          <w:lang w:val="en-US" w:eastAsia="zh-CN"/>
        </w:rPr>
      </w:pPr>
    </w:p>
    <w:p w14:paraId="18744989">
      <w:pPr>
        <w:rPr>
          <w:rFonts w:hint="eastAsia"/>
          <w:lang w:val="en-US" w:eastAsia="zh-CN"/>
        </w:rPr>
      </w:pPr>
    </w:p>
    <w:p w14:paraId="05A95650">
      <w:pPr>
        <w:rPr>
          <w:rFonts w:hint="eastAsia"/>
          <w:lang w:val="en-US" w:eastAsia="zh-CN"/>
        </w:rPr>
      </w:pPr>
    </w:p>
    <w:p w14:paraId="0B12A639">
      <w:pPr>
        <w:rPr>
          <w:rFonts w:hint="eastAsia"/>
          <w:lang w:val="en-US" w:eastAsia="zh-CN"/>
        </w:rPr>
      </w:pPr>
    </w:p>
    <w:p w14:paraId="5C5ADAFE">
      <w:pPr>
        <w:rPr>
          <w:rFonts w:hint="eastAsia"/>
          <w:lang w:val="en-US" w:eastAsia="zh-CN"/>
        </w:rPr>
      </w:pPr>
    </w:p>
    <w:p w14:paraId="60648B59">
      <w:pPr>
        <w:rPr>
          <w:rFonts w:hint="eastAsia"/>
          <w:lang w:val="en-US" w:eastAsia="zh-CN"/>
        </w:rPr>
      </w:pPr>
    </w:p>
    <w:p w14:paraId="665967CE">
      <w:pPr>
        <w:rPr>
          <w:rFonts w:hint="eastAsia"/>
          <w:lang w:val="en-US" w:eastAsia="zh-CN"/>
        </w:rPr>
      </w:pPr>
    </w:p>
    <w:p w14:paraId="46720D42">
      <w:pPr>
        <w:rPr>
          <w:rFonts w:hint="eastAsia"/>
          <w:lang w:val="en-US" w:eastAsia="zh-CN"/>
        </w:rPr>
      </w:pPr>
    </w:p>
    <w:p w14:paraId="2A979F83">
      <w:pPr>
        <w:rPr>
          <w:rFonts w:hint="eastAsia"/>
          <w:lang w:val="en-US" w:eastAsia="zh-CN"/>
        </w:rPr>
      </w:pPr>
    </w:p>
    <w:p w14:paraId="4973282F">
      <w:pPr>
        <w:rPr>
          <w:rFonts w:hint="eastAsia"/>
          <w:lang w:val="en-US" w:eastAsia="zh-CN"/>
        </w:rPr>
      </w:pPr>
    </w:p>
    <w:p w14:paraId="171E1F0E">
      <w:pPr>
        <w:rPr>
          <w:rFonts w:hint="eastAsia"/>
          <w:lang w:val="en-US" w:eastAsia="zh-CN"/>
        </w:rPr>
      </w:pPr>
    </w:p>
    <w:p w14:paraId="12960FF5">
      <w:pPr>
        <w:rPr>
          <w:rFonts w:hint="eastAsia"/>
          <w:lang w:val="en-US" w:eastAsia="zh-CN"/>
        </w:rPr>
      </w:pPr>
    </w:p>
    <w:p w14:paraId="51C4F041">
      <w:pPr>
        <w:rPr>
          <w:rFonts w:hint="eastAsia"/>
          <w:lang w:val="en-US" w:eastAsia="zh-CN"/>
        </w:rPr>
      </w:pPr>
    </w:p>
    <w:p w14:paraId="3784A730">
      <w:pPr>
        <w:rPr>
          <w:rFonts w:hint="eastAsia"/>
          <w:lang w:val="en-US" w:eastAsia="zh-CN"/>
        </w:rPr>
      </w:pPr>
    </w:p>
    <w:p w14:paraId="3D975802">
      <w:pPr>
        <w:rPr>
          <w:rFonts w:hint="eastAsia"/>
          <w:lang w:val="en-US" w:eastAsia="zh-CN"/>
        </w:rPr>
      </w:pPr>
    </w:p>
    <w:p w14:paraId="19851C25">
      <w:pPr>
        <w:rPr>
          <w:rFonts w:hint="eastAsia"/>
          <w:lang w:val="en-US" w:eastAsia="zh-CN"/>
        </w:rPr>
      </w:pPr>
    </w:p>
    <w:p w14:paraId="10E8F269">
      <w:pPr>
        <w:rPr>
          <w:rFonts w:hint="eastAsia"/>
          <w:lang w:val="en-US" w:eastAsia="zh-CN"/>
        </w:rPr>
      </w:pPr>
    </w:p>
    <w:p w14:paraId="294771A8">
      <w:pPr>
        <w:rPr>
          <w:rFonts w:hint="eastAsia"/>
          <w:lang w:val="en-US" w:eastAsia="zh-CN"/>
        </w:rPr>
      </w:pPr>
    </w:p>
    <w:p w14:paraId="228501AE">
      <w:pPr>
        <w:rPr>
          <w:rFonts w:hint="eastAsia"/>
          <w:lang w:val="en-US" w:eastAsia="zh-CN"/>
        </w:rPr>
      </w:pPr>
    </w:p>
    <w:p w14:paraId="19010091">
      <w:pPr>
        <w:rPr>
          <w:rFonts w:hint="eastAsia"/>
          <w:lang w:val="en-US" w:eastAsia="zh-CN"/>
        </w:rPr>
      </w:pPr>
    </w:p>
    <w:p w14:paraId="333505BB">
      <w:pPr>
        <w:rPr>
          <w:rFonts w:hint="eastAsia" w:eastAsia="宋体"/>
          <w:lang w:val="en-US" w:eastAsia="zh-CN"/>
        </w:rPr>
      </w:pPr>
    </w:p>
    <w:p w14:paraId="07A901BD">
      <w:pPr>
        <w:pStyle w:val="3"/>
        <w:rPr>
          <w:rFonts w:hint="eastAsia" w:hAnsi="宋体" w:cs="宋体"/>
          <w:sz w:val="44"/>
        </w:rPr>
      </w:pPr>
      <w:r>
        <w:rPr>
          <w:rFonts w:hint="eastAsia" w:hAnsi="宋体" w:cs="宋体"/>
          <w:sz w:val="44"/>
        </w:rPr>
        <w:t>第五部分 报价文件格式</w:t>
      </w:r>
      <w:bookmarkEnd w:id="51"/>
      <w:bookmarkEnd w:id="52"/>
      <w:bookmarkEnd w:id="53"/>
      <w:bookmarkEnd w:id="54"/>
    </w:p>
    <w:p w14:paraId="79B472F1">
      <w:pPr>
        <w:adjustRightInd w:val="0"/>
        <w:snapToGrid w:val="0"/>
        <w:spacing w:line="560" w:lineRule="exact"/>
        <w:ind w:left="638" w:leftChars="228"/>
        <w:rPr>
          <w:rFonts w:hint="eastAsia" w:ascii="黑体" w:hAnsi="黑体" w:eastAsia="黑体" w:cs="黑体"/>
          <w:sz w:val="32"/>
          <w:szCs w:val="32"/>
        </w:rPr>
      </w:pPr>
      <w:r>
        <w:rPr>
          <w:rFonts w:hint="eastAsia" w:ascii="黑体" w:hAnsi="黑体" w:eastAsia="黑体" w:cs="黑体"/>
          <w:sz w:val="32"/>
          <w:szCs w:val="32"/>
        </w:rPr>
        <w:t>一、商务部分</w:t>
      </w:r>
    </w:p>
    <w:p w14:paraId="1AAA8C1A">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1.★投标函（详见附件1）</w:t>
      </w:r>
    </w:p>
    <w:p w14:paraId="1BCD815D">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2.★如为授权代表签字，提供法定代表人授权书（详见附件2）</w:t>
      </w:r>
    </w:p>
    <w:p w14:paraId="35E87DF0">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3.★近三年内，在经营活动中没有重大违法记录的声明（详见附件3）</w:t>
      </w:r>
    </w:p>
    <w:p w14:paraId="33344006">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4.★商务响应表（详见附件4）</w:t>
      </w:r>
    </w:p>
    <w:p w14:paraId="7688E5DE">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二、资信部分</w:t>
      </w:r>
    </w:p>
    <w:p w14:paraId="7CE75E9F">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1.★提供投标人资格要求里的证明材料复印件</w:t>
      </w:r>
    </w:p>
    <w:p w14:paraId="5325E608">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三、技术部分</w:t>
      </w:r>
    </w:p>
    <w:p w14:paraId="6FF6ACE0">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1.对本项目的技术服务类总体要求的理解（如有）</w:t>
      </w:r>
    </w:p>
    <w:p w14:paraId="655303C2">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2.项目总体架构及技术解决方案、技术保证措施、供货方案等（如有）</w:t>
      </w:r>
    </w:p>
    <w:p w14:paraId="4C744A66">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.★技术响应表（详见附件</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p>
    <w:p w14:paraId="245714EE">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.投标货物产品图片等证明货物的合格性和符合谈判文件规定的技术资料。</w:t>
      </w:r>
    </w:p>
    <w:p w14:paraId="3BCABB30">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.供应商或制造商在采购人所属地区的售后服务维修机构数量及分布情况（如有）。</w:t>
      </w:r>
    </w:p>
    <w:p w14:paraId="6B7BFA46">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.技术服务、技术培训、售后服务的内容和措施（如有）。</w:t>
      </w:r>
    </w:p>
    <w:p w14:paraId="0E3D4778">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.供应商同类项目实施情况一览表并提供能证明其业绩属实的合同复印件（如有）。</w:t>
      </w:r>
    </w:p>
    <w:p w14:paraId="5FEB79C5">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.选配件、专用耗材、售后服务优惠表（如有）。</w:t>
      </w:r>
    </w:p>
    <w:p w14:paraId="67AB56BA">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.谈判文件规定或供应商认为其它应介绍或提交的资料和文件。</w:t>
      </w:r>
    </w:p>
    <w:p w14:paraId="332B0772">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四、报价部分</w:t>
      </w:r>
    </w:p>
    <w:p w14:paraId="14C96D25">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★报价一览表（详见附件</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w:t>
      </w:r>
    </w:p>
    <w:p w14:paraId="0E6CD7EC">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五、特别说明</w:t>
      </w:r>
    </w:p>
    <w:p w14:paraId="00A4240C">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以上格式中标注“★”的，供应商必须提供，未提供或未按要求提供的，一律为无效投标。</w:t>
      </w:r>
    </w:p>
    <w:p w14:paraId="34079363">
      <w:pPr>
        <w:adjustRightInd w:val="0"/>
        <w:snapToGrid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21AE0B31">
      <w:pPr>
        <w:rPr>
          <w:rFonts w:hint="eastAsia" w:ascii="方正公文黑体" w:hAnsi="方正公文黑体" w:eastAsia="方正公文黑体" w:cs="方正公文黑体"/>
          <w:sz w:val="36"/>
          <w:szCs w:val="36"/>
        </w:rPr>
      </w:pPr>
      <w:bookmarkStart w:id="55" w:name="_Toc40089800"/>
      <w:bookmarkStart w:id="56" w:name="_Toc14759"/>
      <w:bookmarkStart w:id="57" w:name="_Toc356491342"/>
      <w:bookmarkStart w:id="58" w:name="_Toc356490394"/>
      <w:r>
        <w:rPr>
          <w:rFonts w:hint="eastAsia" w:ascii="方正公文黑体" w:hAnsi="方正公文黑体" w:eastAsia="方正公文黑体" w:cs="方正公文黑体"/>
          <w:sz w:val="36"/>
          <w:szCs w:val="36"/>
        </w:rPr>
        <w:t>附件</w:t>
      </w:r>
      <w:bookmarkEnd w:id="55"/>
      <w:bookmarkEnd w:id="56"/>
    </w:p>
    <w:p w14:paraId="2CF02E0E">
      <w:pPr>
        <w:jc w:val="center"/>
        <w:rPr>
          <w:rFonts w:hint="eastAsia" w:ascii="仿宋_GB2312" w:hAnsi="仿宋_GB2312" w:eastAsia="仿宋_GB2312" w:cs="仿宋_GB2312"/>
          <w:b/>
        </w:rPr>
      </w:pPr>
    </w:p>
    <w:p w14:paraId="1523A9B7">
      <w:pPr>
        <w:jc w:val="center"/>
        <w:rPr>
          <w:rFonts w:hint="eastAsia" w:ascii="仿宋_GB2312" w:hAnsi="仿宋_GB2312" w:eastAsia="仿宋_GB2312" w:cs="仿宋_GB2312"/>
          <w:b/>
        </w:rPr>
      </w:pPr>
    </w:p>
    <w:p w14:paraId="14328C6A">
      <w:pPr>
        <w:jc w:val="center"/>
        <w:rPr>
          <w:rFonts w:hint="eastAsia" w:ascii="仿宋_GB2312" w:hAnsi="仿宋_GB2312" w:eastAsia="仿宋_GB2312" w:cs="仿宋_GB2312"/>
          <w:b/>
        </w:rPr>
      </w:pPr>
    </w:p>
    <w:p w14:paraId="72417FCE">
      <w:pPr>
        <w:jc w:val="center"/>
        <w:rPr>
          <w:rFonts w:hint="eastAsia" w:ascii="仿宋_GB2312" w:hAnsi="仿宋_GB2312" w:eastAsia="仿宋_GB2312" w:cs="仿宋_GB2312"/>
          <w:b/>
        </w:rPr>
      </w:pPr>
    </w:p>
    <w:p w14:paraId="55D0FA5B">
      <w:pPr>
        <w:ind w:firstLine="2209" w:firstLineChars="500"/>
        <w:rPr>
          <w:rFonts w:hint="eastAsia" w:ascii="仿宋_GB2312" w:hAnsi="仿宋_GB2312" w:eastAsia="仿宋_GB2312" w:cs="仿宋_GB2312"/>
          <w:b/>
          <w:sz w:val="44"/>
          <w:szCs w:val="44"/>
        </w:rPr>
      </w:pPr>
      <w:r>
        <w:rPr>
          <w:rFonts w:hint="eastAsia" w:ascii="仿宋_GB2312" w:hAnsi="仿宋_GB2312" w:eastAsia="仿宋_GB2312" w:cs="仿宋_GB2312"/>
          <w:b/>
          <w:sz w:val="44"/>
          <w:szCs w:val="44"/>
        </w:rPr>
        <w:t>报价文件封面格式</w:t>
      </w:r>
    </w:p>
    <w:p w14:paraId="4D2168AC">
      <w:pPr>
        <w:jc w:val="right"/>
        <w:rPr>
          <w:rFonts w:hint="eastAsia" w:ascii="仿宋_GB2312" w:hAnsi="仿宋_GB2312" w:eastAsia="仿宋_GB2312" w:cs="仿宋_GB2312"/>
          <w:b/>
          <w:bCs w:val="0"/>
          <w:sz w:val="36"/>
          <w:szCs w:val="36"/>
        </w:rPr>
      </w:pPr>
      <w:bookmarkStart w:id="59" w:name="_Toc1227"/>
      <w:bookmarkStart w:id="60" w:name="_Toc40089801"/>
      <w:r>
        <w:rPr>
          <w:rFonts w:hint="eastAsia" w:ascii="仿宋_GB2312" w:hAnsi="仿宋_GB2312" w:eastAsia="仿宋_GB2312" w:cs="仿宋_GB2312"/>
          <w:b/>
          <w:bCs w:val="0"/>
          <w:sz w:val="36"/>
          <w:szCs w:val="36"/>
        </w:rPr>
        <w:t>正本或副本</w:t>
      </w:r>
      <w:bookmarkEnd w:id="59"/>
      <w:bookmarkEnd w:id="60"/>
    </w:p>
    <w:p w14:paraId="15B972BE">
      <w:pPr>
        <w:ind w:firstLine="2168" w:firstLineChars="600"/>
        <w:rPr>
          <w:rFonts w:hint="eastAsia" w:ascii="仿宋_GB2312" w:hAnsi="仿宋_GB2312" w:eastAsia="仿宋_GB2312" w:cs="仿宋_GB2312"/>
          <w:b/>
          <w:bCs w:val="0"/>
          <w:sz w:val="36"/>
          <w:szCs w:val="36"/>
          <w:u w:val="single"/>
        </w:rPr>
      </w:pPr>
      <w:bookmarkStart w:id="61" w:name="_Toc40089802"/>
      <w:bookmarkStart w:id="62" w:name="_Toc27492"/>
      <w:r>
        <w:rPr>
          <w:rFonts w:hint="eastAsia" w:ascii="仿宋_GB2312" w:hAnsi="仿宋_GB2312" w:eastAsia="仿宋_GB2312" w:cs="仿宋_GB2312"/>
          <w:b/>
          <w:bCs w:val="0"/>
          <w:sz w:val="36"/>
          <w:szCs w:val="36"/>
          <w:u w:val="single"/>
        </w:rPr>
        <w:t>（项目名称）</w:t>
      </w:r>
      <w:bookmarkEnd w:id="61"/>
      <w:bookmarkEnd w:id="62"/>
      <w:bookmarkStart w:id="63" w:name="_Toc40089803"/>
      <w:bookmarkStart w:id="64" w:name="_Toc2490"/>
      <w:r>
        <w:rPr>
          <w:rFonts w:hint="eastAsia" w:ascii="仿宋_GB2312" w:hAnsi="仿宋_GB2312" w:eastAsia="仿宋_GB2312" w:cs="仿宋_GB2312"/>
          <w:b/>
          <w:bCs w:val="0"/>
          <w:sz w:val="36"/>
          <w:szCs w:val="36"/>
          <w:u w:val="single"/>
        </w:rPr>
        <w:t xml:space="preserve">             </w:t>
      </w:r>
    </w:p>
    <w:p w14:paraId="067397DA">
      <w:pPr>
        <w:rPr>
          <w:rFonts w:hint="eastAsia" w:ascii="仿宋_GB2312" w:hAnsi="仿宋_GB2312" w:eastAsia="仿宋_GB2312" w:cs="仿宋_GB2312"/>
        </w:rPr>
      </w:pPr>
    </w:p>
    <w:p w14:paraId="1B953BD9">
      <w:pPr>
        <w:ind w:firstLine="2168" w:firstLineChars="600"/>
        <w:rPr>
          <w:rFonts w:hint="eastAsia" w:ascii="仿宋_GB2312" w:hAnsi="仿宋_GB2312" w:eastAsia="仿宋_GB2312" w:cs="仿宋_GB2312"/>
        </w:rPr>
      </w:pPr>
      <w:r>
        <w:rPr>
          <w:rFonts w:hint="eastAsia" w:ascii="仿宋_GB2312" w:hAnsi="仿宋_GB2312" w:eastAsia="仿宋_GB2312" w:cs="仿宋_GB2312"/>
          <w:b/>
          <w:bCs w:val="0"/>
          <w:sz w:val="36"/>
          <w:szCs w:val="36"/>
          <w:u w:val="single"/>
        </w:rPr>
        <w:t>（项目编号）</w:t>
      </w:r>
      <w:bookmarkEnd w:id="63"/>
      <w:bookmarkEnd w:id="64"/>
      <w:r>
        <w:rPr>
          <w:rFonts w:hint="eastAsia" w:ascii="仿宋_GB2312" w:hAnsi="仿宋_GB2312" w:eastAsia="仿宋_GB2312" w:cs="仿宋_GB2312"/>
          <w:b/>
          <w:bCs w:val="0"/>
          <w:sz w:val="36"/>
          <w:szCs w:val="36"/>
          <w:u w:val="single"/>
        </w:rPr>
        <w:t xml:space="preserve">             </w:t>
      </w:r>
    </w:p>
    <w:p w14:paraId="4725A968">
      <w:pPr>
        <w:rPr>
          <w:rFonts w:hint="eastAsia" w:ascii="仿宋_GB2312" w:hAnsi="仿宋_GB2312" w:eastAsia="仿宋_GB2312" w:cs="仿宋_GB2312"/>
        </w:rPr>
      </w:pPr>
    </w:p>
    <w:p w14:paraId="0AE0CFC1">
      <w:pPr>
        <w:rPr>
          <w:rFonts w:hint="eastAsia" w:ascii="仿宋_GB2312" w:hAnsi="仿宋_GB2312" w:eastAsia="仿宋_GB2312" w:cs="仿宋_GB2312"/>
        </w:rPr>
      </w:pPr>
    </w:p>
    <w:p w14:paraId="6D8ED1D6">
      <w:pPr>
        <w:jc w:val="center"/>
        <w:rPr>
          <w:rFonts w:hint="eastAsia" w:ascii="仿宋_GB2312" w:hAnsi="仿宋_GB2312" w:eastAsia="仿宋_GB2312" w:cs="仿宋_GB2312"/>
          <w:b/>
          <w:bCs w:val="0"/>
          <w:sz w:val="52"/>
          <w:szCs w:val="52"/>
        </w:rPr>
      </w:pPr>
      <w:bookmarkStart w:id="65" w:name="_Toc40089805"/>
      <w:bookmarkStart w:id="66" w:name="_Toc17456"/>
    </w:p>
    <w:p w14:paraId="1B14FDD3">
      <w:pPr>
        <w:jc w:val="center"/>
        <w:rPr>
          <w:rFonts w:hint="eastAsia" w:ascii="仿宋_GB2312" w:hAnsi="仿宋_GB2312" w:eastAsia="仿宋_GB2312" w:cs="仿宋_GB2312"/>
          <w:b/>
          <w:bCs w:val="0"/>
          <w:sz w:val="52"/>
          <w:szCs w:val="52"/>
        </w:rPr>
      </w:pPr>
      <w:r>
        <w:rPr>
          <w:rFonts w:hint="eastAsia" w:ascii="仿宋_GB2312" w:hAnsi="仿宋_GB2312" w:eastAsia="仿宋_GB2312" w:cs="仿宋_GB2312"/>
          <w:b/>
          <w:bCs w:val="0"/>
          <w:sz w:val="52"/>
          <w:szCs w:val="52"/>
        </w:rPr>
        <w:t>报价文件</w:t>
      </w:r>
      <w:bookmarkEnd w:id="65"/>
      <w:bookmarkEnd w:id="66"/>
    </w:p>
    <w:p w14:paraId="0F5A3D87">
      <w:pPr>
        <w:rPr>
          <w:rFonts w:hint="eastAsia" w:ascii="仿宋_GB2312" w:hAnsi="仿宋_GB2312" w:eastAsia="仿宋_GB2312" w:cs="仿宋_GB2312"/>
        </w:rPr>
      </w:pPr>
    </w:p>
    <w:p w14:paraId="13F72E86">
      <w:pPr>
        <w:rPr>
          <w:rFonts w:hint="eastAsia" w:ascii="仿宋_GB2312" w:hAnsi="仿宋_GB2312" w:eastAsia="仿宋_GB2312" w:cs="仿宋_GB2312"/>
        </w:rPr>
      </w:pPr>
    </w:p>
    <w:p w14:paraId="0CC0934A">
      <w:pPr>
        <w:adjustRightInd w:val="0"/>
        <w:snapToGrid w:val="0"/>
        <w:spacing w:line="560" w:lineRule="exact"/>
        <w:ind w:firstLine="964" w:firstLineChars="300"/>
        <w:rPr>
          <w:rFonts w:hint="eastAsia" w:ascii="仿宋_GB2312" w:hAnsi="仿宋_GB2312" w:eastAsia="仿宋_GB2312" w:cs="仿宋_GB2312"/>
          <w:b/>
          <w:bCs w:val="0"/>
          <w:sz w:val="32"/>
          <w:szCs w:val="32"/>
          <w:u w:val="single"/>
        </w:rPr>
      </w:pPr>
      <w:bookmarkStart w:id="67" w:name="_Toc25141"/>
      <w:bookmarkStart w:id="68" w:name="_Toc40089806"/>
      <w:r>
        <w:rPr>
          <w:rFonts w:hint="eastAsia" w:ascii="仿宋_GB2312" w:hAnsi="仿宋_GB2312" w:eastAsia="仿宋_GB2312" w:cs="仿宋_GB2312"/>
          <w:b/>
          <w:bCs w:val="0"/>
          <w:sz w:val="32"/>
          <w:szCs w:val="32"/>
        </w:rPr>
        <w:t>投标人名称：</w:t>
      </w:r>
      <w:r>
        <w:rPr>
          <w:rFonts w:hint="eastAsia" w:ascii="仿宋_GB2312" w:hAnsi="仿宋_GB2312" w:eastAsia="仿宋_GB2312" w:cs="仿宋_GB2312"/>
          <w:b/>
          <w:bCs w:val="0"/>
          <w:sz w:val="32"/>
          <w:szCs w:val="32"/>
          <w:u w:val="single"/>
        </w:rPr>
        <w:t xml:space="preserve">            （盖单位公章）</w:t>
      </w:r>
      <w:bookmarkEnd w:id="67"/>
      <w:bookmarkEnd w:id="68"/>
    </w:p>
    <w:p w14:paraId="52DF31BB">
      <w:pPr>
        <w:adjustRightInd w:val="0"/>
        <w:snapToGrid w:val="0"/>
        <w:spacing w:line="560" w:lineRule="exact"/>
        <w:ind w:firstLine="964" w:firstLineChars="300"/>
        <w:rPr>
          <w:rFonts w:hint="eastAsia" w:ascii="仿宋_GB2312" w:hAnsi="仿宋_GB2312" w:eastAsia="仿宋_GB2312" w:cs="仿宋_GB2312"/>
          <w:b/>
          <w:bCs w:val="0"/>
          <w:sz w:val="32"/>
          <w:szCs w:val="32"/>
          <w:u w:val="single"/>
        </w:rPr>
      </w:pPr>
      <w:bookmarkStart w:id="69" w:name="_Toc40089807"/>
      <w:bookmarkStart w:id="70" w:name="_Toc27017"/>
      <w:r>
        <w:rPr>
          <w:rFonts w:hint="eastAsia" w:ascii="仿宋_GB2312" w:hAnsi="仿宋_GB2312" w:eastAsia="仿宋_GB2312" w:cs="仿宋_GB2312"/>
          <w:b/>
          <w:bCs w:val="0"/>
          <w:sz w:val="32"/>
          <w:szCs w:val="32"/>
        </w:rPr>
        <w:t>法定代表人或其委托代理人</w:t>
      </w:r>
      <w:r>
        <w:rPr>
          <w:rFonts w:hint="eastAsia" w:ascii="仿宋_GB2312" w:hAnsi="仿宋_GB2312" w:eastAsia="仿宋_GB2312" w:cs="仿宋_GB2312"/>
          <w:b/>
          <w:bCs w:val="0"/>
          <w:sz w:val="32"/>
          <w:szCs w:val="32"/>
          <w:u w:val="single"/>
        </w:rPr>
        <w:t xml:space="preserve">：       </w:t>
      </w:r>
      <w:bookmarkEnd w:id="69"/>
      <w:bookmarkEnd w:id="70"/>
      <w:r>
        <w:rPr>
          <w:rFonts w:hint="eastAsia" w:ascii="仿宋_GB2312" w:hAnsi="仿宋_GB2312" w:eastAsia="仿宋_GB2312" w:cs="仿宋_GB2312"/>
          <w:b/>
          <w:bCs w:val="0"/>
          <w:sz w:val="32"/>
          <w:szCs w:val="32"/>
          <w:u w:val="single"/>
        </w:rPr>
        <w:t xml:space="preserve">       </w:t>
      </w:r>
    </w:p>
    <w:p w14:paraId="5783C772">
      <w:pPr>
        <w:adjustRightInd w:val="0"/>
        <w:snapToGrid w:val="0"/>
        <w:spacing w:line="560" w:lineRule="exact"/>
        <w:ind w:firstLine="964" w:firstLineChars="300"/>
        <w:rPr>
          <w:rFonts w:hint="eastAsia" w:ascii="仿宋_GB2312" w:hAnsi="仿宋_GB2312" w:eastAsia="仿宋_GB2312" w:cs="仿宋_GB2312"/>
          <w:sz w:val="32"/>
          <w:szCs w:val="32"/>
          <w:u w:val="single"/>
        </w:rPr>
      </w:pPr>
      <w:r>
        <w:rPr>
          <w:rFonts w:hint="eastAsia" w:ascii="仿宋_GB2312" w:hAnsi="仿宋_GB2312" w:eastAsia="仿宋_GB2312" w:cs="仿宋_GB2312"/>
          <w:b/>
          <w:kern w:val="44"/>
          <w:sz w:val="32"/>
          <w:szCs w:val="32"/>
        </w:rPr>
        <w:t>地   址:</w:t>
      </w:r>
      <w:r>
        <w:rPr>
          <w:rFonts w:hint="eastAsia" w:ascii="仿宋_GB2312" w:hAnsi="仿宋_GB2312" w:eastAsia="仿宋_GB2312" w:cs="仿宋_GB2312"/>
          <w:sz w:val="32"/>
          <w:szCs w:val="32"/>
          <w:u w:val="single"/>
        </w:rPr>
        <w:t xml:space="preserve">                                </w:t>
      </w:r>
    </w:p>
    <w:p w14:paraId="75874B8F">
      <w:pPr>
        <w:pStyle w:val="13"/>
        <w:adjustRightInd w:val="0"/>
        <w:snapToGrid w:val="0"/>
        <w:spacing w:line="560" w:lineRule="exact"/>
        <w:ind w:firstLine="964" w:firstLineChars="300"/>
        <w:rPr>
          <w:rFonts w:hint="eastAsia" w:ascii="仿宋_GB2312" w:hAnsi="仿宋_GB2312" w:eastAsia="仿宋_GB2312" w:cs="仿宋_GB2312"/>
          <w:sz w:val="32"/>
          <w:szCs w:val="32"/>
          <w:u w:val="single"/>
        </w:rPr>
      </w:pPr>
      <w:r>
        <w:rPr>
          <w:rFonts w:hint="eastAsia" w:ascii="仿宋_GB2312" w:hAnsi="仿宋_GB2312" w:eastAsia="仿宋_GB2312" w:cs="仿宋_GB2312"/>
          <w:b/>
          <w:kern w:val="44"/>
          <w:sz w:val="32"/>
          <w:szCs w:val="32"/>
        </w:rPr>
        <w:t>电   话：</w:t>
      </w:r>
      <w:r>
        <w:rPr>
          <w:rFonts w:hint="eastAsia" w:ascii="仿宋_GB2312" w:hAnsi="仿宋_GB2312" w:eastAsia="仿宋_GB2312" w:cs="仿宋_GB2312"/>
          <w:sz w:val="32"/>
          <w:szCs w:val="32"/>
          <w:u w:val="single"/>
        </w:rPr>
        <w:t xml:space="preserve">                                 </w:t>
      </w:r>
    </w:p>
    <w:p w14:paraId="626AA369">
      <w:r>
        <w:rPr>
          <w:rFonts w:hint="eastAsia" w:ascii="仿宋_GB2312" w:hAnsi="仿宋_GB2312" w:eastAsia="仿宋_GB2312" w:cs="仿宋_GB2312"/>
        </w:rPr>
        <w:br w:type="page"/>
      </w:r>
      <w:bookmarkStart w:id="71" w:name="_Toc6665"/>
      <w:bookmarkStart w:id="72" w:name="_Toc25558"/>
      <w:bookmarkStart w:id="73" w:name="_Toc40089808"/>
    </w:p>
    <w:p w14:paraId="300BD3BA">
      <w:pPr>
        <w:pStyle w:val="3"/>
        <w:spacing w:line="240" w:lineRule="auto"/>
        <w:rPr>
          <w:rFonts w:hint="eastAsia" w:ascii="仿宋_GB2312" w:hAnsi="仿宋_GB2312" w:eastAsia="仿宋_GB2312" w:cs="仿宋_GB2312"/>
          <w:szCs w:val="36"/>
        </w:rPr>
      </w:pPr>
      <w:r>
        <w:rPr>
          <w:rFonts w:hint="eastAsia"/>
        </w:rPr>
        <w:t>一、商务部分</w:t>
      </w:r>
      <w:bookmarkEnd w:id="71"/>
      <w:bookmarkStart w:id="74" w:name="_Toc13087"/>
    </w:p>
    <w:p w14:paraId="50C66594">
      <w:pPr>
        <w:rPr>
          <w:rFonts w:hint="eastAsia" w:ascii="仿宋_GB2312" w:hAnsi="仿宋_GB2312" w:eastAsia="仿宋_GB2312" w:cs="仿宋_GB2312"/>
          <w:b/>
          <w:sz w:val="36"/>
          <w:szCs w:val="36"/>
        </w:rPr>
      </w:pPr>
    </w:p>
    <w:p w14:paraId="6633C4E4">
      <w:pPr>
        <w:rPr>
          <w:rFonts w:hint="eastAsia" w:ascii="方正公文黑体" w:hAnsi="方正公文黑体" w:eastAsia="方正公文黑体" w:cs="方正公文黑体"/>
          <w:sz w:val="36"/>
          <w:szCs w:val="36"/>
        </w:rPr>
      </w:pPr>
      <w:r>
        <w:rPr>
          <w:rFonts w:hint="eastAsia" w:ascii="方正公文黑体" w:hAnsi="方正公文黑体" w:eastAsia="方正公文黑体" w:cs="方正公文黑体"/>
          <w:sz w:val="36"/>
          <w:szCs w:val="36"/>
        </w:rPr>
        <w:t>附件1</w:t>
      </w:r>
      <w:bookmarkEnd w:id="57"/>
      <w:bookmarkEnd w:id="58"/>
      <w:bookmarkEnd w:id="72"/>
      <w:bookmarkEnd w:id="73"/>
      <w:bookmarkEnd w:id="74"/>
    </w:p>
    <w:p w14:paraId="6B154EC5">
      <w:pPr>
        <w:tabs>
          <w:tab w:val="left" w:pos="0"/>
          <w:tab w:val="left" w:pos="720"/>
          <w:tab w:val="left" w:pos="1440"/>
          <w:tab w:val="left" w:pos="2160"/>
          <w:tab w:val="left" w:pos="2880"/>
          <w:tab w:val="left" w:pos="3600"/>
          <w:tab w:val="left" w:pos="4320"/>
        </w:tabs>
        <w:autoSpaceDE w:val="0"/>
        <w:autoSpaceDN w:val="0"/>
        <w:adjustRightInd w:val="0"/>
        <w:ind w:left="560"/>
        <w:jc w:val="center"/>
        <w:rPr>
          <w:rFonts w:hint="eastAsia" w:ascii="仿宋_GB2312" w:hAnsi="仿宋_GB2312" w:eastAsia="仿宋_GB2312" w:cs="仿宋_GB2312"/>
          <w:szCs w:val="28"/>
        </w:rPr>
      </w:pPr>
      <w:r>
        <w:rPr>
          <w:rFonts w:hint="eastAsia" w:ascii="仿宋_GB2312" w:hAnsi="仿宋_GB2312" w:eastAsia="仿宋_GB2312" w:cs="仿宋_GB2312"/>
          <w:b/>
          <w:bCs w:val="0"/>
          <w:sz w:val="36"/>
          <w:szCs w:val="36"/>
        </w:rPr>
        <w:t>投标函</w:t>
      </w:r>
    </w:p>
    <w:p w14:paraId="2B7BC3A5">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hint="eastAsia" w:ascii="仿宋_GB2312" w:hAnsi="仿宋_GB2312" w:eastAsia="仿宋_GB2312" w:cs="仿宋_GB2312"/>
          <w:szCs w:val="28"/>
        </w:rPr>
      </w:pPr>
      <w:r>
        <w:rPr>
          <w:rFonts w:hint="eastAsia" w:ascii="仿宋_GB2312" w:hAnsi="仿宋_GB2312" w:eastAsia="仿宋_GB2312" w:cs="仿宋_GB2312"/>
          <w:szCs w:val="28"/>
        </w:rPr>
        <w:t>海南卫生健康职业学院：</w:t>
      </w:r>
    </w:p>
    <w:p w14:paraId="460D4FF5">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Cs w:val="28"/>
        </w:rPr>
      </w:pPr>
      <w:r>
        <w:rPr>
          <w:rFonts w:hint="eastAsia" w:ascii="仿宋_GB2312" w:hAnsi="仿宋_GB2312" w:eastAsia="仿宋_GB2312" w:cs="仿宋_GB2312"/>
          <w:szCs w:val="28"/>
        </w:rPr>
        <w:t>经研究，我们决定参加</w:t>
      </w:r>
      <w:r>
        <w:rPr>
          <w:rFonts w:hint="eastAsia" w:ascii="仿宋_GB2312" w:hAnsi="仿宋_GB2312" w:eastAsia="仿宋_GB2312" w:cs="仿宋_GB2312"/>
          <w:szCs w:val="28"/>
          <w:u w:val="single"/>
        </w:rPr>
        <w:t xml:space="preserve">                                  </w:t>
      </w:r>
      <w:r>
        <w:rPr>
          <w:rFonts w:hint="eastAsia" w:ascii="仿宋_GB2312" w:hAnsi="仿宋_GB2312" w:eastAsia="仿宋_GB2312" w:cs="仿宋_GB2312"/>
          <w:szCs w:val="28"/>
        </w:rPr>
        <w:t>（项目名称/项目编号）并报价。为此，我方郑重声明以下诸点，负法律责任。</w:t>
      </w:r>
    </w:p>
    <w:p w14:paraId="07C13AA1">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Cs w:val="28"/>
        </w:rPr>
      </w:pPr>
      <w:r>
        <w:rPr>
          <w:rFonts w:hint="eastAsia" w:ascii="仿宋_GB2312" w:hAnsi="仿宋_GB2312" w:eastAsia="仿宋_GB2312" w:cs="仿宋_GB2312"/>
          <w:szCs w:val="28"/>
        </w:rPr>
        <w:t>1.我方提交的报价文件，正本一份，副本二份。</w:t>
      </w:r>
    </w:p>
    <w:p w14:paraId="1AF2F70D">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Cs w:val="28"/>
        </w:rPr>
      </w:pPr>
      <w:r>
        <w:rPr>
          <w:rFonts w:hint="eastAsia" w:ascii="仿宋_GB2312" w:hAnsi="仿宋_GB2312" w:eastAsia="仿宋_GB2312" w:cs="仿宋_GB2312"/>
          <w:szCs w:val="28"/>
        </w:rPr>
        <w:t>2.如果我方的报价文件被接受，我们将履行谈判文件中规定的每一项要求，并按我方报价文件中的承诺按期、保质、保量完成项目的实施。</w:t>
      </w:r>
    </w:p>
    <w:p w14:paraId="75FC68EA">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3.我们理解，最低报价不是中标的唯一条件，同时认可本次谈判文</w:t>
      </w:r>
    </w:p>
    <w:p w14:paraId="6F51C5E0">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hint="eastAsia" w:ascii="仿宋_GB2312" w:hAnsi="仿宋_GB2312" w:eastAsia="仿宋_GB2312" w:cs="仿宋_GB2312"/>
          <w:szCs w:val="28"/>
        </w:rPr>
      </w:pPr>
      <w:r>
        <w:rPr>
          <w:rFonts w:hint="eastAsia" w:ascii="仿宋_GB2312" w:hAnsi="仿宋_GB2312" w:eastAsia="仿宋_GB2312" w:cs="仿宋_GB2312"/>
          <w:szCs w:val="28"/>
        </w:rPr>
        <w:t>件中谈判小组选择中标候选人的方式和权利。</w:t>
      </w:r>
    </w:p>
    <w:p w14:paraId="2F211FBB">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Cs w:val="28"/>
        </w:rPr>
      </w:pPr>
      <w:r>
        <w:rPr>
          <w:rFonts w:hint="eastAsia" w:ascii="仿宋_GB2312" w:hAnsi="仿宋_GB2312" w:eastAsia="仿宋_GB2312" w:cs="仿宋_GB2312"/>
          <w:szCs w:val="28"/>
        </w:rPr>
        <w:t>4.我们承诺，报价文件不存在复制、粘贴谈判文件主要规格技术参数的情况。</w:t>
      </w:r>
    </w:p>
    <w:p w14:paraId="24CB1E6E">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Cs w:val="28"/>
        </w:rPr>
      </w:pPr>
      <w:r>
        <w:rPr>
          <w:rFonts w:hint="eastAsia" w:ascii="仿宋_GB2312" w:hAnsi="仿宋_GB2312" w:eastAsia="仿宋_GB2312" w:cs="仿宋_GB2312"/>
          <w:szCs w:val="28"/>
        </w:rPr>
        <w:t>5.我方已详细检查所有报价文件、附件以及所提供的参考文件，有模糊和误解产生的一切后果，由我方自负。</w:t>
      </w:r>
    </w:p>
    <w:p w14:paraId="1F5B1F1B">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6.报价文件在公开报价后</w:t>
      </w:r>
      <w:r>
        <w:rPr>
          <w:rFonts w:hint="eastAsia" w:ascii="仿宋_GB2312" w:hAnsi="仿宋_GB2312" w:eastAsia="仿宋_GB2312" w:cs="仿宋_GB2312"/>
          <w:szCs w:val="28"/>
          <w:u w:val="single"/>
        </w:rPr>
        <w:t>90</w:t>
      </w:r>
      <w:r>
        <w:rPr>
          <w:rFonts w:hint="eastAsia" w:ascii="仿宋_GB2312" w:hAnsi="仿宋_GB2312" w:eastAsia="仿宋_GB2312" w:cs="仿宋_GB2312"/>
          <w:szCs w:val="28"/>
        </w:rPr>
        <w:t>日内有效。</w:t>
      </w:r>
    </w:p>
    <w:p w14:paraId="05C50AAE">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Cs w:val="28"/>
        </w:rPr>
      </w:pPr>
      <w:r>
        <w:rPr>
          <w:rFonts w:hint="eastAsia" w:ascii="仿宋_GB2312" w:hAnsi="仿宋_GB2312" w:eastAsia="仿宋_GB2312" w:cs="仿宋_GB2312"/>
          <w:szCs w:val="28"/>
        </w:rPr>
        <w:t>7.我们同意按照谈判文件的要求，提供与递交报价文件有关的数据和资料。</w:t>
      </w:r>
    </w:p>
    <w:p w14:paraId="73376DB4">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8.我方愿按《中华人民共和国民法典》履行自己的全部责任。</w:t>
      </w:r>
    </w:p>
    <w:p w14:paraId="307890F2">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hint="eastAsia" w:ascii="仿宋_GB2312" w:hAnsi="仿宋_GB2312" w:eastAsia="仿宋_GB2312" w:cs="仿宋_GB2312"/>
          <w:szCs w:val="28"/>
        </w:rPr>
      </w:pPr>
    </w:p>
    <w:p w14:paraId="1C5D65D0">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地址：</w:t>
      </w:r>
    </w:p>
    <w:p w14:paraId="4617A47E">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邮政编码：</w:t>
      </w:r>
    </w:p>
    <w:p w14:paraId="140E5E00">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电话：</w:t>
      </w:r>
    </w:p>
    <w:p w14:paraId="0638F2E1">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传真：</w:t>
      </w:r>
    </w:p>
    <w:p w14:paraId="51CA6326">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投标人全称（公章）：</w:t>
      </w:r>
    </w:p>
    <w:p w14:paraId="5C4A9899">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 xml:space="preserve">法定代表人或授权代理人签字：                                                 </w:t>
      </w:r>
    </w:p>
    <w:p w14:paraId="34CCFFB9">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jc w:val="left"/>
        <w:rPr>
          <w:rFonts w:hint="eastAsia" w:ascii="仿宋_GB2312" w:hAnsi="仿宋_GB2312" w:eastAsia="仿宋_GB2312" w:cs="仿宋_GB2312"/>
          <w:szCs w:val="28"/>
        </w:rPr>
      </w:pPr>
      <w:r>
        <w:rPr>
          <w:rFonts w:hint="eastAsia" w:ascii="仿宋_GB2312" w:hAnsi="仿宋_GB2312" w:eastAsia="仿宋_GB2312" w:cs="仿宋_GB2312"/>
          <w:szCs w:val="28"/>
        </w:rPr>
        <w:t>日  期：年   月   日</w:t>
      </w:r>
    </w:p>
    <w:p w14:paraId="377B2364">
      <w:pPr>
        <w:rPr>
          <w:rFonts w:hint="eastAsia" w:ascii="仿宋_GB2312" w:hAnsi="仿宋_GB2312" w:eastAsia="仿宋_GB2312" w:cs="仿宋_GB2312"/>
        </w:rPr>
      </w:pPr>
      <w:r>
        <w:rPr>
          <w:rFonts w:hint="eastAsia" w:ascii="仿宋_GB2312" w:hAnsi="仿宋_GB2312" w:eastAsia="仿宋_GB2312" w:cs="仿宋_GB2312"/>
          <w:sz w:val="24"/>
        </w:rPr>
        <w:br w:type="page"/>
      </w:r>
      <w:bookmarkStart w:id="75" w:name="_Toc323130135"/>
      <w:bookmarkStart w:id="76" w:name="_Toc323129568"/>
      <w:bookmarkStart w:id="77" w:name="_Toc325620729"/>
      <w:bookmarkStart w:id="78" w:name="_Toc356491343"/>
      <w:bookmarkStart w:id="79" w:name="_Toc40089809"/>
      <w:bookmarkStart w:id="80" w:name="_Toc26378"/>
      <w:bookmarkStart w:id="81" w:name="_Toc26307"/>
      <w:r>
        <w:rPr>
          <w:rFonts w:hint="eastAsia" w:ascii="方正公文黑体" w:hAnsi="方正公文黑体" w:eastAsia="方正公文黑体" w:cs="方正公文黑体"/>
          <w:sz w:val="36"/>
          <w:szCs w:val="36"/>
        </w:rPr>
        <w:t>附件</w:t>
      </w:r>
      <w:bookmarkEnd w:id="75"/>
      <w:bookmarkEnd w:id="76"/>
      <w:r>
        <w:rPr>
          <w:rFonts w:hint="eastAsia" w:ascii="方正公文黑体" w:hAnsi="方正公文黑体" w:eastAsia="方正公文黑体" w:cs="方正公文黑体"/>
          <w:sz w:val="36"/>
          <w:szCs w:val="36"/>
        </w:rPr>
        <w:t>2</w:t>
      </w:r>
      <w:bookmarkEnd w:id="77"/>
      <w:bookmarkEnd w:id="78"/>
      <w:bookmarkEnd w:id="79"/>
      <w:bookmarkEnd w:id="80"/>
      <w:bookmarkEnd w:id="81"/>
      <w:bookmarkStart w:id="82" w:name="_Toc356490395"/>
      <w:bookmarkStart w:id="83" w:name="_Toc356491344"/>
    </w:p>
    <w:p w14:paraId="3CCE4A1D">
      <w:pPr>
        <w:pStyle w:val="15"/>
        <w:spacing w:line="360" w:lineRule="auto"/>
        <w:jc w:val="center"/>
        <w:rPr>
          <w:rFonts w:hint="eastAsia" w:ascii="仿宋_GB2312" w:hAnsi="仿宋_GB2312" w:eastAsia="仿宋_GB2312" w:cs="仿宋_GB2312"/>
          <w:b/>
          <w:bCs w:val="0"/>
          <w:sz w:val="36"/>
          <w:szCs w:val="36"/>
        </w:rPr>
      </w:pPr>
    </w:p>
    <w:p w14:paraId="67A7C30A">
      <w:pPr>
        <w:pStyle w:val="15"/>
        <w:spacing w:line="360" w:lineRule="auto"/>
        <w:jc w:val="center"/>
        <w:rPr>
          <w:rFonts w:hint="eastAsia" w:ascii="仿宋_GB2312" w:hAnsi="仿宋_GB2312" w:eastAsia="仿宋_GB2312" w:cs="仿宋_GB2312"/>
          <w:b/>
          <w:bCs w:val="0"/>
          <w:sz w:val="36"/>
          <w:szCs w:val="36"/>
        </w:rPr>
      </w:pPr>
    </w:p>
    <w:p w14:paraId="1B952390">
      <w:pPr>
        <w:pStyle w:val="15"/>
        <w:spacing w:line="360" w:lineRule="auto"/>
        <w:jc w:val="center"/>
        <w:rPr>
          <w:rFonts w:hint="eastAsia" w:ascii="仿宋_GB2312" w:hAnsi="仿宋_GB2312" w:eastAsia="仿宋_GB2312" w:cs="仿宋_GB2312"/>
          <w:b/>
          <w:bCs w:val="0"/>
          <w:sz w:val="36"/>
          <w:szCs w:val="36"/>
        </w:rPr>
      </w:pPr>
      <w:r>
        <w:rPr>
          <w:rFonts w:hint="eastAsia" w:ascii="仿宋_GB2312" w:hAnsi="仿宋_GB2312" w:eastAsia="仿宋_GB2312" w:cs="仿宋_GB2312"/>
          <w:b/>
          <w:bCs w:val="0"/>
          <w:sz w:val="36"/>
          <w:szCs w:val="36"/>
        </w:rPr>
        <w:t>法定代表人身份证明</w:t>
      </w:r>
    </w:p>
    <w:p w14:paraId="175ED9B4">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供应商名称：</w:t>
      </w:r>
    </w:p>
    <w:p w14:paraId="45C0F8FB">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单位性质：</w:t>
      </w:r>
    </w:p>
    <w:p w14:paraId="3D439EED">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地址：</w:t>
      </w:r>
    </w:p>
    <w:p w14:paraId="2150252F">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成立时间：年</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日</w:t>
      </w:r>
    </w:p>
    <w:p w14:paraId="14541C24">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经营期限：</w:t>
      </w:r>
    </w:p>
    <w:p w14:paraId="5E4240B9">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姓名： 性别：年龄：职务：</w:t>
      </w:r>
    </w:p>
    <w:p w14:paraId="50D92DBC">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系 （供应商名称）的法定代表人。</w:t>
      </w:r>
    </w:p>
    <w:p w14:paraId="0F362C4A">
      <w:pPr>
        <w:keepNext w:val="0"/>
        <w:keepLines w:val="0"/>
        <w:pageBreakBefore w:val="0"/>
        <w:widowControl/>
        <w:kinsoku/>
        <w:wordWrap/>
        <w:overflowPunct/>
        <w:topLinePunct w:val="0"/>
        <w:autoSpaceDE/>
        <w:autoSpaceDN/>
        <w:bidi w:val="0"/>
        <w:adjustRightInd w:val="0"/>
        <w:snapToGrid w:val="0"/>
        <w:spacing w:line="560" w:lineRule="exact"/>
        <w:ind w:firstLine="1600" w:firstLineChars="5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特此证明。</w:t>
      </w:r>
    </w:p>
    <w:p w14:paraId="4EECC64A">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p>
    <w:p w14:paraId="5065625F">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p>
    <w:p w14:paraId="11018758">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供应商：（盖单位章）</w:t>
      </w:r>
    </w:p>
    <w:p w14:paraId="230E1146">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p>
    <w:p w14:paraId="6EBAAB5F">
      <w:pPr>
        <w:keepNext w:val="0"/>
        <w:keepLines w:val="0"/>
        <w:pageBreakBefore w:val="0"/>
        <w:kinsoku/>
        <w:wordWrap/>
        <w:overflowPunct/>
        <w:topLinePunct w:val="0"/>
        <w:autoSpaceDE/>
        <w:autoSpaceDN/>
        <w:bidi w:val="0"/>
        <w:adjustRightInd w:val="0"/>
        <w:snapToGrid w:val="0"/>
        <w:spacing w:line="560" w:lineRule="exact"/>
        <w:ind w:firstLine="4800" w:firstLineChars="15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 xml:space="preserve">日    </w:t>
      </w:r>
    </w:p>
    <w:p w14:paraId="475986C6">
      <w:pPr>
        <w:pStyle w:val="15"/>
        <w:spacing w:line="360" w:lineRule="auto"/>
        <w:jc w:val="center"/>
        <w:rPr>
          <w:rFonts w:hint="eastAsia" w:ascii="仿宋_GB2312" w:hAnsi="仿宋_GB2312" w:eastAsia="仿宋_GB2312" w:cs="仿宋_GB2312"/>
          <w:b/>
          <w:bCs w:val="0"/>
          <w:sz w:val="36"/>
          <w:szCs w:val="36"/>
        </w:rPr>
      </w:pPr>
    </w:p>
    <w:p w14:paraId="5D270240">
      <w:pPr>
        <w:pStyle w:val="15"/>
        <w:spacing w:line="360" w:lineRule="auto"/>
        <w:jc w:val="center"/>
        <w:rPr>
          <w:rFonts w:hint="eastAsia" w:ascii="仿宋_GB2312" w:hAnsi="仿宋_GB2312" w:eastAsia="仿宋_GB2312" w:cs="仿宋_GB2312"/>
          <w:b/>
          <w:bCs w:val="0"/>
          <w:sz w:val="36"/>
          <w:szCs w:val="36"/>
        </w:rPr>
      </w:pPr>
    </w:p>
    <w:p w14:paraId="2017354D">
      <w:pPr>
        <w:pStyle w:val="15"/>
        <w:spacing w:line="360" w:lineRule="auto"/>
        <w:jc w:val="center"/>
        <w:rPr>
          <w:rFonts w:hint="eastAsia" w:ascii="仿宋_GB2312" w:hAnsi="仿宋_GB2312" w:eastAsia="仿宋_GB2312" w:cs="仿宋_GB2312"/>
          <w:b/>
          <w:bCs w:val="0"/>
          <w:sz w:val="36"/>
          <w:szCs w:val="36"/>
        </w:rPr>
      </w:pPr>
    </w:p>
    <w:p w14:paraId="2E4C708B">
      <w:pPr>
        <w:pStyle w:val="15"/>
        <w:spacing w:line="360" w:lineRule="auto"/>
        <w:jc w:val="center"/>
        <w:rPr>
          <w:rFonts w:hint="eastAsia" w:ascii="仿宋_GB2312" w:hAnsi="仿宋_GB2312" w:eastAsia="仿宋_GB2312" w:cs="仿宋_GB2312"/>
          <w:b/>
          <w:bCs w:val="0"/>
          <w:sz w:val="36"/>
          <w:szCs w:val="36"/>
        </w:rPr>
      </w:pPr>
    </w:p>
    <w:p w14:paraId="3CA1775D">
      <w:pPr>
        <w:pStyle w:val="15"/>
        <w:spacing w:line="360" w:lineRule="auto"/>
        <w:jc w:val="center"/>
        <w:rPr>
          <w:rFonts w:hint="eastAsia" w:ascii="仿宋_GB2312" w:hAnsi="仿宋_GB2312" w:eastAsia="仿宋_GB2312" w:cs="仿宋_GB2312"/>
          <w:b/>
          <w:bCs w:val="0"/>
          <w:sz w:val="36"/>
          <w:szCs w:val="36"/>
        </w:rPr>
      </w:pPr>
    </w:p>
    <w:p w14:paraId="172DCD55">
      <w:pPr>
        <w:pStyle w:val="15"/>
        <w:spacing w:line="360" w:lineRule="auto"/>
        <w:jc w:val="center"/>
        <w:rPr>
          <w:rFonts w:hint="eastAsia" w:ascii="仿宋_GB2312" w:hAnsi="仿宋_GB2312" w:eastAsia="仿宋_GB2312" w:cs="仿宋_GB2312"/>
          <w:b/>
          <w:bCs w:val="0"/>
          <w:sz w:val="36"/>
          <w:szCs w:val="36"/>
          <w:lang w:eastAsia="zh-CN"/>
        </w:rPr>
      </w:pPr>
      <w:r>
        <w:rPr>
          <w:rFonts w:hint="eastAsia" w:ascii="仿宋_GB2312" w:hAnsi="仿宋_GB2312" w:eastAsia="仿宋_GB2312" w:cs="仿宋_GB2312"/>
          <w:b/>
          <w:bCs w:val="0"/>
          <w:sz w:val="36"/>
          <w:szCs w:val="36"/>
        </w:rPr>
        <w:t>法定代表人授权委托书</w:t>
      </w:r>
      <w:r>
        <w:rPr>
          <w:rFonts w:hint="eastAsia" w:ascii="仿宋_GB2312" w:hAnsi="仿宋_GB2312" w:eastAsia="仿宋_GB2312" w:cs="仿宋_GB2312"/>
          <w:b/>
          <w:bCs w:val="0"/>
          <w:sz w:val="36"/>
          <w:szCs w:val="36"/>
          <w:lang w:eastAsia="zh-CN"/>
        </w:rPr>
        <w:t>（法人参加投标无需提供此表）</w:t>
      </w:r>
    </w:p>
    <w:p w14:paraId="28EFD986">
      <w:pPr>
        <w:tabs>
          <w:tab w:val="left" w:pos="0"/>
          <w:tab w:val="left" w:pos="720"/>
          <w:tab w:val="left" w:pos="1440"/>
          <w:tab w:val="left" w:pos="2160"/>
          <w:tab w:val="left" w:pos="2880"/>
          <w:tab w:val="left" w:pos="3600"/>
          <w:tab w:val="left" w:pos="4320"/>
        </w:tabs>
        <w:autoSpaceDE w:val="0"/>
        <w:autoSpaceDN w:val="0"/>
        <w:adjustRightInd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海南卫生健康职业学院：</w:t>
      </w:r>
    </w:p>
    <w:p w14:paraId="1478A759">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姓名）系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（投标人名称）法定代表人，现授权委托我公司的</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（姓名、职务或职称）为我单位本次项目的全权代表，以本公司的名义参加海南卫生健康职业学院组织的                      （项目名称/项目编号）的招标，全权处理招标过程有关的一切事务。</w:t>
      </w:r>
    </w:p>
    <w:p w14:paraId="73B8C79D">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被授权人在授权书有效期内</w:t>
      </w:r>
      <w:r>
        <w:rPr>
          <w:rFonts w:hint="eastAsia" w:ascii="仿宋_GB2312" w:hAnsi="仿宋_GB2312" w:eastAsia="仿宋_GB2312" w:cs="仿宋_GB2312"/>
          <w:sz w:val="32"/>
          <w:szCs w:val="32"/>
          <w:u w:val="single"/>
        </w:rPr>
        <w:t xml:space="preserve">   年  月  日至  年  月  日</w:t>
      </w:r>
      <w:r>
        <w:rPr>
          <w:rFonts w:hint="eastAsia" w:ascii="仿宋_GB2312" w:hAnsi="仿宋_GB2312" w:eastAsia="仿宋_GB2312" w:cs="仿宋_GB2312"/>
          <w:sz w:val="32"/>
          <w:szCs w:val="32"/>
        </w:rPr>
        <w:t>签署的所有文件不因授权的撤消而失效。</w:t>
      </w:r>
    </w:p>
    <w:p w14:paraId="12CEBA6A">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全权代表无转委托权。特此委托。</w:t>
      </w:r>
    </w:p>
    <w:p w14:paraId="1FD22909">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hint="eastAsia" w:ascii="仿宋_GB2312" w:hAnsi="仿宋_GB2312" w:eastAsia="仿宋_GB2312" w:cs="仿宋_GB2312"/>
          <w:sz w:val="32"/>
          <w:szCs w:val="32"/>
        </w:rPr>
      </w:pPr>
    </w:p>
    <w:p w14:paraId="5C7CFE68">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（附法定代表人、授权代理人身份证明复印件）</w:t>
      </w:r>
    </w:p>
    <w:p w14:paraId="4238C834">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p>
    <w:p w14:paraId="1765465D">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p>
    <w:p w14:paraId="23491E9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p>
    <w:p w14:paraId="4727B1FE">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投标人（盖章）：</w:t>
      </w:r>
    </w:p>
    <w:p w14:paraId="58E43204">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p>
    <w:p w14:paraId="455FAE00">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法定代表人：（签字）：</w:t>
      </w:r>
    </w:p>
    <w:p w14:paraId="02A31B15">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p>
    <w:p w14:paraId="4652A961">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授权代理人：（签字）：</w:t>
      </w:r>
    </w:p>
    <w:p w14:paraId="6C38C348">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p>
    <w:p w14:paraId="58A89837">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   年   月   日</w:t>
      </w:r>
    </w:p>
    <w:p w14:paraId="56E467F2">
      <w:pPr>
        <w:rPr>
          <w:rFonts w:hint="eastAsia" w:ascii="仿宋_GB2312" w:hAnsi="仿宋_GB2312" w:eastAsia="仿宋_GB2312" w:cs="仿宋_GB2312"/>
        </w:rPr>
      </w:pPr>
      <w:r>
        <w:rPr>
          <w:rFonts w:hint="eastAsia" w:ascii="仿宋_GB2312" w:hAnsi="仿宋_GB2312" w:eastAsia="仿宋_GB2312" w:cs="仿宋_GB2312"/>
          <w:szCs w:val="28"/>
        </w:rPr>
        <w:br w:type="page"/>
      </w:r>
      <w:bookmarkStart w:id="84" w:name="_Toc25524"/>
      <w:bookmarkStart w:id="85" w:name="_Toc40089810"/>
      <w:bookmarkStart w:id="86" w:name="_Toc24686"/>
      <w:bookmarkStart w:id="87" w:name="_Toc513627405"/>
      <w:r>
        <w:rPr>
          <w:rFonts w:hint="eastAsia" w:ascii="方正公文黑体" w:hAnsi="方正公文黑体" w:eastAsia="方正公文黑体" w:cs="方正公文黑体"/>
          <w:sz w:val="36"/>
          <w:szCs w:val="36"/>
        </w:rPr>
        <w:t>附件3</w:t>
      </w:r>
      <w:bookmarkEnd w:id="84"/>
    </w:p>
    <w:p w14:paraId="13749352">
      <w:pPr>
        <w:rPr>
          <w:rFonts w:hint="eastAsia" w:ascii="仿宋_GB2312" w:hAnsi="仿宋_GB2312" w:eastAsia="仿宋_GB2312" w:cs="仿宋_GB2312"/>
        </w:rPr>
      </w:pPr>
    </w:p>
    <w:p w14:paraId="7A44738C">
      <w:pPr>
        <w:pStyle w:val="15"/>
        <w:snapToGrid w:val="0"/>
        <w:spacing w:after="0" w:line="560" w:lineRule="exact"/>
        <w:jc w:val="center"/>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近三年内，在经营活动中没有重大违法记录的声明</w:t>
      </w:r>
      <w:bookmarkEnd w:id="85"/>
      <w:bookmarkEnd w:id="86"/>
      <w:bookmarkEnd w:id="87"/>
      <w:r>
        <w:rPr>
          <w:rFonts w:hint="eastAsia" w:ascii="仿宋_GB2312" w:hAnsi="仿宋_GB2312" w:eastAsia="仿宋_GB2312" w:cs="仿宋_GB2312"/>
          <w:b/>
          <w:bCs w:val="0"/>
          <w:sz w:val="32"/>
          <w:szCs w:val="32"/>
        </w:rPr>
        <w:t>函</w:t>
      </w:r>
    </w:p>
    <w:p w14:paraId="2F11BBFE">
      <w:pPr>
        <w:tabs>
          <w:tab w:val="left" w:pos="0"/>
          <w:tab w:val="left" w:pos="720"/>
          <w:tab w:val="left" w:pos="1440"/>
          <w:tab w:val="left" w:pos="2160"/>
          <w:tab w:val="left" w:pos="2880"/>
          <w:tab w:val="left" w:pos="3600"/>
          <w:tab w:val="left" w:pos="4320"/>
        </w:tabs>
        <w:autoSpaceDE w:val="0"/>
        <w:autoSpaceDN w:val="0"/>
        <w:snapToGrid w:val="0"/>
        <w:spacing w:line="560" w:lineRule="exact"/>
        <w:rPr>
          <w:rFonts w:hint="eastAsia" w:ascii="仿宋_GB2312" w:hAnsi="仿宋_GB2312" w:eastAsia="仿宋_GB2312" w:cs="仿宋_GB2312"/>
          <w:sz w:val="32"/>
          <w:szCs w:val="32"/>
        </w:rPr>
      </w:pPr>
    </w:p>
    <w:p w14:paraId="5665DC1C">
      <w:pPr>
        <w:tabs>
          <w:tab w:val="left" w:pos="0"/>
          <w:tab w:val="left" w:pos="720"/>
          <w:tab w:val="left" w:pos="1440"/>
          <w:tab w:val="left" w:pos="2160"/>
          <w:tab w:val="left" w:pos="2880"/>
          <w:tab w:val="left" w:pos="3600"/>
          <w:tab w:val="left" w:pos="4320"/>
        </w:tabs>
        <w:autoSpaceDE w:val="0"/>
        <w:autoSpaceDN w:val="0"/>
        <w:snapToGrid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致：海南卫生健康职业学院</w:t>
      </w:r>
    </w:p>
    <w:p w14:paraId="1CB9FA09">
      <w:pPr>
        <w:tabs>
          <w:tab w:val="left" w:pos="0"/>
          <w:tab w:val="left" w:pos="720"/>
          <w:tab w:val="left" w:pos="1440"/>
          <w:tab w:val="left" w:pos="2160"/>
          <w:tab w:val="left" w:pos="2880"/>
          <w:tab w:val="left" w:pos="3600"/>
          <w:tab w:val="left" w:pos="4320"/>
        </w:tabs>
        <w:autoSpaceDE w:val="0"/>
        <w:autoSpaceDN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我单位近三年内在经营活动中没有重大违法记录，特此声明。</w:t>
      </w:r>
    </w:p>
    <w:p w14:paraId="25B9F946">
      <w:pPr>
        <w:tabs>
          <w:tab w:val="left" w:pos="0"/>
          <w:tab w:val="left" w:pos="720"/>
          <w:tab w:val="left" w:pos="1440"/>
          <w:tab w:val="left" w:pos="2160"/>
          <w:tab w:val="left" w:pos="2880"/>
          <w:tab w:val="left" w:pos="3600"/>
          <w:tab w:val="left" w:pos="4320"/>
        </w:tabs>
        <w:autoSpaceDE w:val="0"/>
        <w:autoSpaceDN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若招标采购单位在本项目采购过程中，发现我单位近三年内在经营活动中有重大违法记录，我单位将无条件退出本项目的报价，并承担因此引起的一切后果。</w:t>
      </w:r>
    </w:p>
    <w:p w14:paraId="6A9CA946">
      <w:pPr>
        <w:snapToGrid w:val="0"/>
        <w:spacing w:line="560" w:lineRule="exact"/>
        <w:ind w:firstLine="480"/>
        <w:rPr>
          <w:rFonts w:hint="eastAsia" w:ascii="仿宋_GB2312" w:hAnsi="仿宋_GB2312" w:eastAsia="仿宋_GB2312" w:cs="仿宋_GB2312"/>
          <w:sz w:val="32"/>
          <w:szCs w:val="32"/>
        </w:rPr>
      </w:pPr>
    </w:p>
    <w:p w14:paraId="1716E123">
      <w:pPr>
        <w:snapToGrid w:val="0"/>
        <w:spacing w:line="560" w:lineRule="exact"/>
        <w:rPr>
          <w:rFonts w:hint="eastAsia" w:ascii="仿宋_GB2312" w:hAnsi="仿宋_GB2312" w:eastAsia="仿宋_GB2312" w:cs="仿宋_GB2312"/>
          <w:sz w:val="32"/>
          <w:szCs w:val="32"/>
        </w:rPr>
      </w:pPr>
    </w:p>
    <w:p w14:paraId="63C7B51C">
      <w:pPr>
        <w:snapToGrid w:val="0"/>
        <w:spacing w:line="560" w:lineRule="exact"/>
        <w:rPr>
          <w:rFonts w:hint="eastAsia" w:ascii="仿宋_GB2312" w:hAnsi="仿宋_GB2312" w:eastAsia="仿宋_GB2312" w:cs="仿宋_GB2312"/>
          <w:sz w:val="32"/>
          <w:szCs w:val="32"/>
        </w:rPr>
      </w:pPr>
    </w:p>
    <w:p w14:paraId="7F7BD241">
      <w:pPr>
        <w:snapToGrid w:val="0"/>
        <w:spacing w:line="560" w:lineRule="exact"/>
        <w:ind w:firstLine="48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供应商（公章）：</w:t>
      </w:r>
      <w:r>
        <w:rPr>
          <w:rFonts w:hint="eastAsia" w:ascii="仿宋_GB2312" w:hAnsi="仿宋_GB2312" w:eastAsia="仿宋_GB2312" w:cs="仿宋_GB2312"/>
          <w:sz w:val="32"/>
          <w:szCs w:val="32"/>
          <w:u w:val="single"/>
        </w:rPr>
        <w:t xml:space="preserve">                     </w:t>
      </w:r>
    </w:p>
    <w:p w14:paraId="4C3DF4B5">
      <w:pPr>
        <w:snapToGrid w:val="0"/>
        <w:spacing w:line="560" w:lineRule="exact"/>
        <w:ind w:firstLine="48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法人代表或其授权人（签字）：</w:t>
      </w:r>
      <w:r>
        <w:rPr>
          <w:rFonts w:hint="eastAsia" w:ascii="仿宋_GB2312" w:hAnsi="仿宋_GB2312" w:eastAsia="仿宋_GB2312" w:cs="仿宋_GB2312"/>
          <w:sz w:val="32"/>
          <w:szCs w:val="32"/>
          <w:u w:val="single"/>
        </w:rPr>
        <w:t xml:space="preserve">               </w:t>
      </w:r>
    </w:p>
    <w:p w14:paraId="7FE1AF92">
      <w:pPr>
        <w:snapToGrid w:val="0"/>
        <w:spacing w:line="560" w:lineRule="exact"/>
        <w:ind w:firstLine="48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日   期：</w:t>
      </w:r>
      <w:r>
        <w:rPr>
          <w:rFonts w:hint="eastAsia" w:ascii="仿宋_GB2312" w:hAnsi="仿宋_GB2312" w:eastAsia="仿宋_GB2312" w:cs="仿宋_GB2312"/>
          <w:sz w:val="32"/>
          <w:szCs w:val="32"/>
          <w:u w:val="single"/>
        </w:rPr>
        <w:t xml:space="preserve">                   </w:t>
      </w:r>
    </w:p>
    <w:p w14:paraId="101982DB">
      <w:pPr>
        <w:snapToGrid w:val="0"/>
        <w:spacing w:line="560" w:lineRule="exact"/>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解释：《中华人民共和国政府采购法实施条例》条例第十九条 政府采购法第二十二条第一款第五项所称重大违法记录，是指供应商因违法经营受到刑事处罚或者责令停产停业、吊销许可证或者执照、较大数额罚款等行政处罚。供应商在参加政府采购活动前3年内因违法经营被禁止在一定期限内参加政府采购活动，期限届满的，可以参加政府采购活动。</w:t>
      </w:r>
    </w:p>
    <w:p w14:paraId="3DBDC721">
      <w:pPr>
        <w:rPr>
          <w:rFonts w:hint="eastAsia" w:ascii="仿宋_GB2312" w:hAnsi="仿宋_GB2312" w:eastAsia="仿宋_GB2312" w:cs="仿宋_GB2312"/>
          <w:b/>
          <w:bCs w:val="0"/>
          <w:sz w:val="36"/>
          <w:szCs w:val="36"/>
        </w:rPr>
      </w:pPr>
      <w:r>
        <w:rPr>
          <w:rFonts w:hint="eastAsia" w:ascii="仿宋_GB2312" w:hAnsi="仿宋_GB2312" w:eastAsia="仿宋_GB2312" w:cs="仿宋_GB2312"/>
          <w:sz w:val="24"/>
        </w:rPr>
        <w:br w:type="page"/>
      </w:r>
      <w:bookmarkStart w:id="88" w:name="_Toc40089811"/>
      <w:bookmarkStart w:id="89" w:name="_Toc8872"/>
      <w:bookmarkStart w:id="90" w:name="_Toc9292"/>
      <w:r>
        <w:rPr>
          <w:rFonts w:hint="eastAsia" w:ascii="方正公文黑体" w:hAnsi="方正公文黑体" w:eastAsia="方正公文黑体" w:cs="方正公文黑体"/>
          <w:sz w:val="36"/>
          <w:szCs w:val="36"/>
        </w:rPr>
        <w:t>附件4</w:t>
      </w:r>
      <w:bookmarkEnd w:id="88"/>
      <w:bookmarkEnd w:id="89"/>
      <w:bookmarkEnd w:id="90"/>
    </w:p>
    <w:p w14:paraId="348CFFFA">
      <w:pPr>
        <w:pStyle w:val="6"/>
        <w:spacing w:before="0" w:after="0"/>
        <w:ind w:right="378" w:rightChars="135"/>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6"/>
          <w:szCs w:val="36"/>
        </w:rPr>
        <w:t>商务响应表</w:t>
      </w:r>
    </w:p>
    <w:tbl>
      <w:tblPr>
        <w:tblStyle w:val="18"/>
        <w:tblW w:w="91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2"/>
        <w:gridCol w:w="3402"/>
        <w:gridCol w:w="1673"/>
        <w:gridCol w:w="2544"/>
      </w:tblGrid>
      <w:tr w14:paraId="37001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552" w:type="dxa"/>
            <w:vAlign w:val="center"/>
          </w:tcPr>
          <w:p w14:paraId="2044DC22">
            <w:pPr>
              <w:adjustRightInd w:val="0"/>
              <w:spacing w:line="500" w:lineRule="atLeas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序号</w:t>
            </w:r>
          </w:p>
        </w:tc>
        <w:tc>
          <w:tcPr>
            <w:tcW w:w="3402" w:type="dxa"/>
            <w:vAlign w:val="center"/>
          </w:tcPr>
          <w:p w14:paraId="0CBDD4AE">
            <w:pPr>
              <w:adjustRightInd w:val="0"/>
              <w:spacing w:line="500" w:lineRule="atLeas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谈判文件要求</w:t>
            </w:r>
          </w:p>
        </w:tc>
        <w:tc>
          <w:tcPr>
            <w:tcW w:w="1673" w:type="dxa"/>
            <w:vAlign w:val="center"/>
          </w:tcPr>
          <w:p w14:paraId="6994BFE5">
            <w:pPr>
              <w:adjustRightInd w:val="0"/>
              <w:spacing w:line="500" w:lineRule="atLeas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响应程度</w:t>
            </w:r>
          </w:p>
        </w:tc>
        <w:tc>
          <w:tcPr>
            <w:tcW w:w="2544" w:type="dxa"/>
            <w:vAlign w:val="center"/>
          </w:tcPr>
          <w:p w14:paraId="0A92A63C">
            <w:pPr>
              <w:adjustRightInd w:val="0"/>
              <w:spacing w:line="500" w:lineRule="atLeast"/>
              <w:jc w:val="center"/>
              <w:rPr>
                <w:rFonts w:hint="eastAsia" w:ascii="仿宋_GB2312" w:hAnsi="仿宋_GB2312" w:eastAsia="仿宋_GB2312" w:cs="仿宋_GB2312"/>
                <w:b/>
                <w:sz w:val="32"/>
                <w:szCs w:val="32"/>
              </w:rPr>
            </w:pPr>
            <w:r>
              <w:rPr>
                <w:rStyle w:val="25"/>
                <w:rFonts w:hint="eastAsia" w:ascii="仿宋_GB2312" w:hAnsi="仿宋_GB2312" w:eastAsia="仿宋_GB2312" w:cs="仿宋_GB2312"/>
                <w:b/>
                <w:bCs w:val="0"/>
                <w:szCs w:val="28"/>
              </w:rPr>
              <w:t>正偏离理由</w:t>
            </w:r>
          </w:p>
        </w:tc>
      </w:tr>
      <w:tr w14:paraId="3CDFD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1552" w:type="dxa"/>
            <w:vAlign w:val="center"/>
          </w:tcPr>
          <w:p w14:paraId="189193D8">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 w:val="32"/>
                <w:szCs w:val="32"/>
              </w:rPr>
            </w:pPr>
          </w:p>
        </w:tc>
        <w:tc>
          <w:tcPr>
            <w:tcW w:w="3402" w:type="dxa"/>
            <w:vAlign w:val="center"/>
          </w:tcPr>
          <w:p w14:paraId="23E17341">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673" w:type="dxa"/>
            <w:vAlign w:val="center"/>
          </w:tcPr>
          <w:p w14:paraId="1B0F376B">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2544" w:type="dxa"/>
            <w:vAlign w:val="center"/>
          </w:tcPr>
          <w:p w14:paraId="31CDBD31">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r>
      <w:tr w14:paraId="37FE9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552" w:type="dxa"/>
            <w:vAlign w:val="center"/>
          </w:tcPr>
          <w:p w14:paraId="72917A39">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 w:val="32"/>
                <w:szCs w:val="32"/>
              </w:rPr>
            </w:pPr>
          </w:p>
        </w:tc>
        <w:tc>
          <w:tcPr>
            <w:tcW w:w="3402" w:type="dxa"/>
            <w:vAlign w:val="center"/>
          </w:tcPr>
          <w:p w14:paraId="520AC827">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673" w:type="dxa"/>
            <w:vAlign w:val="center"/>
          </w:tcPr>
          <w:p w14:paraId="02AD6C4B">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2544" w:type="dxa"/>
            <w:vAlign w:val="center"/>
          </w:tcPr>
          <w:p w14:paraId="522030D8">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r>
      <w:tr w14:paraId="61C24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1552" w:type="dxa"/>
            <w:vAlign w:val="center"/>
          </w:tcPr>
          <w:p w14:paraId="3E44161E">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 w:val="32"/>
                <w:szCs w:val="32"/>
              </w:rPr>
            </w:pPr>
          </w:p>
        </w:tc>
        <w:tc>
          <w:tcPr>
            <w:tcW w:w="3402" w:type="dxa"/>
            <w:vAlign w:val="center"/>
          </w:tcPr>
          <w:p w14:paraId="551156A9">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673" w:type="dxa"/>
            <w:vAlign w:val="center"/>
          </w:tcPr>
          <w:p w14:paraId="15368277">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2544" w:type="dxa"/>
            <w:vAlign w:val="center"/>
          </w:tcPr>
          <w:p w14:paraId="6737C660">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r>
      <w:tr w14:paraId="6FC06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1552" w:type="dxa"/>
            <w:vAlign w:val="center"/>
          </w:tcPr>
          <w:p w14:paraId="74E152A0">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w:t>
            </w:r>
          </w:p>
        </w:tc>
        <w:tc>
          <w:tcPr>
            <w:tcW w:w="3402" w:type="dxa"/>
            <w:vAlign w:val="center"/>
          </w:tcPr>
          <w:p w14:paraId="032BCB13">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673" w:type="dxa"/>
            <w:vAlign w:val="center"/>
          </w:tcPr>
          <w:p w14:paraId="421A50A0">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2544" w:type="dxa"/>
            <w:vAlign w:val="center"/>
          </w:tcPr>
          <w:p w14:paraId="0693D0DD">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r>
    </w:tbl>
    <w:p w14:paraId="42D7E2FC">
      <w:pPr>
        <w:adjustRightInd w:val="0"/>
        <w:snapToGrid w:val="0"/>
        <w:spacing w:line="560" w:lineRule="exact"/>
        <w:rPr>
          <w:rFonts w:hint="eastAsia" w:ascii="仿宋_GB2312" w:hAnsi="仿宋_GB2312" w:eastAsia="仿宋_GB2312" w:cs="仿宋_GB2312"/>
          <w:bCs w:val="0"/>
          <w:sz w:val="32"/>
          <w:szCs w:val="32"/>
        </w:rPr>
      </w:pPr>
      <w:r>
        <w:rPr>
          <w:rFonts w:hint="eastAsia" w:ascii="仿宋_GB2312" w:hAnsi="仿宋_GB2312" w:eastAsia="仿宋_GB2312" w:cs="仿宋_GB2312"/>
          <w:sz w:val="32"/>
          <w:szCs w:val="32"/>
        </w:rPr>
        <w:t>注：1.按照谈判文件第四部分</w:t>
      </w:r>
      <w:r>
        <w:rPr>
          <w:rFonts w:hint="eastAsia" w:ascii="仿宋_GB2312" w:hAnsi="仿宋_GB2312" w:eastAsia="仿宋_GB2312" w:cs="仿宋_GB2312"/>
          <w:sz w:val="32"/>
          <w:szCs w:val="32"/>
          <w:lang w:eastAsia="zh-CN"/>
        </w:rPr>
        <w:t>项目需求及说明中的</w:t>
      </w:r>
      <w:r>
        <w:rPr>
          <w:rFonts w:hint="eastAsia" w:ascii="仿宋_GB2312" w:hAnsi="仿宋_GB2312" w:eastAsia="仿宋_GB2312" w:cs="仿宋_GB2312"/>
          <w:sz w:val="32"/>
          <w:szCs w:val="32"/>
        </w:rPr>
        <w:t>商务需求</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顺序对应逐条应答，</w:t>
      </w:r>
      <w:r>
        <w:rPr>
          <w:rFonts w:hint="eastAsia" w:ascii="仿宋_GB2312" w:hAnsi="仿宋_GB2312" w:eastAsia="仿宋_GB2312" w:cs="仿宋_GB2312"/>
          <w:bCs w:val="0"/>
          <w:sz w:val="32"/>
          <w:szCs w:val="32"/>
        </w:rPr>
        <w:t>对照谈判文件要求在“响应程度”栏填写“无偏离”或“正偏离”或“负偏离”。</w:t>
      </w:r>
    </w:p>
    <w:p w14:paraId="6F2BC03A">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2.供应商必须据实填写，不得虚假填写，否则将取消其报价或中选。</w:t>
      </w:r>
    </w:p>
    <w:p w14:paraId="7C7A535F">
      <w:pPr>
        <w:spacing w:line="480" w:lineRule="auto"/>
        <w:rPr>
          <w:rFonts w:hint="eastAsia" w:ascii="仿宋_GB2312" w:hAnsi="仿宋_GB2312" w:eastAsia="仿宋_GB2312" w:cs="仿宋_GB2312"/>
          <w:sz w:val="24"/>
        </w:rPr>
      </w:pPr>
    </w:p>
    <w:p w14:paraId="7BDD6FB3">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left"/>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供应商（公章）：</w:t>
      </w:r>
      <w:r>
        <w:rPr>
          <w:rFonts w:hint="eastAsia" w:ascii="仿宋_GB2312" w:hAnsi="仿宋_GB2312" w:eastAsia="仿宋_GB2312" w:cs="仿宋_GB2312"/>
          <w:bCs w:val="0"/>
          <w:sz w:val="32"/>
          <w:szCs w:val="32"/>
          <w:u w:val="single"/>
        </w:rPr>
        <w:t xml:space="preserve">                          </w:t>
      </w:r>
      <w:r>
        <w:rPr>
          <w:rFonts w:hint="eastAsia" w:ascii="仿宋_GB2312" w:hAnsi="仿宋_GB2312" w:eastAsia="仿宋_GB2312" w:cs="仿宋_GB2312"/>
          <w:bCs w:val="0"/>
          <w:sz w:val="32"/>
          <w:szCs w:val="32"/>
        </w:rPr>
        <w:t xml:space="preserve">         </w:t>
      </w:r>
    </w:p>
    <w:p w14:paraId="79132088">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left"/>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法人代表或其授权人（签字）：</w:t>
      </w:r>
      <w:r>
        <w:rPr>
          <w:rFonts w:hint="eastAsia" w:ascii="仿宋_GB2312" w:hAnsi="仿宋_GB2312" w:eastAsia="仿宋_GB2312" w:cs="仿宋_GB2312"/>
          <w:bCs w:val="0"/>
          <w:sz w:val="32"/>
          <w:szCs w:val="32"/>
          <w:u w:val="single"/>
        </w:rPr>
        <w:t xml:space="preserve">              </w:t>
      </w:r>
      <w:r>
        <w:rPr>
          <w:rFonts w:hint="eastAsia" w:ascii="仿宋_GB2312" w:hAnsi="仿宋_GB2312" w:eastAsia="仿宋_GB2312" w:cs="仿宋_GB2312"/>
          <w:bCs w:val="0"/>
          <w:sz w:val="32"/>
          <w:szCs w:val="32"/>
        </w:rPr>
        <w:t xml:space="preserve">               </w:t>
      </w:r>
    </w:p>
    <w:p w14:paraId="6DD40102">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left"/>
        <w:rPr>
          <w:rFonts w:hint="eastAsia" w:ascii="仿宋_GB2312" w:hAnsi="仿宋_GB2312" w:eastAsia="仿宋_GB2312" w:cs="仿宋_GB2312"/>
          <w:sz w:val="32"/>
          <w:szCs w:val="32"/>
          <w:u w:val="single"/>
        </w:rPr>
      </w:pPr>
      <w:r>
        <w:rPr>
          <w:rFonts w:hint="eastAsia" w:ascii="仿宋_GB2312" w:hAnsi="仿宋_GB2312" w:eastAsia="仿宋_GB2312" w:cs="仿宋_GB2312"/>
          <w:bCs w:val="0"/>
          <w:sz w:val="32"/>
          <w:szCs w:val="32"/>
        </w:rPr>
        <w:t>日   期：</w:t>
      </w:r>
      <w:r>
        <w:rPr>
          <w:rFonts w:hint="eastAsia" w:ascii="仿宋_GB2312" w:hAnsi="仿宋_GB2312" w:eastAsia="仿宋_GB2312" w:cs="仿宋_GB2312"/>
          <w:sz w:val="32"/>
          <w:szCs w:val="32"/>
          <w:u w:val="single"/>
        </w:rPr>
        <w:t xml:space="preserve">                                  </w:t>
      </w:r>
    </w:p>
    <w:p w14:paraId="79379073">
      <w:r>
        <w:rPr>
          <w:rFonts w:hint="eastAsia"/>
        </w:rPr>
        <w:br w:type="page"/>
      </w:r>
      <w:bookmarkStart w:id="91" w:name="_Toc40089812"/>
      <w:bookmarkStart w:id="92" w:name="_Toc23941"/>
    </w:p>
    <w:p w14:paraId="63AD8D2D">
      <w:pPr>
        <w:pStyle w:val="10"/>
        <w:adjustRightInd w:val="0"/>
        <w:snapToGrid w:val="0"/>
        <w:spacing w:after="0"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1.投标人具有履行合同所必需的设备和专业技术能力：自行承诺具备履行合同所必需的设备和专业技术能力（承诺函自拟）</w:t>
      </w:r>
    </w:p>
    <w:p w14:paraId="140DEBDD"/>
    <w:p w14:paraId="751E4211"/>
    <w:p w14:paraId="24D97CA4"/>
    <w:p w14:paraId="468F59CC"/>
    <w:p w14:paraId="0474C61F"/>
    <w:p w14:paraId="0EE15307"/>
    <w:p w14:paraId="753AFD1F"/>
    <w:p w14:paraId="730D7656"/>
    <w:p w14:paraId="6681A69E"/>
    <w:p w14:paraId="16E1F276"/>
    <w:p w14:paraId="751F6464"/>
    <w:p w14:paraId="505B5420"/>
    <w:p w14:paraId="5AB73CF2"/>
    <w:p w14:paraId="42A9EA47"/>
    <w:p w14:paraId="0B8D81E2"/>
    <w:p w14:paraId="4EBC77A5"/>
    <w:p w14:paraId="2F46C5CA"/>
    <w:p w14:paraId="491EAFD9"/>
    <w:p w14:paraId="394CED07"/>
    <w:p w14:paraId="572DED2C"/>
    <w:p w14:paraId="17F0A3B4"/>
    <w:p w14:paraId="05C4E764"/>
    <w:p w14:paraId="6DEDA73D"/>
    <w:p w14:paraId="5135CD0A"/>
    <w:p w14:paraId="1807D878"/>
    <w:p w14:paraId="00083349"/>
    <w:p w14:paraId="55A43A21"/>
    <w:p w14:paraId="1856F030"/>
    <w:p w14:paraId="5A492DA3"/>
    <w:p w14:paraId="4468BC01"/>
    <w:p w14:paraId="01013A86"/>
    <w:p w14:paraId="272ED716"/>
    <w:p w14:paraId="4AFE2782">
      <w:pPr>
        <w:pStyle w:val="3"/>
        <w:numPr>
          <w:ilvl w:val="0"/>
          <w:numId w:val="4"/>
        </w:numPr>
        <w:spacing w:line="240" w:lineRule="auto"/>
      </w:pPr>
      <w:bookmarkStart w:id="93" w:name="_Toc3171"/>
      <w:r>
        <w:rPr>
          <w:rFonts w:hint="eastAsia"/>
        </w:rPr>
        <w:t>资信部分</w:t>
      </w:r>
      <w:bookmarkEnd w:id="93"/>
    </w:p>
    <w:p w14:paraId="133E7444">
      <w:pPr>
        <w:rPr>
          <w:rFonts w:hint="eastAsia" w:ascii="仿宋_GB2312" w:hAnsi="仿宋_GB2312" w:eastAsia="仿宋_GB2312" w:cs="仿宋_GB2312"/>
          <w:kern w:val="0"/>
          <w:sz w:val="32"/>
          <w:szCs w:val="32"/>
        </w:rPr>
      </w:pPr>
    </w:p>
    <w:p w14:paraId="5DFF222D">
      <w:pPr>
        <w:pStyle w:val="24"/>
        <w:widowControl/>
        <w:adjustRightInd w:val="0"/>
        <w:snapToGrid w:val="0"/>
        <w:spacing w:line="560" w:lineRule="exact"/>
        <w:ind w:firstLine="640"/>
        <w:jc w:val="left"/>
        <w:textAlignment w:val="center"/>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1.符合《中华人民共和国政府采购法》第二十二条规定，在中国境内注册的具有独立法人资格或个体户（提供营业执照）。</w:t>
      </w:r>
    </w:p>
    <w:p w14:paraId="1FCF1182">
      <w:pPr>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2.未被“信用中国”网站（www.creditchina.gov.cn）列入失信被执行人、重大税收违法案件当事人名单、政府采购严重失信行为记录名单（提供网上截图加盖公章）或信用报告。</w:t>
      </w:r>
    </w:p>
    <w:p w14:paraId="65DF770D">
      <w:pPr>
        <w:pStyle w:val="15"/>
        <w:snapToGrid w:val="0"/>
        <w:spacing w:after="0"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3.承诺函(样本)</w:t>
      </w:r>
    </w:p>
    <w:p w14:paraId="48E70ADC">
      <w:pPr>
        <w:tabs>
          <w:tab w:val="left" w:pos="0"/>
          <w:tab w:val="left" w:pos="720"/>
          <w:tab w:val="left" w:pos="1440"/>
          <w:tab w:val="left" w:pos="2160"/>
          <w:tab w:val="left" w:pos="2880"/>
          <w:tab w:val="left" w:pos="3600"/>
          <w:tab w:val="left" w:pos="4320"/>
        </w:tabs>
        <w:autoSpaceDE w:val="0"/>
        <w:autoSpaceDN w:val="0"/>
        <w:snapToGrid w:val="0"/>
        <w:spacing w:line="560" w:lineRule="exact"/>
        <w:rPr>
          <w:rFonts w:hint="eastAsia" w:ascii="仿宋_GB2312" w:hAnsi="仿宋_GB2312" w:eastAsia="仿宋_GB2312" w:cs="仿宋_GB2312"/>
          <w:sz w:val="32"/>
          <w:szCs w:val="32"/>
        </w:rPr>
      </w:pPr>
    </w:p>
    <w:p w14:paraId="62986B4B">
      <w:pPr>
        <w:tabs>
          <w:tab w:val="left" w:pos="0"/>
          <w:tab w:val="left" w:pos="720"/>
          <w:tab w:val="left" w:pos="1440"/>
          <w:tab w:val="left" w:pos="2160"/>
          <w:tab w:val="left" w:pos="2880"/>
          <w:tab w:val="left" w:pos="3600"/>
          <w:tab w:val="left" w:pos="4320"/>
        </w:tabs>
        <w:autoSpaceDE w:val="0"/>
        <w:autoSpaceDN w:val="0"/>
        <w:snapToGrid w:val="0"/>
        <w:spacing w:line="56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承诺函</w:t>
      </w:r>
    </w:p>
    <w:p w14:paraId="0C590021">
      <w:pPr>
        <w:tabs>
          <w:tab w:val="left" w:pos="0"/>
          <w:tab w:val="left" w:pos="720"/>
          <w:tab w:val="left" w:pos="1440"/>
          <w:tab w:val="left" w:pos="2160"/>
          <w:tab w:val="left" w:pos="2880"/>
          <w:tab w:val="left" w:pos="3600"/>
          <w:tab w:val="left" w:pos="4320"/>
        </w:tabs>
        <w:autoSpaceDE w:val="0"/>
        <w:autoSpaceDN w:val="0"/>
        <w:snapToGrid w:val="0"/>
        <w:spacing w:line="560" w:lineRule="exact"/>
        <w:jc w:val="center"/>
        <w:rPr>
          <w:rFonts w:hint="eastAsia" w:ascii="仿宋_GB2312" w:hAnsi="仿宋_GB2312" w:eastAsia="仿宋_GB2312" w:cs="仿宋_GB2312"/>
          <w:kern w:val="0"/>
          <w:sz w:val="32"/>
          <w:szCs w:val="32"/>
        </w:rPr>
      </w:pPr>
    </w:p>
    <w:p w14:paraId="4D66AA55">
      <w:pPr>
        <w:tabs>
          <w:tab w:val="left" w:pos="0"/>
          <w:tab w:val="left" w:pos="720"/>
          <w:tab w:val="left" w:pos="1440"/>
          <w:tab w:val="left" w:pos="2160"/>
          <w:tab w:val="left" w:pos="2880"/>
          <w:tab w:val="left" w:pos="3600"/>
          <w:tab w:val="left" w:pos="4320"/>
        </w:tabs>
        <w:autoSpaceDE w:val="0"/>
        <w:autoSpaceDN w:val="0"/>
        <w:snapToGrid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致：海南卫生健康职业学院</w:t>
      </w:r>
    </w:p>
    <w:p w14:paraId="76A16F7E">
      <w:pPr>
        <w:tabs>
          <w:tab w:val="left" w:pos="0"/>
          <w:tab w:val="left" w:pos="720"/>
          <w:tab w:val="left" w:pos="1440"/>
          <w:tab w:val="left" w:pos="2160"/>
          <w:tab w:val="left" w:pos="2880"/>
          <w:tab w:val="left" w:pos="3600"/>
          <w:tab w:val="left" w:pos="4320"/>
        </w:tabs>
        <w:autoSpaceDE w:val="0"/>
        <w:autoSpaceDN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w:t>
      </w:r>
      <w:r>
        <w:rPr>
          <w:rFonts w:hint="eastAsia" w:ascii="仿宋_GB2312" w:hAnsi="仿宋_GB2312" w:eastAsia="仿宋_GB2312" w:cs="仿宋_GB2312"/>
          <w:kern w:val="0"/>
          <w:sz w:val="32"/>
          <w:szCs w:val="32"/>
        </w:rPr>
        <w:t>不是联合体参与报价，我单位承诺成交后不转包、不分包</w:t>
      </w:r>
      <w:r>
        <w:rPr>
          <w:rFonts w:hint="eastAsia" w:ascii="仿宋_GB2312" w:hAnsi="仿宋_GB2312" w:eastAsia="仿宋_GB2312" w:cs="仿宋_GB2312"/>
          <w:sz w:val="32"/>
          <w:szCs w:val="32"/>
        </w:rPr>
        <w:t>，并承担因此引起的一切后果。</w:t>
      </w:r>
    </w:p>
    <w:p w14:paraId="2A3F3534">
      <w:pPr>
        <w:snapToGrid w:val="0"/>
        <w:spacing w:line="560" w:lineRule="exact"/>
        <w:rPr>
          <w:rFonts w:hint="eastAsia" w:ascii="仿宋_GB2312" w:hAnsi="仿宋_GB2312" w:eastAsia="仿宋_GB2312" w:cs="仿宋_GB2312"/>
          <w:sz w:val="32"/>
          <w:szCs w:val="32"/>
        </w:rPr>
      </w:pPr>
    </w:p>
    <w:p w14:paraId="55E8CC41">
      <w:pPr>
        <w:snapToGrid w:val="0"/>
        <w:spacing w:line="560" w:lineRule="exact"/>
        <w:rPr>
          <w:rFonts w:hint="eastAsia" w:ascii="仿宋_GB2312" w:hAnsi="仿宋_GB2312" w:eastAsia="仿宋_GB2312" w:cs="仿宋_GB2312"/>
          <w:sz w:val="32"/>
          <w:szCs w:val="32"/>
        </w:rPr>
      </w:pPr>
    </w:p>
    <w:p w14:paraId="5EF0B493">
      <w:pPr>
        <w:snapToGrid w:val="0"/>
        <w:spacing w:line="560" w:lineRule="exact"/>
        <w:rPr>
          <w:rFonts w:hint="eastAsia" w:ascii="仿宋_GB2312" w:hAnsi="仿宋_GB2312" w:eastAsia="仿宋_GB2312" w:cs="仿宋_GB2312"/>
          <w:sz w:val="32"/>
          <w:szCs w:val="32"/>
        </w:rPr>
      </w:pPr>
    </w:p>
    <w:p w14:paraId="534C58DF">
      <w:pPr>
        <w:snapToGrid w:val="0"/>
        <w:spacing w:line="560" w:lineRule="exact"/>
        <w:ind w:firstLine="48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供应商（公章）：</w:t>
      </w:r>
      <w:r>
        <w:rPr>
          <w:rFonts w:hint="eastAsia" w:ascii="仿宋_GB2312" w:hAnsi="仿宋_GB2312" w:eastAsia="仿宋_GB2312" w:cs="仿宋_GB2312"/>
          <w:sz w:val="32"/>
          <w:szCs w:val="32"/>
          <w:u w:val="single"/>
        </w:rPr>
        <w:t xml:space="preserve">                     </w:t>
      </w:r>
    </w:p>
    <w:p w14:paraId="32FA4B50">
      <w:pPr>
        <w:snapToGrid w:val="0"/>
        <w:spacing w:line="560" w:lineRule="exact"/>
        <w:ind w:firstLine="48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法人代表或其授权人（签字）：</w:t>
      </w:r>
      <w:r>
        <w:rPr>
          <w:rFonts w:hint="eastAsia" w:ascii="仿宋_GB2312" w:hAnsi="仿宋_GB2312" w:eastAsia="仿宋_GB2312" w:cs="仿宋_GB2312"/>
          <w:sz w:val="32"/>
          <w:szCs w:val="32"/>
          <w:u w:val="single"/>
        </w:rPr>
        <w:t xml:space="preserve">               </w:t>
      </w:r>
    </w:p>
    <w:p w14:paraId="47280FE8">
      <w:pPr>
        <w:snapToGrid w:val="0"/>
        <w:spacing w:line="560" w:lineRule="exact"/>
        <w:ind w:firstLine="48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日   期：</w:t>
      </w:r>
      <w:r>
        <w:rPr>
          <w:rFonts w:hint="eastAsia" w:ascii="仿宋_GB2312" w:hAnsi="仿宋_GB2312" w:eastAsia="仿宋_GB2312" w:cs="仿宋_GB2312"/>
          <w:sz w:val="32"/>
          <w:szCs w:val="32"/>
          <w:u w:val="single"/>
        </w:rPr>
        <w:t xml:space="preserve">                   </w:t>
      </w:r>
    </w:p>
    <w:p w14:paraId="66F71AEF"/>
    <w:p w14:paraId="30D132FE">
      <w:pPr>
        <w:rPr>
          <w:rFonts w:hint="eastAsia" w:ascii="仿宋_GB2312" w:hAnsi="仿宋_GB2312" w:eastAsia="仿宋_GB2312" w:cs="仿宋_GB2312"/>
          <w:kern w:val="0"/>
          <w:sz w:val="32"/>
          <w:szCs w:val="32"/>
        </w:rPr>
      </w:pPr>
    </w:p>
    <w:p w14:paraId="649E10E3"/>
    <w:p w14:paraId="1EFAD3C5"/>
    <w:p w14:paraId="179AF759"/>
    <w:p w14:paraId="49DFB35E">
      <w:pPr>
        <w:rPr>
          <w:rFonts w:hint="eastAsia"/>
          <w:lang w:val="en-US" w:eastAsia="zh-CN"/>
        </w:rPr>
      </w:pPr>
    </w:p>
    <w:p w14:paraId="0624E466">
      <w:pPr>
        <w:rPr>
          <w:rFonts w:hint="eastAsia" w:eastAsia="宋体"/>
          <w:lang w:val="en-US" w:eastAsia="zh-CN"/>
        </w:rPr>
      </w:pPr>
    </w:p>
    <w:p w14:paraId="2F0FCF73"/>
    <w:p w14:paraId="522F486F"/>
    <w:p w14:paraId="7AFABB3D">
      <w:pPr>
        <w:pStyle w:val="3"/>
        <w:numPr>
          <w:ilvl w:val="0"/>
          <w:numId w:val="4"/>
        </w:numPr>
        <w:spacing w:line="240" w:lineRule="auto"/>
        <w:rPr>
          <w:rFonts w:hint="eastAsia" w:ascii="仿宋_GB2312" w:hAnsi="仿宋_GB2312" w:eastAsia="仿宋_GB2312" w:cs="仿宋_GB2312"/>
        </w:rPr>
      </w:pPr>
      <w:bookmarkStart w:id="94" w:name="_Toc19227"/>
      <w:r>
        <w:rPr>
          <w:rFonts w:hint="eastAsia"/>
        </w:rPr>
        <w:t>技术部分</w:t>
      </w:r>
      <w:bookmarkEnd w:id="94"/>
      <w:bookmarkStart w:id="95" w:name="_Toc3116"/>
      <w:bookmarkStart w:id="96" w:name="_Toc248"/>
    </w:p>
    <w:bookmarkEnd w:id="95"/>
    <w:bookmarkEnd w:id="96"/>
    <w:p w14:paraId="262E71C4"/>
    <w:p w14:paraId="5ECF2D50">
      <w:pPr>
        <w:rPr>
          <w:rFonts w:hint="eastAsia" w:ascii="方正公文黑体" w:hAnsi="方正公文黑体" w:eastAsia="方正公文黑体" w:cs="方正公文黑体"/>
          <w:sz w:val="36"/>
          <w:szCs w:val="36"/>
          <w:lang w:val="en-US" w:eastAsia="zh-CN"/>
        </w:rPr>
      </w:pPr>
      <w:bookmarkStart w:id="97" w:name="_Toc40089813"/>
      <w:bookmarkStart w:id="98" w:name="_Toc7441"/>
      <w:bookmarkStart w:id="99" w:name="_Toc15995"/>
      <w:bookmarkStart w:id="100" w:name="_Toc25316"/>
      <w:r>
        <w:rPr>
          <w:rFonts w:hint="eastAsia" w:ascii="方正公文黑体" w:hAnsi="方正公文黑体" w:eastAsia="方正公文黑体" w:cs="方正公文黑体"/>
          <w:sz w:val="36"/>
          <w:szCs w:val="36"/>
        </w:rPr>
        <w:t>附件</w:t>
      </w:r>
      <w:bookmarkEnd w:id="97"/>
      <w:bookmarkEnd w:id="98"/>
      <w:bookmarkEnd w:id="99"/>
      <w:bookmarkEnd w:id="100"/>
      <w:r>
        <w:rPr>
          <w:rFonts w:hint="eastAsia" w:ascii="方正公文黑体" w:hAnsi="方正公文黑体" w:eastAsia="方正公文黑体" w:cs="方正公文黑体"/>
          <w:sz w:val="36"/>
          <w:szCs w:val="36"/>
          <w:lang w:val="en-US" w:eastAsia="zh-CN"/>
        </w:rPr>
        <w:t>5</w:t>
      </w:r>
    </w:p>
    <w:p w14:paraId="4D0A5058">
      <w:pPr>
        <w:adjustRightInd w:val="0"/>
        <w:snapToGrid w:val="0"/>
        <w:spacing w:line="560" w:lineRule="exact"/>
        <w:ind w:left="560" w:leftChars="200"/>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lang w:val="en-US" w:eastAsia="zh-CN"/>
        </w:rPr>
        <w:t>项目服务</w:t>
      </w:r>
      <w:r>
        <w:rPr>
          <w:rFonts w:hint="eastAsia" w:ascii="仿宋_GB2312" w:hAnsi="仿宋_GB2312" w:eastAsia="仿宋_GB2312" w:cs="仿宋_GB2312"/>
          <w:b/>
          <w:sz w:val="36"/>
          <w:szCs w:val="36"/>
        </w:rPr>
        <w:t>需求响应表</w:t>
      </w:r>
    </w:p>
    <w:tbl>
      <w:tblPr>
        <w:tblStyle w:val="18"/>
        <w:tblW w:w="88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4"/>
        <w:gridCol w:w="2208"/>
        <w:gridCol w:w="2181"/>
        <w:gridCol w:w="1565"/>
        <w:gridCol w:w="1850"/>
      </w:tblGrid>
      <w:tr w14:paraId="1DD96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024" w:type="dxa"/>
            <w:vAlign w:val="center"/>
          </w:tcPr>
          <w:p w14:paraId="1FB92A98">
            <w:pPr>
              <w:widowControl/>
              <w:autoSpaceDE w:val="0"/>
              <w:autoSpaceDN w:val="0"/>
              <w:adjustRightInd w:val="0"/>
              <w:spacing w:before="50" w:after="50" w:line="440" w:lineRule="exact"/>
              <w:jc w:val="center"/>
              <w:rPr>
                <w:rStyle w:val="25"/>
                <w:rFonts w:hint="eastAsia" w:ascii="仿宋_GB2312" w:hAnsi="仿宋_GB2312" w:eastAsia="仿宋_GB2312" w:cs="仿宋_GB2312"/>
                <w:b/>
                <w:bCs w:val="0"/>
                <w:sz w:val="32"/>
                <w:szCs w:val="32"/>
              </w:rPr>
            </w:pPr>
            <w:r>
              <w:rPr>
                <w:rStyle w:val="25"/>
                <w:rFonts w:hint="eastAsia" w:ascii="仿宋_GB2312" w:hAnsi="仿宋_GB2312" w:eastAsia="仿宋_GB2312" w:cs="仿宋_GB2312"/>
                <w:b/>
                <w:bCs w:val="0"/>
                <w:sz w:val="32"/>
                <w:szCs w:val="32"/>
              </w:rPr>
              <w:t>项目</w:t>
            </w:r>
          </w:p>
        </w:tc>
        <w:tc>
          <w:tcPr>
            <w:tcW w:w="2208" w:type="dxa"/>
            <w:vAlign w:val="center"/>
          </w:tcPr>
          <w:p w14:paraId="1DA3CEE8">
            <w:pPr>
              <w:widowControl/>
              <w:autoSpaceDE w:val="0"/>
              <w:autoSpaceDN w:val="0"/>
              <w:adjustRightInd w:val="0"/>
              <w:spacing w:before="50" w:after="50" w:line="440" w:lineRule="exact"/>
              <w:jc w:val="center"/>
              <w:rPr>
                <w:rStyle w:val="25"/>
                <w:rFonts w:hint="eastAsia" w:ascii="仿宋_GB2312" w:hAnsi="仿宋_GB2312" w:eastAsia="仿宋_GB2312" w:cs="仿宋_GB2312"/>
                <w:b/>
                <w:bCs w:val="0"/>
                <w:sz w:val="32"/>
                <w:szCs w:val="32"/>
              </w:rPr>
            </w:pPr>
            <w:r>
              <w:rPr>
                <w:rStyle w:val="25"/>
                <w:rFonts w:hint="eastAsia" w:ascii="仿宋_GB2312" w:hAnsi="仿宋_GB2312" w:eastAsia="仿宋_GB2312" w:cs="仿宋_GB2312"/>
                <w:b/>
                <w:bCs w:val="0"/>
                <w:sz w:val="32"/>
                <w:szCs w:val="32"/>
              </w:rPr>
              <w:t>谈判文件要求</w:t>
            </w:r>
          </w:p>
        </w:tc>
        <w:tc>
          <w:tcPr>
            <w:tcW w:w="2181" w:type="dxa"/>
            <w:vAlign w:val="center"/>
          </w:tcPr>
          <w:p w14:paraId="30454AE9">
            <w:pPr>
              <w:widowControl/>
              <w:autoSpaceDE w:val="0"/>
              <w:autoSpaceDN w:val="0"/>
              <w:adjustRightInd w:val="0"/>
              <w:spacing w:before="50" w:after="50" w:line="440" w:lineRule="exact"/>
              <w:jc w:val="center"/>
              <w:rPr>
                <w:rStyle w:val="25"/>
                <w:rFonts w:hint="eastAsia" w:ascii="仿宋_GB2312" w:hAnsi="仿宋_GB2312" w:eastAsia="仿宋_GB2312" w:cs="仿宋_GB2312"/>
                <w:b/>
                <w:bCs w:val="0"/>
                <w:sz w:val="32"/>
                <w:szCs w:val="32"/>
              </w:rPr>
            </w:pPr>
            <w:r>
              <w:rPr>
                <w:rStyle w:val="25"/>
                <w:rFonts w:hint="eastAsia" w:ascii="仿宋_GB2312" w:hAnsi="仿宋_GB2312" w:eastAsia="仿宋_GB2312" w:cs="仿宋_GB2312"/>
                <w:b/>
                <w:bCs w:val="0"/>
                <w:sz w:val="32"/>
                <w:szCs w:val="32"/>
              </w:rPr>
              <w:t>报价文件响应情况</w:t>
            </w:r>
          </w:p>
        </w:tc>
        <w:tc>
          <w:tcPr>
            <w:tcW w:w="1565" w:type="dxa"/>
            <w:vAlign w:val="center"/>
          </w:tcPr>
          <w:p w14:paraId="6D57A20F">
            <w:pPr>
              <w:widowControl/>
              <w:autoSpaceDE w:val="0"/>
              <w:autoSpaceDN w:val="0"/>
              <w:adjustRightInd w:val="0"/>
              <w:spacing w:before="50" w:after="50" w:line="440" w:lineRule="exact"/>
              <w:jc w:val="center"/>
              <w:rPr>
                <w:rStyle w:val="25"/>
                <w:rFonts w:hint="eastAsia" w:ascii="仿宋_GB2312" w:hAnsi="仿宋_GB2312" w:eastAsia="仿宋_GB2312" w:cs="仿宋_GB2312"/>
                <w:b/>
                <w:bCs w:val="0"/>
                <w:sz w:val="32"/>
                <w:szCs w:val="32"/>
              </w:rPr>
            </w:pPr>
            <w:r>
              <w:rPr>
                <w:rStyle w:val="25"/>
                <w:rFonts w:hint="eastAsia" w:ascii="仿宋_GB2312" w:hAnsi="仿宋_GB2312" w:eastAsia="仿宋_GB2312" w:cs="仿宋_GB2312"/>
                <w:b/>
                <w:bCs w:val="0"/>
                <w:sz w:val="32"/>
                <w:szCs w:val="32"/>
              </w:rPr>
              <w:t>响应程度</w:t>
            </w:r>
          </w:p>
        </w:tc>
        <w:tc>
          <w:tcPr>
            <w:tcW w:w="1850" w:type="dxa"/>
            <w:vAlign w:val="center"/>
          </w:tcPr>
          <w:p w14:paraId="55F11C59">
            <w:pPr>
              <w:widowControl/>
              <w:autoSpaceDE w:val="0"/>
              <w:autoSpaceDN w:val="0"/>
              <w:adjustRightInd w:val="0"/>
              <w:spacing w:before="50" w:after="50" w:line="440" w:lineRule="exact"/>
              <w:jc w:val="center"/>
              <w:rPr>
                <w:rStyle w:val="25"/>
                <w:rFonts w:hint="eastAsia" w:ascii="仿宋_GB2312" w:hAnsi="仿宋_GB2312" w:eastAsia="仿宋_GB2312" w:cs="仿宋_GB2312"/>
                <w:b/>
                <w:bCs w:val="0"/>
                <w:sz w:val="32"/>
                <w:szCs w:val="32"/>
              </w:rPr>
            </w:pPr>
            <w:r>
              <w:rPr>
                <w:rStyle w:val="25"/>
                <w:rFonts w:hint="eastAsia" w:ascii="仿宋_GB2312" w:hAnsi="仿宋_GB2312" w:eastAsia="仿宋_GB2312" w:cs="仿宋_GB2312"/>
                <w:b/>
                <w:bCs w:val="0"/>
                <w:sz w:val="32"/>
                <w:szCs w:val="32"/>
              </w:rPr>
              <w:t>正偏离理由</w:t>
            </w:r>
          </w:p>
        </w:tc>
      </w:tr>
      <w:tr w14:paraId="696DC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024" w:type="dxa"/>
            <w:vAlign w:val="center"/>
          </w:tcPr>
          <w:p w14:paraId="3894BFEE">
            <w:pPr>
              <w:widowControl/>
              <w:autoSpaceDE w:val="0"/>
              <w:autoSpaceDN w:val="0"/>
              <w:adjustRightInd w:val="0"/>
              <w:spacing w:before="50" w:after="50" w:line="440" w:lineRule="exact"/>
              <w:jc w:val="center"/>
              <w:rPr>
                <w:rStyle w:val="25"/>
                <w:rFonts w:hint="eastAsia" w:ascii="仿宋_GB2312" w:hAnsi="仿宋_GB2312" w:eastAsia="仿宋_GB2312" w:cs="仿宋_GB2312"/>
                <w:sz w:val="32"/>
                <w:szCs w:val="32"/>
              </w:rPr>
            </w:pPr>
          </w:p>
        </w:tc>
        <w:tc>
          <w:tcPr>
            <w:tcW w:w="2208" w:type="dxa"/>
            <w:vAlign w:val="center"/>
          </w:tcPr>
          <w:p w14:paraId="3D93E50D">
            <w:pPr>
              <w:widowControl/>
              <w:autoSpaceDE w:val="0"/>
              <w:autoSpaceDN w:val="0"/>
              <w:adjustRightInd w:val="0"/>
              <w:spacing w:before="50" w:after="50" w:line="440" w:lineRule="exact"/>
              <w:jc w:val="center"/>
              <w:rPr>
                <w:rStyle w:val="25"/>
                <w:rFonts w:hint="eastAsia" w:ascii="仿宋_GB2312" w:hAnsi="仿宋_GB2312" w:eastAsia="仿宋_GB2312" w:cs="仿宋_GB2312"/>
                <w:sz w:val="32"/>
                <w:szCs w:val="32"/>
              </w:rPr>
            </w:pPr>
          </w:p>
        </w:tc>
        <w:tc>
          <w:tcPr>
            <w:tcW w:w="2181" w:type="dxa"/>
            <w:vAlign w:val="center"/>
          </w:tcPr>
          <w:p w14:paraId="6DC70A86">
            <w:pPr>
              <w:widowControl/>
              <w:autoSpaceDE w:val="0"/>
              <w:autoSpaceDN w:val="0"/>
              <w:adjustRightInd w:val="0"/>
              <w:spacing w:before="50" w:after="50" w:line="440" w:lineRule="exact"/>
              <w:jc w:val="center"/>
              <w:rPr>
                <w:rStyle w:val="25"/>
                <w:rFonts w:hint="eastAsia" w:ascii="仿宋_GB2312" w:hAnsi="仿宋_GB2312" w:eastAsia="仿宋_GB2312" w:cs="仿宋_GB2312"/>
                <w:sz w:val="32"/>
                <w:szCs w:val="32"/>
              </w:rPr>
            </w:pPr>
          </w:p>
        </w:tc>
        <w:tc>
          <w:tcPr>
            <w:tcW w:w="1565" w:type="dxa"/>
            <w:vAlign w:val="center"/>
          </w:tcPr>
          <w:p w14:paraId="07EB989D">
            <w:pPr>
              <w:widowControl/>
              <w:autoSpaceDE w:val="0"/>
              <w:autoSpaceDN w:val="0"/>
              <w:adjustRightInd w:val="0"/>
              <w:spacing w:before="50" w:after="50" w:line="440" w:lineRule="exact"/>
              <w:jc w:val="center"/>
              <w:rPr>
                <w:rStyle w:val="25"/>
                <w:rFonts w:hint="eastAsia" w:ascii="仿宋_GB2312" w:hAnsi="仿宋_GB2312" w:eastAsia="仿宋_GB2312" w:cs="仿宋_GB2312"/>
                <w:sz w:val="32"/>
                <w:szCs w:val="32"/>
              </w:rPr>
            </w:pPr>
          </w:p>
        </w:tc>
        <w:tc>
          <w:tcPr>
            <w:tcW w:w="1850" w:type="dxa"/>
          </w:tcPr>
          <w:p w14:paraId="744A8218">
            <w:pPr>
              <w:widowControl/>
              <w:autoSpaceDE w:val="0"/>
              <w:autoSpaceDN w:val="0"/>
              <w:adjustRightInd w:val="0"/>
              <w:spacing w:before="50" w:after="50" w:line="440" w:lineRule="exact"/>
              <w:jc w:val="center"/>
              <w:rPr>
                <w:rStyle w:val="25"/>
                <w:rFonts w:hint="eastAsia" w:ascii="仿宋_GB2312" w:hAnsi="仿宋_GB2312" w:eastAsia="仿宋_GB2312" w:cs="仿宋_GB2312"/>
                <w:sz w:val="32"/>
                <w:szCs w:val="32"/>
              </w:rPr>
            </w:pPr>
          </w:p>
        </w:tc>
      </w:tr>
      <w:tr w14:paraId="15B16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1024" w:type="dxa"/>
            <w:vAlign w:val="center"/>
          </w:tcPr>
          <w:p w14:paraId="32C63623">
            <w:pPr>
              <w:widowControl/>
              <w:autoSpaceDE w:val="0"/>
              <w:autoSpaceDN w:val="0"/>
              <w:adjustRightInd w:val="0"/>
              <w:spacing w:before="50" w:after="50" w:line="440" w:lineRule="exact"/>
              <w:jc w:val="center"/>
              <w:rPr>
                <w:rStyle w:val="25"/>
                <w:rFonts w:hint="eastAsia" w:ascii="仿宋_GB2312" w:hAnsi="仿宋_GB2312" w:eastAsia="仿宋_GB2312" w:cs="仿宋_GB2312"/>
                <w:sz w:val="32"/>
                <w:szCs w:val="32"/>
              </w:rPr>
            </w:pPr>
          </w:p>
        </w:tc>
        <w:tc>
          <w:tcPr>
            <w:tcW w:w="2208" w:type="dxa"/>
            <w:vAlign w:val="center"/>
          </w:tcPr>
          <w:p w14:paraId="7917BA13">
            <w:pPr>
              <w:widowControl/>
              <w:autoSpaceDE w:val="0"/>
              <w:autoSpaceDN w:val="0"/>
              <w:adjustRightInd w:val="0"/>
              <w:spacing w:before="50" w:after="50" w:line="440" w:lineRule="exact"/>
              <w:jc w:val="center"/>
              <w:rPr>
                <w:rStyle w:val="25"/>
                <w:rFonts w:hint="eastAsia" w:ascii="仿宋_GB2312" w:hAnsi="仿宋_GB2312" w:eastAsia="仿宋_GB2312" w:cs="仿宋_GB2312"/>
                <w:sz w:val="32"/>
                <w:szCs w:val="32"/>
              </w:rPr>
            </w:pPr>
          </w:p>
        </w:tc>
        <w:tc>
          <w:tcPr>
            <w:tcW w:w="2181" w:type="dxa"/>
            <w:vAlign w:val="center"/>
          </w:tcPr>
          <w:p w14:paraId="1E4A512F">
            <w:pPr>
              <w:widowControl/>
              <w:autoSpaceDE w:val="0"/>
              <w:autoSpaceDN w:val="0"/>
              <w:adjustRightInd w:val="0"/>
              <w:spacing w:before="50" w:after="50" w:line="440" w:lineRule="exact"/>
              <w:jc w:val="center"/>
              <w:rPr>
                <w:rStyle w:val="25"/>
                <w:rFonts w:hint="eastAsia" w:ascii="仿宋_GB2312" w:hAnsi="仿宋_GB2312" w:eastAsia="仿宋_GB2312" w:cs="仿宋_GB2312"/>
                <w:sz w:val="32"/>
                <w:szCs w:val="32"/>
              </w:rPr>
            </w:pPr>
          </w:p>
        </w:tc>
        <w:tc>
          <w:tcPr>
            <w:tcW w:w="1565" w:type="dxa"/>
            <w:vAlign w:val="center"/>
          </w:tcPr>
          <w:p w14:paraId="2419294E">
            <w:pPr>
              <w:widowControl/>
              <w:autoSpaceDE w:val="0"/>
              <w:autoSpaceDN w:val="0"/>
              <w:adjustRightInd w:val="0"/>
              <w:spacing w:before="50" w:after="50" w:line="440" w:lineRule="exact"/>
              <w:jc w:val="center"/>
              <w:rPr>
                <w:rStyle w:val="25"/>
                <w:rFonts w:hint="eastAsia" w:ascii="仿宋_GB2312" w:hAnsi="仿宋_GB2312" w:eastAsia="仿宋_GB2312" w:cs="仿宋_GB2312"/>
                <w:sz w:val="32"/>
                <w:szCs w:val="32"/>
              </w:rPr>
            </w:pPr>
          </w:p>
        </w:tc>
        <w:tc>
          <w:tcPr>
            <w:tcW w:w="1850" w:type="dxa"/>
          </w:tcPr>
          <w:p w14:paraId="745255C5">
            <w:pPr>
              <w:widowControl/>
              <w:autoSpaceDE w:val="0"/>
              <w:autoSpaceDN w:val="0"/>
              <w:adjustRightInd w:val="0"/>
              <w:spacing w:before="50" w:after="50" w:line="440" w:lineRule="exact"/>
              <w:jc w:val="center"/>
              <w:rPr>
                <w:rStyle w:val="25"/>
                <w:rFonts w:hint="eastAsia" w:ascii="仿宋_GB2312" w:hAnsi="仿宋_GB2312" w:eastAsia="仿宋_GB2312" w:cs="仿宋_GB2312"/>
                <w:sz w:val="32"/>
                <w:szCs w:val="32"/>
              </w:rPr>
            </w:pPr>
          </w:p>
        </w:tc>
      </w:tr>
      <w:tr w14:paraId="03267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1024" w:type="dxa"/>
            <w:vAlign w:val="center"/>
          </w:tcPr>
          <w:p w14:paraId="52F6D758">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 w:val="32"/>
                <w:szCs w:val="32"/>
              </w:rPr>
            </w:pPr>
          </w:p>
        </w:tc>
        <w:tc>
          <w:tcPr>
            <w:tcW w:w="2208" w:type="dxa"/>
            <w:vAlign w:val="center"/>
          </w:tcPr>
          <w:p w14:paraId="62B03A9C">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2181" w:type="dxa"/>
            <w:vAlign w:val="center"/>
          </w:tcPr>
          <w:p w14:paraId="1DC5653D">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565" w:type="dxa"/>
            <w:vAlign w:val="center"/>
          </w:tcPr>
          <w:p w14:paraId="38C9A496">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850" w:type="dxa"/>
          </w:tcPr>
          <w:p w14:paraId="2ABBD6A6">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r>
      <w:tr w14:paraId="64E98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024" w:type="dxa"/>
            <w:vAlign w:val="center"/>
          </w:tcPr>
          <w:p w14:paraId="75661A6A">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 w:val="32"/>
                <w:szCs w:val="32"/>
              </w:rPr>
            </w:pPr>
          </w:p>
        </w:tc>
        <w:tc>
          <w:tcPr>
            <w:tcW w:w="2208" w:type="dxa"/>
            <w:vAlign w:val="center"/>
          </w:tcPr>
          <w:p w14:paraId="69103D68">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2181" w:type="dxa"/>
            <w:vAlign w:val="center"/>
          </w:tcPr>
          <w:p w14:paraId="2F10BB17">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565" w:type="dxa"/>
            <w:vAlign w:val="center"/>
          </w:tcPr>
          <w:p w14:paraId="2FE621F2">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850" w:type="dxa"/>
          </w:tcPr>
          <w:p w14:paraId="2AB10A6C">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r>
      <w:tr w14:paraId="66784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1024" w:type="dxa"/>
            <w:vAlign w:val="center"/>
          </w:tcPr>
          <w:p w14:paraId="6EABDF3E">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 w:val="32"/>
                <w:szCs w:val="32"/>
              </w:rPr>
            </w:pPr>
          </w:p>
        </w:tc>
        <w:tc>
          <w:tcPr>
            <w:tcW w:w="2208" w:type="dxa"/>
            <w:vAlign w:val="center"/>
          </w:tcPr>
          <w:p w14:paraId="52A03D2A">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2181" w:type="dxa"/>
            <w:vAlign w:val="center"/>
          </w:tcPr>
          <w:p w14:paraId="685766F9">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565" w:type="dxa"/>
            <w:vAlign w:val="center"/>
          </w:tcPr>
          <w:p w14:paraId="7C163BD0">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850" w:type="dxa"/>
          </w:tcPr>
          <w:p w14:paraId="7C01A733">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r>
    </w:tbl>
    <w:p w14:paraId="30414E90">
      <w:pPr>
        <w:tabs>
          <w:tab w:val="left" w:pos="0"/>
          <w:tab w:val="left" w:pos="720"/>
          <w:tab w:val="left" w:pos="1440"/>
          <w:tab w:val="left" w:pos="2160"/>
          <w:tab w:val="left" w:pos="2880"/>
          <w:tab w:val="left" w:pos="3600"/>
          <w:tab w:val="left" w:pos="4320"/>
        </w:tabs>
        <w:autoSpaceDE w:val="0"/>
        <w:autoSpaceDN w:val="0"/>
        <w:snapToGrid w:val="0"/>
        <w:spacing w:line="560" w:lineRule="exact"/>
        <w:ind w:firstLine="640" w:firstLineChars="200"/>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注：</w:t>
      </w:r>
    </w:p>
    <w:p w14:paraId="546FACD9">
      <w:pPr>
        <w:tabs>
          <w:tab w:val="left" w:pos="0"/>
          <w:tab w:val="left" w:pos="720"/>
          <w:tab w:val="left" w:pos="1440"/>
          <w:tab w:val="left" w:pos="2160"/>
          <w:tab w:val="left" w:pos="2880"/>
          <w:tab w:val="left" w:pos="3600"/>
          <w:tab w:val="left" w:pos="4320"/>
        </w:tabs>
        <w:autoSpaceDE w:val="0"/>
        <w:autoSpaceDN w:val="0"/>
        <w:snapToGrid w:val="0"/>
        <w:spacing w:line="560" w:lineRule="exact"/>
        <w:ind w:firstLine="640" w:firstLineChars="200"/>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1.供应商应根据投标货物的性能参数、对照谈判文件要求在“响应程度”栏填写“无偏离”或“正偏离”或“负偏离”。</w:t>
      </w:r>
    </w:p>
    <w:p w14:paraId="5B46E60F">
      <w:pPr>
        <w:tabs>
          <w:tab w:val="left" w:pos="0"/>
          <w:tab w:val="left" w:pos="720"/>
          <w:tab w:val="left" w:pos="1440"/>
          <w:tab w:val="left" w:pos="2160"/>
          <w:tab w:val="left" w:pos="2880"/>
          <w:tab w:val="left" w:pos="3600"/>
          <w:tab w:val="left" w:pos="4320"/>
        </w:tabs>
        <w:autoSpaceDE w:val="0"/>
        <w:autoSpaceDN w:val="0"/>
        <w:snapToGrid w:val="0"/>
        <w:spacing w:line="560" w:lineRule="exact"/>
        <w:ind w:firstLine="640" w:firstLineChars="200"/>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2.不填写对应指标，而只填写响应情况或弄虚作假、前后不一致的，其报价文件有可能被拒绝。</w:t>
      </w:r>
    </w:p>
    <w:p w14:paraId="49F4B680">
      <w:pPr>
        <w:snapToGrid w:val="0"/>
        <w:spacing w:line="560" w:lineRule="exact"/>
        <w:ind w:firstLine="48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供应商（公章）：</w:t>
      </w:r>
      <w:r>
        <w:rPr>
          <w:rFonts w:hint="eastAsia" w:ascii="仿宋_GB2312" w:hAnsi="仿宋_GB2312" w:eastAsia="仿宋_GB2312" w:cs="仿宋_GB2312"/>
          <w:sz w:val="32"/>
          <w:szCs w:val="32"/>
          <w:u w:val="single"/>
        </w:rPr>
        <w:t xml:space="preserve">                           </w:t>
      </w:r>
    </w:p>
    <w:p w14:paraId="4C0A194D">
      <w:pPr>
        <w:snapToGrid w:val="0"/>
        <w:spacing w:line="560" w:lineRule="exact"/>
        <w:ind w:firstLine="48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法人代表或其授权人（签字）：</w:t>
      </w:r>
      <w:r>
        <w:rPr>
          <w:rFonts w:hint="eastAsia" w:ascii="仿宋_GB2312" w:hAnsi="仿宋_GB2312" w:eastAsia="仿宋_GB2312" w:cs="仿宋_GB2312"/>
          <w:sz w:val="32"/>
          <w:szCs w:val="32"/>
          <w:u w:val="single"/>
        </w:rPr>
        <w:t xml:space="preserve">               </w:t>
      </w:r>
    </w:p>
    <w:p w14:paraId="3A797FC8">
      <w:pPr>
        <w:snapToGrid w:val="0"/>
        <w:spacing w:line="560" w:lineRule="exact"/>
        <w:ind w:firstLine="48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日   期：</w:t>
      </w:r>
      <w:r>
        <w:rPr>
          <w:rFonts w:hint="eastAsia" w:ascii="仿宋_GB2312" w:hAnsi="仿宋_GB2312" w:eastAsia="仿宋_GB2312" w:cs="仿宋_GB2312"/>
          <w:sz w:val="32"/>
          <w:szCs w:val="32"/>
          <w:u w:val="single"/>
        </w:rPr>
        <w:t xml:space="preserve">                                 </w:t>
      </w:r>
    </w:p>
    <w:p w14:paraId="6227E935">
      <w:pPr>
        <w:spacing w:line="480" w:lineRule="auto"/>
        <w:ind w:firstLine="480"/>
        <w:rPr>
          <w:rFonts w:hint="eastAsia" w:ascii="仿宋_GB2312" w:hAnsi="仿宋_GB2312" w:eastAsia="仿宋_GB2312" w:cs="仿宋_GB2312"/>
          <w:sz w:val="24"/>
        </w:rPr>
      </w:pPr>
    </w:p>
    <w:p w14:paraId="302A7005">
      <w:pPr>
        <w:rPr>
          <w:rFonts w:hint="eastAsia" w:ascii="仿宋_GB2312" w:hAnsi="仿宋_GB2312" w:eastAsia="仿宋_GB2312" w:cs="仿宋_GB2312"/>
        </w:rPr>
      </w:pPr>
      <w:r>
        <w:rPr>
          <w:rFonts w:hint="eastAsia" w:ascii="仿宋_GB2312" w:hAnsi="仿宋_GB2312" w:eastAsia="仿宋_GB2312" w:cs="仿宋_GB2312"/>
        </w:rPr>
        <w:br w:type="page"/>
      </w:r>
    </w:p>
    <w:p w14:paraId="4A466872">
      <w:pPr>
        <w:pStyle w:val="10"/>
        <w:adjustRightInd w:val="0"/>
        <w:snapToGrid w:val="0"/>
        <w:spacing w:after="0" w:line="560" w:lineRule="exact"/>
        <w:ind w:left="0" w:leftChars="0"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1.项目</w:t>
      </w:r>
      <w:r>
        <w:rPr>
          <w:rFonts w:hint="default" w:ascii="仿宋" w:hAnsi="仿宋" w:eastAsia="仿宋" w:cs="仿宋"/>
          <w:sz w:val="32"/>
          <w:szCs w:val="32"/>
          <w:lang w:val="en-US" w:eastAsia="zh-CN"/>
        </w:rPr>
        <w:t>内容要求</w:t>
      </w:r>
    </w:p>
    <w:p w14:paraId="4DA76E98">
      <w:pPr>
        <w:pStyle w:val="10"/>
        <w:adjustRightInd w:val="0"/>
        <w:snapToGrid w:val="0"/>
        <w:spacing w:after="0" w:line="560" w:lineRule="exact"/>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消防评估机构及评估人员应具备相应的评估资质，能够按照《建筑防火通用规范》（GB55037-2022）《建筑设计防火规范》（GB50016-204）《单位消防安全评估》（XF/T3005-2020）《机关、团体、企业、事业单位消防安全管理规定》（公安部令第61号）《消防给水及消火栓系统设计规范》（GB50974-2014）等国家标准和管理规定及消防技术标准运用参照当时建筑、设施设备设计要求的原则对两个院区建筑防火、消防设施设备、消防安全管理方面进行实地检查，查找消防隐患，提出整改意见，并制作评估报告。（提供证书）</w:t>
      </w:r>
    </w:p>
    <w:p w14:paraId="124C8FB3">
      <w:pPr>
        <w:pStyle w:val="10"/>
        <w:adjustRightInd w:val="0"/>
        <w:snapToGrid w:val="0"/>
        <w:spacing w:after="0" w:line="560" w:lineRule="exact"/>
        <w:ind w:left="0" w:leftChars="0" w:firstLine="640" w:firstLineChars="200"/>
        <w:rPr>
          <w:rFonts w:hint="default" w:ascii="仿宋" w:hAnsi="仿宋" w:eastAsia="仿宋" w:cs="仿宋"/>
          <w:sz w:val="32"/>
          <w:szCs w:val="32"/>
          <w:lang w:val="en-US" w:eastAsia="zh-CN"/>
        </w:rPr>
      </w:pPr>
    </w:p>
    <w:p w14:paraId="7F65C36C">
      <w:pPr>
        <w:adjustRightInd w:val="0"/>
        <w:snapToGrid w:val="0"/>
        <w:spacing w:line="560" w:lineRule="exact"/>
        <w:ind w:firstLine="640" w:firstLineChars="200"/>
        <w:jc w:val="left"/>
        <w:rPr>
          <w:rFonts w:hint="eastAsia" w:ascii="仿宋" w:hAnsi="仿宋" w:eastAsia="仿宋" w:cs="仿宋"/>
          <w:bCs/>
          <w:kern w:val="0"/>
          <w:sz w:val="32"/>
          <w:szCs w:val="32"/>
          <w:lang w:val="en-US" w:eastAsia="zh-CN" w:bidi="ar-SA"/>
        </w:rPr>
      </w:pPr>
      <w:r>
        <w:rPr>
          <w:rFonts w:hint="eastAsia" w:ascii="仿宋" w:hAnsi="仿宋" w:eastAsia="仿宋" w:cs="仿宋"/>
          <w:bCs/>
          <w:kern w:val="0"/>
          <w:sz w:val="32"/>
          <w:szCs w:val="32"/>
          <w:lang w:val="en-US" w:eastAsia="zh-CN" w:bidi="ar-SA"/>
        </w:rPr>
        <w:t>2.其他要求</w:t>
      </w:r>
    </w:p>
    <w:p w14:paraId="5B7DC587">
      <w:pPr>
        <w:adjustRightInd w:val="0"/>
        <w:snapToGrid w:val="0"/>
        <w:spacing w:line="560" w:lineRule="exact"/>
        <w:ind w:firstLine="640" w:firstLineChars="200"/>
        <w:jc w:val="left"/>
        <w:rPr>
          <w:rFonts w:hint="eastAsia" w:ascii="仿宋" w:hAnsi="仿宋" w:eastAsia="仿宋" w:cs="仿宋"/>
          <w:bCs/>
          <w:kern w:val="0"/>
          <w:sz w:val="32"/>
          <w:szCs w:val="32"/>
          <w:lang w:val="en-US" w:eastAsia="zh-CN" w:bidi="ar-SA"/>
        </w:rPr>
      </w:pPr>
      <w:r>
        <w:rPr>
          <w:rFonts w:hint="eastAsia" w:ascii="仿宋" w:hAnsi="仿宋" w:eastAsia="仿宋" w:cs="仿宋"/>
          <w:bCs/>
          <w:kern w:val="0"/>
          <w:sz w:val="32"/>
          <w:szCs w:val="32"/>
          <w:lang w:val="en-US" w:eastAsia="zh-CN" w:bidi="ar-SA"/>
        </w:rPr>
        <w:t>检查、评估人员须具一级注册消防工程师资质，并具有丰富的评估经验和较高的评估能力，对建筑防火、消防设施设备、消防电源等方面检查应配备相应的消防检测工具，确保检查数据化、具体化、精准化，对检查隐患应能提出合理的整改意见，确保评估内容准确并具有指导意义。</w:t>
      </w:r>
      <w:r>
        <w:rPr>
          <w:rFonts w:hint="eastAsia" w:ascii="仿宋" w:hAnsi="仿宋" w:eastAsia="仿宋" w:cs="仿宋"/>
          <w:sz w:val="32"/>
          <w:szCs w:val="32"/>
          <w:lang w:val="en-US" w:eastAsia="zh-CN"/>
        </w:rPr>
        <w:t>（提供证书）</w:t>
      </w:r>
    </w:p>
    <w:p w14:paraId="5F4C1ECA">
      <w:pPr>
        <w:rPr>
          <w:rFonts w:hint="eastAsia"/>
          <w:lang w:val="en-US" w:eastAsia="zh-CN"/>
        </w:rPr>
      </w:pPr>
    </w:p>
    <w:p w14:paraId="7A720AAC">
      <w:pPr>
        <w:rPr>
          <w:rFonts w:hint="eastAsia"/>
          <w:lang w:val="en-US" w:eastAsia="zh-CN"/>
        </w:rPr>
      </w:pPr>
    </w:p>
    <w:p w14:paraId="186D46F6">
      <w:pPr>
        <w:rPr>
          <w:rFonts w:hint="eastAsia"/>
          <w:lang w:val="en-US" w:eastAsia="zh-CN"/>
        </w:rPr>
      </w:pPr>
    </w:p>
    <w:p w14:paraId="4156FA30">
      <w:pPr>
        <w:rPr>
          <w:rFonts w:hint="eastAsia"/>
          <w:lang w:val="en-US" w:eastAsia="zh-CN"/>
        </w:rPr>
      </w:pPr>
    </w:p>
    <w:p w14:paraId="251373BD">
      <w:pPr>
        <w:rPr>
          <w:rFonts w:hint="eastAsia"/>
          <w:lang w:val="en-US" w:eastAsia="zh-CN"/>
        </w:rPr>
      </w:pPr>
    </w:p>
    <w:p w14:paraId="3A635B0D">
      <w:pPr>
        <w:rPr>
          <w:rFonts w:hint="eastAsia"/>
          <w:lang w:val="en-US" w:eastAsia="zh-CN"/>
        </w:rPr>
      </w:pPr>
    </w:p>
    <w:p w14:paraId="7818CF1A">
      <w:pPr>
        <w:rPr>
          <w:rFonts w:hint="eastAsia"/>
          <w:lang w:val="en-US" w:eastAsia="zh-CN"/>
        </w:rPr>
      </w:pPr>
    </w:p>
    <w:p w14:paraId="21E2B00B">
      <w:pPr>
        <w:rPr>
          <w:rFonts w:hint="eastAsia"/>
          <w:lang w:val="en-US" w:eastAsia="zh-CN"/>
        </w:rPr>
      </w:pPr>
    </w:p>
    <w:p w14:paraId="3AB11D07">
      <w:pPr>
        <w:rPr>
          <w:rFonts w:hint="eastAsia"/>
          <w:lang w:val="en-US" w:eastAsia="zh-CN"/>
        </w:rPr>
      </w:pPr>
    </w:p>
    <w:p w14:paraId="6EC0D72C">
      <w:pPr>
        <w:rPr>
          <w:rFonts w:hint="eastAsia"/>
          <w:lang w:val="en-US" w:eastAsia="zh-CN"/>
        </w:rPr>
      </w:pPr>
    </w:p>
    <w:p w14:paraId="002FA63E">
      <w:pPr>
        <w:rPr>
          <w:rFonts w:hint="eastAsia"/>
          <w:lang w:val="en-US" w:eastAsia="zh-CN"/>
        </w:rPr>
      </w:pPr>
    </w:p>
    <w:p w14:paraId="1EB6751A">
      <w:pPr>
        <w:rPr>
          <w:rFonts w:hint="eastAsia"/>
          <w:lang w:val="en-US" w:eastAsia="zh-CN"/>
        </w:rPr>
      </w:pPr>
    </w:p>
    <w:p w14:paraId="6CADB28E">
      <w:pPr>
        <w:rPr>
          <w:rFonts w:hint="eastAsia" w:eastAsia="宋体"/>
          <w:lang w:val="en-US" w:eastAsia="zh-CN"/>
        </w:rPr>
      </w:pPr>
    </w:p>
    <w:p w14:paraId="2789DDD4">
      <w:pPr>
        <w:pStyle w:val="3"/>
        <w:spacing w:line="240" w:lineRule="auto"/>
      </w:pPr>
      <w:bookmarkStart w:id="101" w:name="_Toc16244"/>
      <w:bookmarkStart w:id="102" w:name="_Toc25388"/>
      <w:r>
        <w:rPr>
          <w:rFonts w:hint="eastAsia"/>
        </w:rPr>
        <w:t>四、报价部分</w:t>
      </w:r>
      <w:bookmarkEnd w:id="101"/>
      <w:bookmarkEnd w:id="102"/>
      <w:bookmarkStart w:id="103" w:name="_Toc19336"/>
      <w:bookmarkStart w:id="104" w:name="_Toc15965"/>
    </w:p>
    <w:p w14:paraId="6F0FDBDD">
      <w:pPr>
        <w:rPr>
          <w:rFonts w:hint="eastAsia" w:ascii="方正公文黑体" w:hAnsi="方正公文黑体" w:eastAsia="方正公文黑体" w:cs="方正公文黑体"/>
          <w:sz w:val="36"/>
          <w:szCs w:val="36"/>
          <w:lang w:eastAsia="zh-CN"/>
        </w:rPr>
      </w:pPr>
      <w:r>
        <w:rPr>
          <w:rFonts w:hint="eastAsia" w:ascii="方正公文黑体" w:hAnsi="方正公文黑体" w:eastAsia="方正公文黑体" w:cs="方正公文黑体"/>
          <w:sz w:val="36"/>
          <w:szCs w:val="36"/>
        </w:rPr>
        <w:t>附件</w:t>
      </w:r>
      <w:bookmarkEnd w:id="103"/>
      <w:bookmarkEnd w:id="104"/>
      <w:r>
        <w:rPr>
          <w:rFonts w:hint="eastAsia" w:ascii="方正公文黑体" w:hAnsi="方正公文黑体" w:eastAsia="方正公文黑体" w:cs="方正公文黑体"/>
          <w:sz w:val="36"/>
          <w:szCs w:val="36"/>
          <w:lang w:val="en-US" w:eastAsia="zh-CN"/>
        </w:rPr>
        <w:t>6</w:t>
      </w:r>
    </w:p>
    <w:p w14:paraId="4E72A2EC">
      <w:pPr>
        <w:jc w:val="center"/>
        <w:rPr>
          <w:rFonts w:hint="eastAsia" w:ascii="仿宋_GB2312" w:hAnsi="仿宋_GB2312" w:eastAsia="仿宋_GB2312" w:cs="仿宋_GB2312"/>
          <w:b/>
          <w:bCs w:val="0"/>
          <w:sz w:val="36"/>
          <w:szCs w:val="36"/>
        </w:rPr>
      </w:pPr>
    </w:p>
    <w:p w14:paraId="1EE11878">
      <w:pPr>
        <w:jc w:val="center"/>
        <w:rPr>
          <w:rFonts w:hint="eastAsia" w:ascii="仿宋_GB2312" w:hAnsi="仿宋_GB2312" w:eastAsia="仿宋_GB2312" w:cs="仿宋_GB2312"/>
          <w:b/>
          <w:bCs w:val="0"/>
          <w:sz w:val="36"/>
          <w:szCs w:val="36"/>
        </w:rPr>
      </w:pPr>
      <w:r>
        <w:rPr>
          <w:rFonts w:hint="eastAsia" w:ascii="仿宋_GB2312" w:hAnsi="仿宋_GB2312" w:eastAsia="仿宋_GB2312" w:cs="仿宋_GB2312"/>
          <w:b/>
          <w:bCs w:val="0"/>
          <w:sz w:val="36"/>
          <w:szCs w:val="36"/>
        </w:rPr>
        <w:t>报价一览表</w:t>
      </w:r>
    </w:p>
    <w:p w14:paraId="3C747A2D">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 xml:space="preserve">项目编号：                  </w:t>
      </w:r>
    </w:p>
    <w:p w14:paraId="5B7FEE3B">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项目名称：</w:t>
      </w:r>
    </w:p>
    <w:tbl>
      <w:tblPr>
        <w:tblStyle w:val="18"/>
        <w:tblW w:w="93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7"/>
        <w:gridCol w:w="7141"/>
      </w:tblGrid>
      <w:tr w14:paraId="064B3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6" w:hRule="atLeast"/>
          <w:jc w:val="center"/>
        </w:trPr>
        <w:tc>
          <w:tcPr>
            <w:tcW w:w="2167" w:type="dxa"/>
            <w:vAlign w:val="center"/>
          </w:tcPr>
          <w:p w14:paraId="55E33E20">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投标人名称</w:t>
            </w:r>
          </w:p>
        </w:tc>
        <w:tc>
          <w:tcPr>
            <w:tcW w:w="7141" w:type="dxa"/>
            <w:vAlign w:val="center"/>
          </w:tcPr>
          <w:p w14:paraId="09D332A9">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hint="eastAsia" w:ascii="仿宋_GB2312" w:hAnsi="仿宋_GB2312" w:eastAsia="仿宋_GB2312" w:cs="仿宋_GB2312"/>
                <w:sz w:val="32"/>
                <w:szCs w:val="32"/>
              </w:rPr>
            </w:pPr>
          </w:p>
        </w:tc>
      </w:tr>
      <w:tr w14:paraId="455E0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2" w:hRule="atLeast"/>
          <w:jc w:val="center"/>
        </w:trPr>
        <w:tc>
          <w:tcPr>
            <w:tcW w:w="2167" w:type="dxa"/>
            <w:vAlign w:val="center"/>
          </w:tcPr>
          <w:p w14:paraId="0EE93DD0">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总报价</w:t>
            </w:r>
          </w:p>
          <w:p w14:paraId="24F52064">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（人民币/元）</w:t>
            </w:r>
          </w:p>
        </w:tc>
        <w:tc>
          <w:tcPr>
            <w:tcW w:w="7141" w:type="dxa"/>
            <w:vAlign w:val="center"/>
          </w:tcPr>
          <w:p w14:paraId="6AE86F45">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ind w:firstLine="320" w:firstLineChars="1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大写：</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14:paraId="7201AD30">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小写：</w:t>
            </w:r>
            <w:r>
              <w:rPr>
                <w:rFonts w:hint="eastAsia" w:ascii="仿宋_GB2312" w:hAnsi="仿宋_GB2312" w:eastAsia="仿宋_GB2312" w:cs="仿宋_GB2312"/>
                <w:sz w:val="32"/>
                <w:szCs w:val="32"/>
                <w:u w:val="single"/>
              </w:rPr>
              <w:t xml:space="preserve">                         </w:t>
            </w:r>
          </w:p>
        </w:tc>
      </w:tr>
      <w:tr w14:paraId="39B1E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jc w:val="center"/>
        </w:trPr>
        <w:tc>
          <w:tcPr>
            <w:tcW w:w="2167" w:type="dxa"/>
            <w:vAlign w:val="center"/>
          </w:tcPr>
          <w:p w14:paraId="43130F9A">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质保期</w:t>
            </w:r>
          </w:p>
        </w:tc>
        <w:tc>
          <w:tcPr>
            <w:tcW w:w="7141" w:type="dxa"/>
            <w:vAlign w:val="center"/>
          </w:tcPr>
          <w:p w14:paraId="4D4A6282">
            <w:pPr>
              <w:adjustRightInd w:val="0"/>
              <w:snapToGrid w:val="0"/>
              <w:spacing w:line="560" w:lineRule="exact"/>
              <w:jc w:val="center"/>
              <w:rPr>
                <w:rFonts w:hint="eastAsia" w:ascii="仿宋_GB2312" w:hAnsi="仿宋_GB2312" w:eastAsia="仿宋_GB2312" w:cs="仿宋_GB2312"/>
                <w:sz w:val="32"/>
                <w:szCs w:val="32"/>
                <w:u w:val="single"/>
              </w:rPr>
            </w:pPr>
          </w:p>
        </w:tc>
      </w:tr>
      <w:tr w14:paraId="15118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8" w:hRule="atLeast"/>
          <w:jc w:val="center"/>
        </w:trPr>
        <w:tc>
          <w:tcPr>
            <w:tcW w:w="2167" w:type="dxa"/>
            <w:vAlign w:val="center"/>
          </w:tcPr>
          <w:p w14:paraId="79F9732C">
            <w:pPr>
              <w:tabs>
                <w:tab w:val="left" w:pos="720"/>
                <w:tab w:val="left" w:pos="1440"/>
                <w:tab w:val="left" w:pos="2880"/>
                <w:tab w:val="left" w:pos="3600"/>
                <w:tab w:val="left" w:pos="4320"/>
              </w:tabs>
              <w:autoSpaceDE w:val="0"/>
              <w:autoSpaceDN w:val="0"/>
              <w:adjustRightInd w:val="0"/>
              <w:snapToGrid w:val="0"/>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项目完成期限</w:t>
            </w:r>
          </w:p>
        </w:tc>
        <w:tc>
          <w:tcPr>
            <w:tcW w:w="7141" w:type="dxa"/>
            <w:vAlign w:val="center"/>
          </w:tcPr>
          <w:p w14:paraId="71C45C30">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hint="eastAsia" w:ascii="仿宋_GB2312" w:hAnsi="仿宋_GB2312" w:eastAsia="仿宋_GB2312" w:cs="仿宋_GB2312"/>
                <w:sz w:val="32"/>
                <w:szCs w:val="32"/>
              </w:rPr>
            </w:pPr>
          </w:p>
        </w:tc>
      </w:tr>
      <w:tr w14:paraId="6A636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jc w:val="center"/>
        </w:trPr>
        <w:tc>
          <w:tcPr>
            <w:tcW w:w="2167" w:type="dxa"/>
            <w:vAlign w:val="center"/>
          </w:tcPr>
          <w:p w14:paraId="5D1C0DE1">
            <w:pPr>
              <w:tabs>
                <w:tab w:val="left" w:pos="720"/>
                <w:tab w:val="left" w:pos="1440"/>
                <w:tab w:val="left" w:pos="2880"/>
                <w:tab w:val="left" w:pos="3600"/>
                <w:tab w:val="left" w:pos="4320"/>
              </w:tabs>
              <w:autoSpaceDE w:val="0"/>
              <w:autoSpaceDN w:val="0"/>
              <w:adjustRightInd w:val="0"/>
              <w:snapToGrid w:val="0"/>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备注</w:t>
            </w:r>
          </w:p>
        </w:tc>
        <w:tc>
          <w:tcPr>
            <w:tcW w:w="7141" w:type="dxa"/>
            <w:vAlign w:val="center"/>
          </w:tcPr>
          <w:p w14:paraId="184D5931">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hint="eastAsia" w:ascii="仿宋_GB2312" w:hAnsi="仿宋_GB2312" w:eastAsia="仿宋_GB2312" w:cs="仿宋_GB2312"/>
                <w:sz w:val="32"/>
                <w:szCs w:val="32"/>
              </w:rPr>
            </w:pPr>
          </w:p>
        </w:tc>
      </w:tr>
    </w:tbl>
    <w:p w14:paraId="02A207C3">
      <w:pPr>
        <w:adjustRightInd w:val="0"/>
        <w:snapToGrid w:val="0"/>
        <w:spacing w:line="560" w:lineRule="exact"/>
        <w:rPr>
          <w:rFonts w:hint="eastAsia" w:ascii="仿宋_GB2312" w:hAnsi="仿宋_GB2312" w:eastAsia="仿宋_GB2312" w:cs="仿宋_GB2312"/>
          <w:bCs w:val="0"/>
          <w:sz w:val="32"/>
          <w:szCs w:val="32"/>
        </w:rPr>
      </w:pPr>
    </w:p>
    <w:p w14:paraId="1D106808">
      <w:pPr>
        <w:adjustRightInd w:val="0"/>
        <w:snapToGrid w:val="0"/>
        <w:spacing w:line="560" w:lineRule="exact"/>
        <w:ind w:firstLine="320" w:firstLineChars="100"/>
        <w:rPr>
          <w:rFonts w:hint="eastAsia" w:ascii="仿宋_GB2312" w:hAnsi="仿宋_GB2312" w:eastAsia="仿宋_GB2312" w:cs="仿宋_GB2312"/>
          <w:bCs w:val="0"/>
          <w:sz w:val="32"/>
          <w:szCs w:val="32"/>
          <w:u w:val="single"/>
        </w:rPr>
      </w:pPr>
      <w:r>
        <w:rPr>
          <w:rFonts w:hint="eastAsia" w:ascii="仿宋_GB2312" w:hAnsi="仿宋_GB2312" w:eastAsia="仿宋_GB2312" w:cs="仿宋_GB2312"/>
          <w:sz w:val="32"/>
          <w:szCs w:val="32"/>
        </w:rPr>
        <w:t>投标人名称（公章）：</w:t>
      </w:r>
    </w:p>
    <w:p w14:paraId="1973CA7C">
      <w:pPr>
        <w:adjustRightInd w:val="0"/>
        <w:snapToGrid w:val="0"/>
        <w:spacing w:line="560" w:lineRule="exact"/>
        <w:ind w:firstLine="320" w:firstLineChars="100"/>
        <w:rPr>
          <w:rFonts w:hint="eastAsia" w:ascii="仿宋_GB2312" w:hAnsi="仿宋_GB2312" w:eastAsia="仿宋_GB2312" w:cs="仿宋_GB2312"/>
          <w:sz w:val="32"/>
          <w:szCs w:val="32"/>
        </w:rPr>
      </w:pPr>
    </w:p>
    <w:p w14:paraId="0A2BBDC8">
      <w:pPr>
        <w:adjustRightInd w:val="0"/>
        <w:snapToGrid w:val="0"/>
        <w:spacing w:line="560" w:lineRule="exact"/>
        <w:ind w:firstLine="320" w:firstLineChars="100"/>
        <w:rPr>
          <w:rFonts w:hint="eastAsia" w:ascii="仿宋_GB2312" w:hAnsi="仿宋_GB2312" w:eastAsia="仿宋_GB2312" w:cs="仿宋_GB2312"/>
          <w:bCs w:val="0"/>
          <w:sz w:val="32"/>
          <w:szCs w:val="32"/>
        </w:rPr>
      </w:pPr>
      <w:r>
        <w:rPr>
          <w:rFonts w:hint="eastAsia" w:ascii="仿宋_GB2312" w:hAnsi="仿宋_GB2312" w:eastAsia="仿宋_GB2312" w:cs="仿宋_GB2312"/>
          <w:sz w:val="32"/>
          <w:szCs w:val="32"/>
        </w:rPr>
        <w:t>法定代表人或授权代理人（签字）：</w:t>
      </w:r>
    </w:p>
    <w:p w14:paraId="4B1C671D">
      <w:pPr>
        <w:adjustRightInd w:val="0"/>
        <w:snapToGrid w:val="0"/>
        <w:spacing w:line="560" w:lineRule="exact"/>
        <w:ind w:firstLine="1600" w:firstLineChars="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年   月   日 </w:t>
      </w:r>
    </w:p>
    <w:p w14:paraId="1BACABFD">
      <w:pPr>
        <w:pStyle w:val="10"/>
        <w:adjustRightInd w:val="0"/>
        <w:snapToGrid w:val="0"/>
        <w:spacing w:after="0" w:line="560" w:lineRule="exact"/>
        <w:ind w:left="0" w:leftChars="0"/>
        <w:rPr>
          <w:rFonts w:hint="eastAsia" w:ascii="仿宋_GB2312" w:hAnsi="仿宋_GB2312" w:eastAsia="仿宋_GB2312" w:cs="仿宋_GB2312"/>
          <w:kern w:val="2"/>
          <w:sz w:val="32"/>
          <w:szCs w:val="32"/>
        </w:rPr>
      </w:pPr>
    </w:p>
    <w:p w14:paraId="4A4EC454">
      <w:pPr>
        <w:pStyle w:val="10"/>
        <w:adjustRightInd w:val="0"/>
        <w:snapToGrid w:val="0"/>
        <w:spacing w:after="0" w:line="560" w:lineRule="exact"/>
        <w:ind w:left="0" w:leftChars="0"/>
        <w:rPr>
          <w:rFonts w:hint="eastAsia" w:ascii="仿宋_GB2312" w:hAnsi="仿宋_GB2312" w:eastAsia="仿宋_GB2312" w:cs="仿宋_GB2312"/>
          <w:kern w:val="2"/>
          <w:sz w:val="32"/>
          <w:szCs w:val="32"/>
        </w:rPr>
      </w:pPr>
    </w:p>
    <w:bookmarkEnd w:id="82"/>
    <w:bookmarkEnd w:id="83"/>
    <w:bookmarkEnd w:id="91"/>
    <w:bookmarkEnd w:id="92"/>
    <w:p w14:paraId="3CE11DC9">
      <w:bookmarkStart w:id="105" w:name="_Toc13890"/>
      <w:bookmarkStart w:id="106" w:name="_Toc4812"/>
    </w:p>
    <w:p w14:paraId="2340847C">
      <w:pPr>
        <w:pStyle w:val="3"/>
        <w:spacing w:line="240" w:lineRule="auto"/>
      </w:pPr>
      <w:r>
        <w:rPr>
          <w:rFonts w:hint="eastAsia"/>
        </w:rPr>
        <w:t>封套格式</w:t>
      </w:r>
      <w:bookmarkEnd w:id="105"/>
      <w:bookmarkEnd w:id="106"/>
    </w:p>
    <w:tbl>
      <w:tblPr>
        <w:tblStyle w:val="18"/>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0"/>
      </w:tblGrid>
      <w:tr w14:paraId="48018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6" w:hRule="atLeast"/>
          <w:jc w:val="center"/>
        </w:trPr>
        <w:tc>
          <w:tcPr>
            <w:tcW w:w="9080" w:type="dxa"/>
          </w:tcPr>
          <w:p w14:paraId="7D274210">
            <w:pPr>
              <w:pStyle w:val="9"/>
              <w:adjustRightInd w:val="0"/>
              <w:snapToGrid w:val="0"/>
              <w:spacing w:line="560" w:lineRule="exact"/>
              <w:ind w:firstLine="0" w:firstLineChars="0"/>
              <w:rPr>
                <w:rFonts w:hint="eastAsia" w:ascii="仿宋_GB2312" w:hAnsi="仿宋_GB2312" w:eastAsia="仿宋_GB2312" w:cs="仿宋_GB2312"/>
                <w:sz w:val="32"/>
                <w:szCs w:val="32"/>
              </w:rPr>
            </w:pPr>
          </w:p>
          <w:p w14:paraId="661E68C8">
            <w:pPr>
              <w:pStyle w:val="9"/>
              <w:adjustRightInd w:val="0"/>
              <w:snapToGrid w:val="0"/>
              <w:spacing w:line="560" w:lineRule="exact"/>
              <w:ind w:firstLine="0" w:firstLineChars="0"/>
              <w:jc w:val="center"/>
              <w:rPr>
                <w:rFonts w:hint="eastAsia" w:ascii="仿宋_GB2312" w:hAnsi="仿宋_GB2312" w:eastAsia="仿宋_GB2312" w:cs="仿宋_GB2312"/>
                <w:sz w:val="32"/>
                <w:szCs w:val="32"/>
              </w:rPr>
            </w:pPr>
          </w:p>
          <w:p w14:paraId="37A69BFF">
            <w:pPr>
              <w:pStyle w:val="9"/>
              <w:adjustRightInd w:val="0"/>
              <w:snapToGrid w:val="0"/>
              <w:spacing w:line="560" w:lineRule="exact"/>
              <w:ind w:firstLine="0" w:firstLineChars="0"/>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报价文件（正本/副本）</w:t>
            </w:r>
          </w:p>
          <w:p w14:paraId="0DBB493A">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 xml:space="preserve">项目编号：      </w:t>
            </w:r>
          </w:p>
          <w:p w14:paraId="64F4E366">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项目名称：</w:t>
            </w:r>
          </w:p>
          <w:p w14:paraId="21C4BC23">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投标人名称（公章）：</w:t>
            </w:r>
          </w:p>
          <w:p w14:paraId="13725CC4">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地址：</w:t>
            </w:r>
          </w:p>
          <w:p w14:paraId="255D7AB6">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电话：</w:t>
            </w:r>
          </w:p>
          <w:p w14:paraId="0E3951BE">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bCs w:val="0"/>
                <w:sz w:val="32"/>
                <w:szCs w:val="32"/>
              </w:rPr>
              <w:t>传真：</w:t>
            </w:r>
          </w:p>
        </w:tc>
      </w:tr>
    </w:tbl>
    <w:p w14:paraId="7E960A40">
      <w:pPr>
        <w:adjustRightInd w:val="0"/>
        <w:snapToGrid w:val="0"/>
        <w:spacing w:line="560" w:lineRule="exact"/>
        <w:rPr>
          <w:rFonts w:hint="eastAsia" w:ascii="仿宋_GB2312" w:hAnsi="仿宋_GB2312" w:eastAsia="仿宋_GB2312" w:cs="仿宋_GB2312"/>
          <w:vanish/>
          <w:sz w:val="32"/>
          <w:szCs w:val="32"/>
        </w:rPr>
      </w:pPr>
    </w:p>
    <w:p w14:paraId="5D142632">
      <w:pPr>
        <w:adjustRightInd w:val="0"/>
        <w:snapToGrid w:val="0"/>
        <w:spacing w:line="560" w:lineRule="exact"/>
        <w:rPr>
          <w:rFonts w:hint="eastAsia" w:ascii="仿宋_GB2312" w:hAnsi="仿宋_GB2312" w:eastAsia="仿宋_GB2312" w:cs="仿宋_GB2312"/>
          <w:vanish/>
          <w:sz w:val="32"/>
          <w:szCs w:val="32"/>
        </w:rPr>
      </w:pPr>
    </w:p>
    <w:tbl>
      <w:tblPr>
        <w:tblStyle w:val="18"/>
        <w:tblpPr w:leftFromText="180" w:rightFromText="180" w:vertAnchor="text" w:horzAnchor="page" w:tblpX="1608" w:tblpY="90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4"/>
      </w:tblGrid>
      <w:tr w14:paraId="4601B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8" w:hRule="atLeast"/>
        </w:trPr>
        <w:tc>
          <w:tcPr>
            <w:tcW w:w="8964" w:type="dxa"/>
            <w:tcBorders>
              <w:bottom w:val="single" w:color="auto" w:sz="4" w:space="0"/>
            </w:tcBorders>
            <w:vAlign w:val="center"/>
          </w:tcPr>
          <w:p w14:paraId="690A2A32">
            <w:pPr>
              <w:pStyle w:val="9"/>
              <w:adjustRightInd w:val="0"/>
              <w:snapToGrid w:val="0"/>
              <w:spacing w:line="560" w:lineRule="exact"/>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………于2025年   月   日    时之前不准启封………</w:t>
            </w:r>
          </w:p>
        </w:tc>
      </w:tr>
    </w:tbl>
    <w:p w14:paraId="4C014A89">
      <w:pPr>
        <w:adjustRightInd w:val="0"/>
        <w:snapToGrid w:val="0"/>
        <w:spacing w:line="560" w:lineRule="exact"/>
        <w:rPr>
          <w:rFonts w:hint="eastAsia" w:ascii="仿宋_GB2312" w:hAnsi="仿宋_GB2312" w:eastAsia="仿宋_GB2312" w:cs="仿宋_GB2312"/>
          <w:sz w:val="32"/>
          <w:szCs w:val="32"/>
        </w:rPr>
      </w:pPr>
    </w:p>
    <w:sectPr>
      <w:headerReference r:id="rId10" w:type="first"/>
      <w:headerReference r:id="rId9" w:type="default"/>
      <w:footerReference r:id="rId11" w:type="default"/>
      <w:footerReference r:id="rId12" w:type="even"/>
      <w:pgSz w:w="11907" w:h="16840"/>
      <w:pgMar w:top="1417" w:right="1587" w:bottom="1418" w:left="158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AD83EAE-10EF-4536-82BA-259F582C6D3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2" w:fontKey="{991AD4D7-2C46-4252-A6E7-7CE60400967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PingFangSC-Semibold">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BoldMT">
    <w:altName w:val="Segoe Print"/>
    <w:panose1 w:val="00000000000000000000"/>
    <w:charset w:val="00"/>
    <w:family w:val="auto"/>
    <w:pitch w:val="default"/>
    <w:sig w:usb0="00000000" w:usb1="00000000" w:usb2="00000000" w:usb3="00000000" w:csb0="00000000" w:csb1="00000000"/>
  </w:font>
  <w:font w:name="方正公文小标宋">
    <w:panose1 w:val="02000500000000000000"/>
    <w:charset w:val="86"/>
    <w:family w:val="auto"/>
    <w:pitch w:val="default"/>
    <w:sig w:usb0="A00002BF" w:usb1="38CF7CFA" w:usb2="00000016" w:usb3="00000000" w:csb0="00040001" w:csb1="00000000"/>
    <w:embedRegular r:id="rId3" w:fontKey="{53BB59C4-BFDA-4226-BD27-F161AAD24784}"/>
  </w:font>
  <w:font w:name="方正仿宋_GB2312">
    <w:panose1 w:val="02000000000000000000"/>
    <w:charset w:val="86"/>
    <w:family w:val="auto"/>
    <w:pitch w:val="default"/>
    <w:sig w:usb0="A00002BF" w:usb1="184F6CFA" w:usb2="00000012" w:usb3="00000000" w:csb0="00040001" w:csb1="00000000"/>
    <w:embedRegular r:id="rId4" w:fontKey="{BC488FAE-0EEA-44FA-9DAF-B51A3A15C4A1}"/>
  </w:font>
  <w:font w:name="仿宋_GB2312">
    <w:panose1 w:val="02010609030101010101"/>
    <w:charset w:val="86"/>
    <w:family w:val="modern"/>
    <w:pitch w:val="default"/>
    <w:sig w:usb0="00000001" w:usb1="080E0000" w:usb2="00000000" w:usb3="00000000" w:csb0="00040000" w:csb1="00000000"/>
    <w:embedRegular r:id="rId5" w:fontKey="{3A4FC335-1A94-42A5-B87E-0326AE915778}"/>
  </w:font>
  <w:font w:name="Wingdings 2">
    <w:panose1 w:val="05020102010507070707"/>
    <w:charset w:val="02"/>
    <w:family w:val="roman"/>
    <w:pitch w:val="default"/>
    <w:sig w:usb0="00000000" w:usb1="00000000" w:usb2="00000000" w:usb3="00000000" w:csb0="80000000" w:csb1="00000000"/>
    <w:embedRegular r:id="rId6" w:fontKey="{D8E570DA-5477-435C-B326-6CBB1CE61515}"/>
  </w:font>
  <w:font w:name="方正公文黑体">
    <w:panose1 w:val="02000500000000000000"/>
    <w:charset w:val="86"/>
    <w:family w:val="auto"/>
    <w:pitch w:val="default"/>
    <w:sig w:usb0="A00002BF" w:usb1="38CF7CFA" w:usb2="00000016" w:usb3="00000000" w:csb0="00040001" w:csb1="00000000"/>
    <w:embedRegular r:id="rId7" w:fontKey="{FCFE58D1-19F7-4802-8BB7-6D0C163324AE}"/>
  </w:font>
  <w:font w:name="WPSEMBED1">
    <w:panose1 w:val="02010609030101010101"/>
    <w:charset w:val="86"/>
    <w:family w:val="auto"/>
    <w:pitch w:val="default"/>
    <w:sig w:usb0="00000001" w:usb1="080E0000" w:usb2="00000000" w:usb3="00000000" w:csb0="00040000" w:csb1="00000000"/>
  </w:font>
  <w:font w:name="WPSEMBED2">
    <w:panose1 w:val="02000500000000000000"/>
    <w:charset w:val="86"/>
    <w:family w:val="auto"/>
    <w:pitch w:val="default"/>
    <w:sig w:usb0="A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B931D">
    <w:pPr>
      <w:pStyle w:val="11"/>
      <w:jc w:val="center"/>
    </w:pPr>
    <w: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88C259">
                          <w:pPr>
                            <w:pStyle w:val="11"/>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1488C259">
                    <w:pPr>
                      <w:pStyle w:val="11"/>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p w14:paraId="0697A704">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B887C">
    <w:pPr>
      <w:pStyle w:val="11"/>
      <w:jc w:val="center"/>
    </w:pPr>
    <w:r>
      <mc:AlternateContent>
        <mc:Choice Requires="wps">
          <w:drawing>
            <wp:anchor distT="0" distB="0" distL="114300" distR="114300" simplePos="0" relativeHeight="251661312" behindDoc="0" locked="0" layoutInCell="1" allowOverlap="1">
              <wp:simplePos x="0" y="0"/>
              <wp:positionH relativeFrom="margin">
                <wp:posOffset>28575</wp:posOffset>
              </wp:positionH>
              <wp:positionV relativeFrom="paragraph">
                <wp:posOffset>-104775</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7D508B">
                          <w:pPr>
                            <w:pStyle w:val="11"/>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25pt;margin-top:-8.25pt;height:144pt;width:144pt;mso-position-horizontal-relative:margin;mso-wrap-style:none;z-index:251661312;mso-width-relative:page;mso-height-relative:page;" filled="f" stroked="f" coordsize="21600,21600" o:gfxdata="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BXNevHWAAAACQEAAA8AAAAAAAAAAQAgAAAAIgAAAGRycy9kb3ducmV2LnhtbFBLAQIUABQA&#10;AAAIAIdO4kBikIRMKwIAAFcEAAAOAAAAAAAAAAEAIAAAACUBAABkcnMvZTJvRG9jLnhtbFBLBQYA&#10;AAAABgAGAFkBAADCBQAAAAA=&#10;">
              <v:fill on="f" focussize="0,0"/>
              <v:stroke on="f" weight="0.5pt"/>
              <v:imagedata o:title=""/>
              <o:lock v:ext="edit" aspectratio="f"/>
              <v:textbox inset="0mm,0mm,0mm,0mm" style="mso-fit-shape-to-text:t;">
                <w:txbxContent>
                  <w:p w14:paraId="6B7D508B">
                    <w:pPr>
                      <w:pStyle w:val="11"/>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58A53">
    <w:pPr>
      <w:pStyle w:val="11"/>
      <w:ind w:right="360" w:firstLine="4860" w:firstLineChars="2700"/>
    </w:pPr>
    <w:r>
      <mc:AlternateContent>
        <mc:Choice Requires="wps">
          <w:drawing>
            <wp:anchor distT="0" distB="0" distL="114300" distR="114300" simplePos="0" relativeHeight="251662336" behindDoc="0" locked="0" layoutInCell="1" allowOverlap="1">
              <wp:simplePos x="0" y="0"/>
              <wp:positionH relativeFrom="margin">
                <wp:align>inside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40C5FC">
                          <w:pPr>
                            <w:pStyle w:val="11"/>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2640C5FC">
                    <w:pPr>
                      <w:pStyle w:val="11"/>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53EAE">
    <w:pPr>
      <w:pStyle w:val="11"/>
      <w:framePr w:wrap="around" w:vAnchor="text" w:hAnchor="margin" w:xAlign="center" w:y="1"/>
      <w:rPr>
        <w:rStyle w:val="21"/>
      </w:rPr>
    </w:pPr>
    <w:r>
      <w:fldChar w:fldCharType="begin"/>
    </w:r>
    <w:r>
      <w:rPr>
        <w:rStyle w:val="21"/>
      </w:rPr>
      <w:instrText xml:space="preserve">PAGE  </w:instrText>
    </w:r>
    <w:r>
      <w:fldChar w:fldCharType="separate"/>
    </w:r>
    <w:r>
      <w:rPr>
        <w:rStyle w:val="21"/>
      </w:rPr>
      <w:t>32</w:t>
    </w:r>
    <w:r>
      <w:fldChar w:fldCharType="end"/>
    </w:r>
  </w:p>
  <w:p w14:paraId="70A26749">
    <w:pPr>
      <w:pStyle w:val="1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96550">
    <w:pPr>
      <w:pStyle w:val="12"/>
      <w:pBdr>
        <w:top w:val="none" w:color="auto" w:sz="0" w:space="1"/>
        <w:left w:val="none" w:color="auto" w:sz="0" w:space="4"/>
        <w:bottom w:val="none" w:color="auto" w:sz="0" w:space="0"/>
        <w:right w:val="none" w:color="auto" w:sz="0" w:space="4"/>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59466">
    <w:pPr>
      <w:pStyle w:val="12"/>
      <w:pBdr>
        <w:top w:val="none" w:color="auto" w:sz="0" w:space="1"/>
        <w:left w:val="none" w:color="auto" w:sz="0" w:space="4"/>
        <w:bottom w:val="none" w:color="auto" w:sz="0" w:space="1"/>
        <w:right w:val="none" w:color="auto" w:sz="0" w:space="4"/>
      </w:pBdr>
      <w:ind w:right="360"/>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81677A">
    <w:pPr>
      <w:pStyle w:val="12"/>
      <w:pBdr>
        <w:top w:val="none" w:color="auto" w:sz="0" w:space="1"/>
        <w:left w:val="none" w:color="auto" w:sz="0" w:space="4"/>
        <w:bottom w:val="none" w:color="auto" w:sz="0" w:space="0"/>
        <w:right w:val="none" w:color="auto" w:sz="0" w:space="4"/>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999A6">
    <w:pPr>
      <w:pStyle w:val="12"/>
      <w:pBdr>
        <w:top w:val="none" w:color="auto" w:sz="0" w:space="1"/>
        <w:left w:val="none" w:color="auto" w:sz="0" w:space="4"/>
        <w:bottom w:val="none" w:color="auto" w:sz="0" w:space="1"/>
        <w:right w:val="none" w:color="auto" w:sz="0" w:space="4"/>
      </w:pBdr>
      <w:ind w:right="360"/>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2D771">
    <w:pPr>
      <w:pStyle w:val="12"/>
      <w:pBdr>
        <w:top w:val="none" w:color="auto" w:sz="0" w:space="1"/>
        <w:left w:val="none" w:color="auto" w:sz="0" w:space="4"/>
        <w:bottom w:val="none" w:color="auto" w:sz="0" w:space="0"/>
        <w:right w:val="none" w:color="auto" w:sz="0" w:space="4"/>
      </w:pBdr>
      <w:jc w:val="both"/>
    </w:pPr>
    <w:r>
      <w:rPr>
        <w:rFonts w:hint="eastAsia" w:hAnsi="宋体"/>
        <w:sz w:val="21"/>
        <w:szCs w:val="21"/>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0CC44">
    <w:pPr>
      <w:pStyle w:val="12"/>
    </w:pPr>
    <w:r>
      <w:rPr>
        <w:rFonts w:hint="eastAsia"/>
        <w:kern w:val="0"/>
        <w:szCs w:val="21"/>
      </w:rPr>
      <w:t>山东鲁育招标有限公司                                                                   SDJZ2006-11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11BF37"/>
    <w:multiLevelType w:val="singleLevel"/>
    <w:tmpl w:val="A111BF37"/>
    <w:lvl w:ilvl="0" w:tentative="0">
      <w:start w:val="2"/>
      <w:numFmt w:val="chineseCounting"/>
      <w:suff w:val="nothing"/>
      <w:lvlText w:val="%1、"/>
      <w:lvlJc w:val="left"/>
      <w:rPr>
        <w:rFonts w:hint="eastAsia"/>
      </w:rPr>
    </w:lvl>
  </w:abstractNum>
  <w:abstractNum w:abstractNumId="1">
    <w:nsid w:val="35A95F97"/>
    <w:multiLevelType w:val="multilevel"/>
    <w:tmpl w:val="35A95F97"/>
    <w:lvl w:ilvl="0" w:tentative="0">
      <w:start w:val="1"/>
      <w:numFmt w:val="chineseCountingThousand"/>
      <w:lvlText w:val="%1、"/>
      <w:lvlJc w:val="left"/>
      <w:pPr>
        <w:ind w:left="432" w:hanging="432"/>
      </w:pPr>
      <w:rPr>
        <w:rFonts w:hint="eastAsia"/>
      </w:rPr>
    </w:lvl>
    <w:lvl w:ilvl="1" w:tentative="0">
      <w:start w:val="1"/>
      <w:numFmt w:val="decimal"/>
      <w:isLgl/>
      <w:lvlText w:val="%1.%2"/>
      <w:lvlJc w:val="left"/>
      <w:pPr>
        <w:ind w:left="576" w:hanging="576"/>
      </w:pPr>
      <w:rPr>
        <w:rFonts w:hint="default" w:ascii="Times New Roman" w:hAnsi="Times New Roman"/>
      </w:rPr>
    </w:lvl>
    <w:lvl w:ilvl="2" w:tentative="0">
      <w:start w:val="1"/>
      <w:numFmt w:val="decimal"/>
      <w:isLgl/>
      <w:lvlText w:val="%1.%2.%3"/>
      <w:lvlJc w:val="left"/>
      <w:pPr>
        <w:ind w:left="720" w:hanging="720"/>
      </w:pPr>
      <w:rPr>
        <w:rFonts w:hint="eastAsia"/>
      </w:rPr>
    </w:lvl>
    <w:lvl w:ilvl="3" w:tentative="0">
      <w:start w:val="1"/>
      <w:numFmt w:val="decimal"/>
      <w:pStyle w:val="4"/>
      <w:isLgl/>
      <w:lvlText w:val="%1.%2.%3.%4"/>
      <w:lvlJc w:val="left"/>
      <w:pPr>
        <w:ind w:left="864" w:hanging="864"/>
      </w:pPr>
      <w:rPr>
        <w:rFonts w:hint="default" w:ascii="Times New Roman" w:hAnsi="Times New Roman"/>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2" w:hanging="1152"/>
      </w:pPr>
      <w:rPr>
        <w:rFonts w:hint="default" w:ascii="Times New Roman" w:hAnsi="Times New Roman"/>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4" w:hanging="1584"/>
      </w:pPr>
      <w:rPr>
        <w:rFonts w:hint="eastAsia"/>
      </w:rPr>
    </w:lvl>
  </w:abstractNum>
  <w:abstractNum w:abstractNumId="2">
    <w:nsid w:val="35DB52C3"/>
    <w:multiLevelType w:val="singleLevel"/>
    <w:tmpl w:val="35DB52C3"/>
    <w:lvl w:ilvl="0" w:tentative="0">
      <w:start w:val="1"/>
      <w:numFmt w:val="decimal"/>
      <w:lvlText w:val="%1."/>
      <w:lvlJc w:val="left"/>
      <w:pPr>
        <w:tabs>
          <w:tab w:val="left" w:pos="312"/>
        </w:tabs>
      </w:pPr>
    </w:lvl>
  </w:abstractNum>
  <w:abstractNum w:abstractNumId="3">
    <w:nsid w:val="3FDDE621"/>
    <w:multiLevelType w:val="singleLevel"/>
    <w:tmpl w:val="3FDDE621"/>
    <w:lvl w:ilvl="0" w:tentative="0">
      <w:start w:val="2"/>
      <w:numFmt w:val="chineseCounting"/>
      <w:suff w:val="nothing"/>
      <w:lvlText w:val="%1、"/>
      <w:lvlJc w:val="left"/>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2986C49"/>
    <w:rsid w:val="000C3B1F"/>
    <w:rsid w:val="0014412D"/>
    <w:rsid w:val="00177A7D"/>
    <w:rsid w:val="001809E3"/>
    <w:rsid w:val="001B2EC9"/>
    <w:rsid w:val="00320E57"/>
    <w:rsid w:val="0033373A"/>
    <w:rsid w:val="004631B8"/>
    <w:rsid w:val="005B00C9"/>
    <w:rsid w:val="0068075A"/>
    <w:rsid w:val="00707B7F"/>
    <w:rsid w:val="00793446"/>
    <w:rsid w:val="00802FC1"/>
    <w:rsid w:val="00803B81"/>
    <w:rsid w:val="00820B63"/>
    <w:rsid w:val="008349ED"/>
    <w:rsid w:val="00854C8F"/>
    <w:rsid w:val="008B02F1"/>
    <w:rsid w:val="008C4703"/>
    <w:rsid w:val="009C10E2"/>
    <w:rsid w:val="00AB471E"/>
    <w:rsid w:val="00AB5E71"/>
    <w:rsid w:val="00B54169"/>
    <w:rsid w:val="00C17D50"/>
    <w:rsid w:val="00C702E9"/>
    <w:rsid w:val="00D7400F"/>
    <w:rsid w:val="00E865C2"/>
    <w:rsid w:val="00EC002F"/>
    <w:rsid w:val="00EC5EEA"/>
    <w:rsid w:val="00EE0252"/>
    <w:rsid w:val="00F2441B"/>
    <w:rsid w:val="00F714C7"/>
    <w:rsid w:val="00F7679B"/>
    <w:rsid w:val="010E4F6E"/>
    <w:rsid w:val="013712F7"/>
    <w:rsid w:val="013C246A"/>
    <w:rsid w:val="01535BBA"/>
    <w:rsid w:val="016F7099"/>
    <w:rsid w:val="01AF3A4F"/>
    <w:rsid w:val="01C27B77"/>
    <w:rsid w:val="01E0373D"/>
    <w:rsid w:val="02451033"/>
    <w:rsid w:val="026F7BA0"/>
    <w:rsid w:val="028C62E2"/>
    <w:rsid w:val="02EC2996"/>
    <w:rsid w:val="02FE5FA0"/>
    <w:rsid w:val="03215DBB"/>
    <w:rsid w:val="03B92498"/>
    <w:rsid w:val="03C03826"/>
    <w:rsid w:val="03E1761F"/>
    <w:rsid w:val="04210BBD"/>
    <w:rsid w:val="043A0EC2"/>
    <w:rsid w:val="04BD1B14"/>
    <w:rsid w:val="04C21C5A"/>
    <w:rsid w:val="04ED23F9"/>
    <w:rsid w:val="0521245C"/>
    <w:rsid w:val="0524197F"/>
    <w:rsid w:val="0539563E"/>
    <w:rsid w:val="0569541C"/>
    <w:rsid w:val="06220A34"/>
    <w:rsid w:val="063B0A20"/>
    <w:rsid w:val="063D115E"/>
    <w:rsid w:val="063D7F45"/>
    <w:rsid w:val="06515A71"/>
    <w:rsid w:val="066E1317"/>
    <w:rsid w:val="069D2831"/>
    <w:rsid w:val="069F3BC7"/>
    <w:rsid w:val="06B362BB"/>
    <w:rsid w:val="06B807E5"/>
    <w:rsid w:val="06CC1424"/>
    <w:rsid w:val="06E03B70"/>
    <w:rsid w:val="06E67100"/>
    <w:rsid w:val="07586296"/>
    <w:rsid w:val="076013B7"/>
    <w:rsid w:val="07854B6B"/>
    <w:rsid w:val="07943000"/>
    <w:rsid w:val="084F19EE"/>
    <w:rsid w:val="089332B7"/>
    <w:rsid w:val="08DA0EE6"/>
    <w:rsid w:val="09542027"/>
    <w:rsid w:val="09A432A2"/>
    <w:rsid w:val="09BC4A90"/>
    <w:rsid w:val="09BE64C0"/>
    <w:rsid w:val="09FB55B8"/>
    <w:rsid w:val="0A036425"/>
    <w:rsid w:val="0A3F0100"/>
    <w:rsid w:val="0ABE2142"/>
    <w:rsid w:val="0B04224A"/>
    <w:rsid w:val="0B16263E"/>
    <w:rsid w:val="0B8B2FBA"/>
    <w:rsid w:val="0B9B2EA1"/>
    <w:rsid w:val="0BDA3067"/>
    <w:rsid w:val="0BED6A7B"/>
    <w:rsid w:val="0C6C07D5"/>
    <w:rsid w:val="0C8353F1"/>
    <w:rsid w:val="0CA5180B"/>
    <w:rsid w:val="0CB02DAF"/>
    <w:rsid w:val="0CB63A18"/>
    <w:rsid w:val="0CD143AE"/>
    <w:rsid w:val="0CF74AB8"/>
    <w:rsid w:val="0D181FDD"/>
    <w:rsid w:val="0D3D1A44"/>
    <w:rsid w:val="0D5648B3"/>
    <w:rsid w:val="0D5D3E94"/>
    <w:rsid w:val="0D761459"/>
    <w:rsid w:val="0D766D04"/>
    <w:rsid w:val="0E812BF3"/>
    <w:rsid w:val="0E927B6D"/>
    <w:rsid w:val="0E9733D5"/>
    <w:rsid w:val="0EB06E60"/>
    <w:rsid w:val="0EB10E23"/>
    <w:rsid w:val="0EF07055"/>
    <w:rsid w:val="0EFB1BB6"/>
    <w:rsid w:val="0F227792"/>
    <w:rsid w:val="0F317386"/>
    <w:rsid w:val="0F5574D8"/>
    <w:rsid w:val="0F6459AD"/>
    <w:rsid w:val="0F6C64AC"/>
    <w:rsid w:val="0FA1275E"/>
    <w:rsid w:val="0FB76D11"/>
    <w:rsid w:val="0FE16FFE"/>
    <w:rsid w:val="10017FB3"/>
    <w:rsid w:val="10090BD7"/>
    <w:rsid w:val="1088396D"/>
    <w:rsid w:val="111700D2"/>
    <w:rsid w:val="11B83D8F"/>
    <w:rsid w:val="11D67F1C"/>
    <w:rsid w:val="123A29F6"/>
    <w:rsid w:val="123E35CF"/>
    <w:rsid w:val="12490E8B"/>
    <w:rsid w:val="12DE7825"/>
    <w:rsid w:val="12E070F9"/>
    <w:rsid w:val="131821D8"/>
    <w:rsid w:val="132A2348"/>
    <w:rsid w:val="13347445"/>
    <w:rsid w:val="133C34EE"/>
    <w:rsid w:val="138F79D2"/>
    <w:rsid w:val="13E56991"/>
    <w:rsid w:val="13EC5CCF"/>
    <w:rsid w:val="145C05DA"/>
    <w:rsid w:val="147A2925"/>
    <w:rsid w:val="150572EB"/>
    <w:rsid w:val="153F1864"/>
    <w:rsid w:val="15945E81"/>
    <w:rsid w:val="15C6162D"/>
    <w:rsid w:val="15CA407F"/>
    <w:rsid w:val="15DF7B3C"/>
    <w:rsid w:val="15FD2BBA"/>
    <w:rsid w:val="1641050F"/>
    <w:rsid w:val="16893F4C"/>
    <w:rsid w:val="16900E36"/>
    <w:rsid w:val="16D96054"/>
    <w:rsid w:val="17127A9D"/>
    <w:rsid w:val="17141B46"/>
    <w:rsid w:val="17365147"/>
    <w:rsid w:val="17417AEF"/>
    <w:rsid w:val="175C6F6A"/>
    <w:rsid w:val="17617B9E"/>
    <w:rsid w:val="17D27586"/>
    <w:rsid w:val="17E56F60"/>
    <w:rsid w:val="17F42C33"/>
    <w:rsid w:val="18883998"/>
    <w:rsid w:val="18C33745"/>
    <w:rsid w:val="191C10A7"/>
    <w:rsid w:val="191C2DD1"/>
    <w:rsid w:val="19614E20"/>
    <w:rsid w:val="197B254B"/>
    <w:rsid w:val="19A46172"/>
    <w:rsid w:val="19C46CD8"/>
    <w:rsid w:val="19C84D8B"/>
    <w:rsid w:val="19DE010A"/>
    <w:rsid w:val="19F245C4"/>
    <w:rsid w:val="1A014E15"/>
    <w:rsid w:val="1A0A7151"/>
    <w:rsid w:val="1A18186E"/>
    <w:rsid w:val="1A2C531A"/>
    <w:rsid w:val="1A361CF4"/>
    <w:rsid w:val="1A5361CB"/>
    <w:rsid w:val="1AA2382E"/>
    <w:rsid w:val="1B1A4EED"/>
    <w:rsid w:val="1B46065D"/>
    <w:rsid w:val="1B8E2F1A"/>
    <w:rsid w:val="1BA50EE0"/>
    <w:rsid w:val="1BAB583C"/>
    <w:rsid w:val="1BDD4B1E"/>
    <w:rsid w:val="1C146065"/>
    <w:rsid w:val="1CFA6CD7"/>
    <w:rsid w:val="1D37200B"/>
    <w:rsid w:val="1D3C1D18"/>
    <w:rsid w:val="1D726A12"/>
    <w:rsid w:val="1DE91A1B"/>
    <w:rsid w:val="1DF50EBD"/>
    <w:rsid w:val="1E122A78"/>
    <w:rsid w:val="1E7554E1"/>
    <w:rsid w:val="1E7A7A86"/>
    <w:rsid w:val="1E804B75"/>
    <w:rsid w:val="1ED57D2E"/>
    <w:rsid w:val="1EF62324"/>
    <w:rsid w:val="1F765554"/>
    <w:rsid w:val="1F884CCF"/>
    <w:rsid w:val="1F9F033C"/>
    <w:rsid w:val="1FE55342"/>
    <w:rsid w:val="20350AB8"/>
    <w:rsid w:val="207C6453"/>
    <w:rsid w:val="209B0A84"/>
    <w:rsid w:val="20C0056A"/>
    <w:rsid w:val="210D14B1"/>
    <w:rsid w:val="219F2875"/>
    <w:rsid w:val="21DB2A55"/>
    <w:rsid w:val="21E87D78"/>
    <w:rsid w:val="225E0B1F"/>
    <w:rsid w:val="22AD2D70"/>
    <w:rsid w:val="22B366F6"/>
    <w:rsid w:val="22B660C8"/>
    <w:rsid w:val="23005595"/>
    <w:rsid w:val="232E330C"/>
    <w:rsid w:val="2330729E"/>
    <w:rsid w:val="233139A1"/>
    <w:rsid w:val="237369FB"/>
    <w:rsid w:val="23FE7B1E"/>
    <w:rsid w:val="2412563B"/>
    <w:rsid w:val="24963C3A"/>
    <w:rsid w:val="24A627FD"/>
    <w:rsid w:val="251D19FA"/>
    <w:rsid w:val="25903244"/>
    <w:rsid w:val="25C94365"/>
    <w:rsid w:val="25CD79B1"/>
    <w:rsid w:val="25D1410B"/>
    <w:rsid w:val="25E1345C"/>
    <w:rsid w:val="25F5597A"/>
    <w:rsid w:val="263E440B"/>
    <w:rsid w:val="269A09F7"/>
    <w:rsid w:val="27433CA3"/>
    <w:rsid w:val="278136ED"/>
    <w:rsid w:val="279B0C50"/>
    <w:rsid w:val="27A75FE0"/>
    <w:rsid w:val="28B3769A"/>
    <w:rsid w:val="28F827CB"/>
    <w:rsid w:val="290F795D"/>
    <w:rsid w:val="296364D9"/>
    <w:rsid w:val="29CD6601"/>
    <w:rsid w:val="29E9585C"/>
    <w:rsid w:val="2A307B20"/>
    <w:rsid w:val="2A472FCB"/>
    <w:rsid w:val="2A566664"/>
    <w:rsid w:val="2A701253"/>
    <w:rsid w:val="2A8274CB"/>
    <w:rsid w:val="2A8D3BB3"/>
    <w:rsid w:val="2AAF03D5"/>
    <w:rsid w:val="2AB9671A"/>
    <w:rsid w:val="2ADF07C0"/>
    <w:rsid w:val="2AF1729B"/>
    <w:rsid w:val="2BD10AFE"/>
    <w:rsid w:val="2C1F4CDE"/>
    <w:rsid w:val="2C301C6E"/>
    <w:rsid w:val="2C9454FE"/>
    <w:rsid w:val="2C9A25B7"/>
    <w:rsid w:val="2CB238EE"/>
    <w:rsid w:val="2CBC077F"/>
    <w:rsid w:val="2CD94552"/>
    <w:rsid w:val="2D00158C"/>
    <w:rsid w:val="2D2500D2"/>
    <w:rsid w:val="2D71156A"/>
    <w:rsid w:val="2D947006"/>
    <w:rsid w:val="2DD732E8"/>
    <w:rsid w:val="2DDA12DD"/>
    <w:rsid w:val="2DEF248E"/>
    <w:rsid w:val="2E166CE2"/>
    <w:rsid w:val="2E1E55CD"/>
    <w:rsid w:val="2E3A65F9"/>
    <w:rsid w:val="2E432355"/>
    <w:rsid w:val="2E6800CC"/>
    <w:rsid w:val="2E9B79E3"/>
    <w:rsid w:val="2EB455B4"/>
    <w:rsid w:val="2ED40002"/>
    <w:rsid w:val="2EE962E2"/>
    <w:rsid w:val="2EEF654C"/>
    <w:rsid w:val="2EFA733D"/>
    <w:rsid w:val="2F0106CB"/>
    <w:rsid w:val="2F283F03"/>
    <w:rsid w:val="2F487110"/>
    <w:rsid w:val="2F544C9F"/>
    <w:rsid w:val="2F7470EF"/>
    <w:rsid w:val="2FBC446B"/>
    <w:rsid w:val="2FED7D34"/>
    <w:rsid w:val="302E54F0"/>
    <w:rsid w:val="3058256D"/>
    <w:rsid w:val="31D9148B"/>
    <w:rsid w:val="31EA4EA1"/>
    <w:rsid w:val="323C01B5"/>
    <w:rsid w:val="327F7178"/>
    <w:rsid w:val="32986C49"/>
    <w:rsid w:val="32A2020C"/>
    <w:rsid w:val="32A7158A"/>
    <w:rsid w:val="32F02F31"/>
    <w:rsid w:val="32F72DCA"/>
    <w:rsid w:val="33423678"/>
    <w:rsid w:val="33644F60"/>
    <w:rsid w:val="337D4BD7"/>
    <w:rsid w:val="33EE0701"/>
    <w:rsid w:val="33FB7DDF"/>
    <w:rsid w:val="33FF6CF8"/>
    <w:rsid w:val="340C5B48"/>
    <w:rsid w:val="344828F8"/>
    <w:rsid w:val="3451508A"/>
    <w:rsid w:val="34520673"/>
    <w:rsid w:val="34E44900"/>
    <w:rsid w:val="34F2566A"/>
    <w:rsid w:val="35487054"/>
    <w:rsid w:val="3579427A"/>
    <w:rsid w:val="359B6AF0"/>
    <w:rsid w:val="35B74975"/>
    <w:rsid w:val="35E52AF5"/>
    <w:rsid w:val="36591B2F"/>
    <w:rsid w:val="36C42F0E"/>
    <w:rsid w:val="36D22A64"/>
    <w:rsid w:val="36DC2DE1"/>
    <w:rsid w:val="3711707E"/>
    <w:rsid w:val="37316DBE"/>
    <w:rsid w:val="37DA0DC7"/>
    <w:rsid w:val="37E56DDC"/>
    <w:rsid w:val="37F214F9"/>
    <w:rsid w:val="37FA5416"/>
    <w:rsid w:val="38B13162"/>
    <w:rsid w:val="391D15F5"/>
    <w:rsid w:val="39240370"/>
    <w:rsid w:val="3A290D5D"/>
    <w:rsid w:val="3A5F655A"/>
    <w:rsid w:val="3A744447"/>
    <w:rsid w:val="3A7B57D6"/>
    <w:rsid w:val="3AB72586"/>
    <w:rsid w:val="3B153CF8"/>
    <w:rsid w:val="3B3616FD"/>
    <w:rsid w:val="3B592F0C"/>
    <w:rsid w:val="3B7D32FB"/>
    <w:rsid w:val="3B9D352A"/>
    <w:rsid w:val="3B9E6DE9"/>
    <w:rsid w:val="3C137C90"/>
    <w:rsid w:val="3C1C4D96"/>
    <w:rsid w:val="3C577B7C"/>
    <w:rsid w:val="3C6D183D"/>
    <w:rsid w:val="3CBE61C5"/>
    <w:rsid w:val="3CD15B81"/>
    <w:rsid w:val="3CE112D9"/>
    <w:rsid w:val="3D7959A4"/>
    <w:rsid w:val="3DBF1E7D"/>
    <w:rsid w:val="3DDC1999"/>
    <w:rsid w:val="3E6B3412"/>
    <w:rsid w:val="3E976956"/>
    <w:rsid w:val="3ED92ACB"/>
    <w:rsid w:val="3EE85404"/>
    <w:rsid w:val="3EF721D5"/>
    <w:rsid w:val="3EFA354B"/>
    <w:rsid w:val="3F037A93"/>
    <w:rsid w:val="3F56236D"/>
    <w:rsid w:val="3F7A2D95"/>
    <w:rsid w:val="3F8841F5"/>
    <w:rsid w:val="3FCC0881"/>
    <w:rsid w:val="3FD414D4"/>
    <w:rsid w:val="40251D40"/>
    <w:rsid w:val="4037219F"/>
    <w:rsid w:val="408D71EA"/>
    <w:rsid w:val="40F25411"/>
    <w:rsid w:val="419D4069"/>
    <w:rsid w:val="41A97E1E"/>
    <w:rsid w:val="42294664"/>
    <w:rsid w:val="42462B6D"/>
    <w:rsid w:val="428B4A24"/>
    <w:rsid w:val="429D17C3"/>
    <w:rsid w:val="42B40F7C"/>
    <w:rsid w:val="42F779C3"/>
    <w:rsid w:val="43291B47"/>
    <w:rsid w:val="432C1C45"/>
    <w:rsid w:val="43344A35"/>
    <w:rsid w:val="438C45B0"/>
    <w:rsid w:val="43AB0A6B"/>
    <w:rsid w:val="43C81360"/>
    <w:rsid w:val="44701EC1"/>
    <w:rsid w:val="448B0D0B"/>
    <w:rsid w:val="44E64193"/>
    <w:rsid w:val="451F3201"/>
    <w:rsid w:val="45394A3E"/>
    <w:rsid w:val="458012DF"/>
    <w:rsid w:val="45856265"/>
    <w:rsid w:val="45FA6FCC"/>
    <w:rsid w:val="45FF375F"/>
    <w:rsid w:val="460E39A2"/>
    <w:rsid w:val="46833C2E"/>
    <w:rsid w:val="46AB11F1"/>
    <w:rsid w:val="46F506BE"/>
    <w:rsid w:val="4743722B"/>
    <w:rsid w:val="47541888"/>
    <w:rsid w:val="475C073D"/>
    <w:rsid w:val="47C66004"/>
    <w:rsid w:val="48304052"/>
    <w:rsid w:val="483616A5"/>
    <w:rsid w:val="485458B8"/>
    <w:rsid w:val="485C6F76"/>
    <w:rsid w:val="486453C9"/>
    <w:rsid w:val="488F6235"/>
    <w:rsid w:val="488F68F0"/>
    <w:rsid w:val="4891774B"/>
    <w:rsid w:val="48A50E28"/>
    <w:rsid w:val="48F65CAE"/>
    <w:rsid w:val="490966A2"/>
    <w:rsid w:val="49234F3A"/>
    <w:rsid w:val="494E0559"/>
    <w:rsid w:val="49935F6C"/>
    <w:rsid w:val="49C600F0"/>
    <w:rsid w:val="49EC224C"/>
    <w:rsid w:val="4A1365B8"/>
    <w:rsid w:val="4A623F54"/>
    <w:rsid w:val="4B1878F5"/>
    <w:rsid w:val="4B4C383A"/>
    <w:rsid w:val="4B670273"/>
    <w:rsid w:val="4B746C0F"/>
    <w:rsid w:val="4B95246F"/>
    <w:rsid w:val="4C51283A"/>
    <w:rsid w:val="4C581661"/>
    <w:rsid w:val="4C5E6D05"/>
    <w:rsid w:val="4C7F417C"/>
    <w:rsid w:val="4C875185"/>
    <w:rsid w:val="4C8F03ED"/>
    <w:rsid w:val="4D942C25"/>
    <w:rsid w:val="4DA91E14"/>
    <w:rsid w:val="4DAF674F"/>
    <w:rsid w:val="4E0B430A"/>
    <w:rsid w:val="4E20644E"/>
    <w:rsid w:val="4E876790"/>
    <w:rsid w:val="4EC3769C"/>
    <w:rsid w:val="4EF50A2F"/>
    <w:rsid w:val="4EFF657E"/>
    <w:rsid w:val="4F0C71D9"/>
    <w:rsid w:val="4F2B26E0"/>
    <w:rsid w:val="4F7640F5"/>
    <w:rsid w:val="4F89147E"/>
    <w:rsid w:val="4F9A44F8"/>
    <w:rsid w:val="4F9E0374"/>
    <w:rsid w:val="4F9E7FF4"/>
    <w:rsid w:val="4FB93147"/>
    <w:rsid w:val="4FCD2617"/>
    <w:rsid w:val="4FCD4A8E"/>
    <w:rsid w:val="503462A6"/>
    <w:rsid w:val="507871BF"/>
    <w:rsid w:val="511E6A63"/>
    <w:rsid w:val="51313675"/>
    <w:rsid w:val="51501312"/>
    <w:rsid w:val="516079D1"/>
    <w:rsid w:val="516B7B44"/>
    <w:rsid w:val="52131FB2"/>
    <w:rsid w:val="524644C3"/>
    <w:rsid w:val="527A5F1B"/>
    <w:rsid w:val="52925986"/>
    <w:rsid w:val="529F7C3F"/>
    <w:rsid w:val="52A1781D"/>
    <w:rsid w:val="52E21FCD"/>
    <w:rsid w:val="53852DC9"/>
    <w:rsid w:val="54065CB8"/>
    <w:rsid w:val="544F44F7"/>
    <w:rsid w:val="547B6AD0"/>
    <w:rsid w:val="54E57FC4"/>
    <w:rsid w:val="54F77CF7"/>
    <w:rsid w:val="551C1A85"/>
    <w:rsid w:val="555313D1"/>
    <w:rsid w:val="55614991"/>
    <w:rsid w:val="5587107B"/>
    <w:rsid w:val="55AB5C7A"/>
    <w:rsid w:val="55C7591B"/>
    <w:rsid w:val="55CE0A58"/>
    <w:rsid w:val="55D4285A"/>
    <w:rsid w:val="560C77D2"/>
    <w:rsid w:val="5616066A"/>
    <w:rsid w:val="564D6793"/>
    <w:rsid w:val="56982E14"/>
    <w:rsid w:val="56D45B12"/>
    <w:rsid w:val="56FC793A"/>
    <w:rsid w:val="58207565"/>
    <w:rsid w:val="583D0E0B"/>
    <w:rsid w:val="585D494D"/>
    <w:rsid w:val="586B6A32"/>
    <w:rsid w:val="58CB5722"/>
    <w:rsid w:val="58EC5B9C"/>
    <w:rsid w:val="590757B1"/>
    <w:rsid w:val="59581206"/>
    <w:rsid w:val="59BD32BD"/>
    <w:rsid w:val="59DC36CB"/>
    <w:rsid w:val="5A8838A1"/>
    <w:rsid w:val="5AA82EA1"/>
    <w:rsid w:val="5ABF4E13"/>
    <w:rsid w:val="5AC91B3E"/>
    <w:rsid w:val="5AE34010"/>
    <w:rsid w:val="5AE57128"/>
    <w:rsid w:val="5B2F6A01"/>
    <w:rsid w:val="5BDF731D"/>
    <w:rsid w:val="5C421DD1"/>
    <w:rsid w:val="5C4E58CF"/>
    <w:rsid w:val="5C78796F"/>
    <w:rsid w:val="5D124D2C"/>
    <w:rsid w:val="5D351CF6"/>
    <w:rsid w:val="5D4F6922"/>
    <w:rsid w:val="5D6109F5"/>
    <w:rsid w:val="5D6B5E52"/>
    <w:rsid w:val="5DB03139"/>
    <w:rsid w:val="5DE278B7"/>
    <w:rsid w:val="5E40270F"/>
    <w:rsid w:val="5E82108D"/>
    <w:rsid w:val="5E824AD5"/>
    <w:rsid w:val="5E8F06BB"/>
    <w:rsid w:val="5E9C71C5"/>
    <w:rsid w:val="5F034C6F"/>
    <w:rsid w:val="5F622211"/>
    <w:rsid w:val="5FB44B2E"/>
    <w:rsid w:val="5FDC1FC3"/>
    <w:rsid w:val="601E16EE"/>
    <w:rsid w:val="60512F91"/>
    <w:rsid w:val="60667D3B"/>
    <w:rsid w:val="60864B16"/>
    <w:rsid w:val="608F4DA9"/>
    <w:rsid w:val="60D47FE9"/>
    <w:rsid w:val="613F7EC8"/>
    <w:rsid w:val="61652C49"/>
    <w:rsid w:val="6192071F"/>
    <w:rsid w:val="61CB6793"/>
    <w:rsid w:val="61CF4F83"/>
    <w:rsid w:val="61D45648"/>
    <w:rsid w:val="626F614B"/>
    <w:rsid w:val="62B27913"/>
    <w:rsid w:val="62BC011C"/>
    <w:rsid w:val="62DB2A06"/>
    <w:rsid w:val="62DD0CC0"/>
    <w:rsid w:val="63140612"/>
    <w:rsid w:val="631D6B7A"/>
    <w:rsid w:val="63527CBF"/>
    <w:rsid w:val="63604CB9"/>
    <w:rsid w:val="6378546F"/>
    <w:rsid w:val="637D586B"/>
    <w:rsid w:val="63D7141F"/>
    <w:rsid w:val="63FE09E6"/>
    <w:rsid w:val="64040C59"/>
    <w:rsid w:val="64306D81"/>
    <w:rsid w:val="64524F4A"/>
    <w:rsid w:val="645F3CAA"/>
    <w:rsid w:val="65D9039F"/>
    <w:rsid w:val="662D3578"/>
    <w:rsid w:val="66BC351E"/>
    <w:rsid w:val="67206C39"/>
    <w:rsid w:val="678533FB"/>
    <w:rsid w:val="6819678B"/>
    <w:rsid w:val="685E3EBD"/>
    <w:rsid w:val="68660FC4"/>
    <w:rsid w:val="68EF0FB9"/>
    <w:rsid w:val="690E575F"/>
    <w:rsid w:val="69180D06"/>
    <w:rsid w:val="691C1682"/>
    <w:rsid w:val="692A7707"/>
    <w:rsid w:val="6933534A"/>
    <w:rsid w:val="69336C29"/>
    <w:rsid w:val="69375D48"/>
    <w:rsid w:val="69692B1A"/>
    <w:rsid w:val="696A0640"/>
    <w:rsid w:val="69766FE4"/>
    <w:rsid w:val="69D77881"/>
    <w:rsid w:val="6A372C18"/>
    <w:rsid w:val="6A8F4802"/>
    <w:rsid w:val="6A921AE9"/>
    <w:rsid w:val="6AD2649C"/>
    <w:rsid w:val="6B621B6E"/>
    <w:rsid w:val="6B7036D0"/>
    <w:rsid w:val="6B841E8D"/>
    <w:rsid w:val="6BBF2EC5"/>
    <w:rsid w:val="6BD36970"/>
    <w:rsid w:val="6BFB5EC7"/>
    <w:rsid w:val="6C3A69EF"/>
    <w:rsid w:val="6C714041"/>
    <w:rsid w:val="6C89702F"/>
    <w:rsid w:val="6C9A748E"/>
    <w:rsid w:val="6CB31D0E"/>
    <w:rsid w:val="6D8F4B19"/>
    <w:rsid w:val="6DAA3701"/>
    <w:rsid w:val="6DB17E51"/>
    <w:rsid w:val="6E0E3C8F"/>
    <w:rsid w:val="6E2A0D69"/>
    <w:rsid w:val="6E4C2A0A"/>
    <w:rsid w:val="6EA97E5C"/>
    <w:rsid w:val="6F467505"/>
    <w:rsid w:val="702F68EB"/>
    <w:rsid w:val="70AD748E"/>
    <w:rsid w:val="70BB1F0C"/>
    <w:rsid w:val="71050BD5"/>
    <w:rsid w:val="71092E34"/>
    <w:rsid w:val="711E68DF"/>
    <w:rsid w:val="714874B8"/>
    <w:rsid w:val="717863D8"/>
    <w:rsid w:val="72AE2727"/>
    <w:rsid w:val="7309650C"/>
    <w:rsid w:val="73A94229"/>
    <w:rsid w:val="73F70C5C"/>
    <w:rsid w:val="741E10D9"/>
    <w:rsid w:val="748A31AB"/>
    <w:rsid w:val="74A72748"/>
    <w:rsid w:val="74DC4AE7"/>
    <w:rsid w:val="753955FE"/>
    <w:rsid w:val="756923C9"/>
    <w:rsid w:val="75705230"/>
    <w:rsid w:val="759E1D9D"/>
    <w:rsid w:val="759E7FEF"/>
    <w:rsid w:val="75BA6E4E"/>
    <w:rsid w:val="76171B4F"/>
    <w:rsid w:val="76452B41"/>
    <w:rsid w:val="7682155F"/>
    <w:rsid w:val="77035C3C"/>
    <w:rsid w:val="77313CD6"/>
    <w:rsid w:val="77334767"/>
    <w:rsid w:val="77790089"/>
    <w:rsid w:val="77FA1D1D"/>
    <w:rsid w:val="781F1BE1"/>
    <w:rsid w:val="78873B38"/>
    <w:rsid w:val="78A0530C"/>
    <w:rsid w:val="78AB4366"/>
    <w:rsid w:val="78C23FF4"/>
    <w:rsid w:val="792C76BC"/>
    <w:rsid w:val="79F47917"/>
    <w:rsid w:val="79F521A7"/>
    <w:rsid w:val="7AAC0AB8"/>
    <w:rsid w:val="7AEC35AA"/>
    <w:rsid w:val="7B164E20"/>
    <w:rsid w:val="7B252618"/>
    <w:rsid w:val="7B5B24DE"/>
    <w:rsid w:val="7B5F5B2A"/>
    <w:rsid w:val="7BDA78A7"/>
    <w:rsid w:val="7C077AC2"/>
    <w:rsid w:val="7C217877"/>
    <w:rsid w:val="7C3F0C3C"/>
    <w:rsid w:val="7C8141C6"/>
    <w:rsid w:val="7CC14D89"/>
    <w:rsid w:val="7CD40F25"/>
    <w:rsid w:val="7D627B54"/>
    <w:rsid w:val="7D7A4E9D"/>
    <w:rsid w:val="7DBD489D"/>
    <w:rsid w:val="7DE60D6B"/>
    <w:rsid w:val="7DFA0FA7"/>
    <w:rsid w:val="7E097FCF"/>
    <w:rsid w:val="7E1A2770"/>
    <w:rsid w:val="7ECF5C04"/>
    <w:rsid w:val="7ED76320"/>
    <w:rsid w:val="7F35661F"/>
    <w:rsid w:val="7F547970"/>
    <w:rsid w:val="7F8A5218"/>
    <w:rsid w:val="7FE42AA2"/>
    <w:rsid w:val="9FC7D7A0"/>
    <w:rsid w:val="9FFB1BB0"/>
    <w:rsid w:val="FC9444D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bCs/>
      <w:kern w:val="2"/>
      <w:sz w:val="28"/>
      <w:szCs w:val="24"/>
      <w:lang w:val="en-US" w:eastAsia="zh-CN" w:bidi="ar-SA"/>
    </w:rPr>
  </w:style>
  <w:style w:type="paragraph" w:styleId="3">
    <w:name w:val="heading 1"/>
    <w:basedOn w:val="1"/>
    <w:next w:val="1"/>
    <w:link w:val="23"/>
    <w:qFormat/>
    <w:uiPriority w:val="0"/>
    <w:pPr>
      <w:keepNext/>
      <w:keepLines/>
      <w:spacing w:line="360" w:lineRule="auto"/>
      <w:jc w:val="center"/>
      <w:outlineLvl w:val="0"/>
    </w:pPr>
    <w:rPr>
      <w:b/>
      <w:kern w:val="44"/>
      <w:sz w:val="36"/>
      <w:szCs w:val="44"/>
    </w:rPr>
  </w:style>
  <w:style w:type="paragraph" w:styleId="2">
    <w:name w:val="heading 2"/>
    <w:basedOn w:val="1"/>
    <w:next w:val="1"/>
    <w:qFormat/>
    <w:uiPriority w:val="0"/>
    <w:pPr>
      <w:widowControl/>
      <w:spacing w:before="50" w:beforeLines="50"/>
      <w:jc w:val="left"/>
      <w:outlineLvl w:val="1"/>
    </w:pPr>
    <w:rPr>
      <w:rFonts w:hAnsi="宋体" w:cs="宋体"/>
      <w:b/>
      <w:kern w:val="0"/>
      <w:sz w:val="36"/>
      <w:szCs w:val="36"/>
    </w:rPr>
  </w:style>
  <w:style w:type="paragraph" w:styleId="4">
    <w:name w:val="heading 4"/>
    <w:basedOn w:val="1"/>
    <w:next w:val="1"/>
    <w:unhideWhenUsed/>
    <w:qFormat/>
    <w:uiPriority w:val="9"/>
    <w:pPr>
      <w:keepNext/>
      <w:keepLines/>
      <w:numPr>
        <w:ilvl w:val="3"/>
        <w:numId w:val="1"/>
      </w:numPr>
      <w:spacing w:line="377" w:lineRule="auto"/>
      <w:outlineLvl w:val="3"/>
    </w:pPr>
    <w:rPr>
      <w:rFonts w:asciiTheme="majorHAnsi" w:hAnsiTheme="majorHAnsi" w:cstheme="majorBidi"/>
      <w:b/>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autoSpaceDE w:val="0"/>
      <w:autoSpaceDN w:val="0"/>
      <w:ind w:left="181" w:firstLine="420"/>
    </w:pPr>
    <w:rPr>
      <w:szCs w:val="20"/>
    </w:rPr>
  </w:style>
  <w:style w:type="paragraph" w:styleId="6">
    <w:name w:val="caption"/>
    <w:basedOn w:val="1"/>
    <w:next w:val="1"/>
    <w:qFormat/>
    <w:uiPriority w:val="0"/>
    <w:pPr>
      <w:spacing w:before="152" w:after="160"/>
    </w:pPr>
    <w:rPr>
      <w:rFonts w:ascii="Arial" w:hAnsi="Arial" w:eastAsia="黑体" w:cs="Arial"/>
      <w:bCs w:val="0"/>
      <w:sz w:val="20"/>
      <w:szCs w:val="20"/>
    </w:rPr>
  </w:style>
  <w:style w:type="paragraph" w:styleId="7">
    <w:name w:val="annotation text"/>
    <w:basedOn w:val="1"/>
    <w:qFormat/>
    <w:uiPriority w:val="0"/>
    <w:pPr>
      <w:jc w:val="left"/>
    </w:pPr>
  </w:style>
  <w:style w:type="paragraph" w:styleId="8">
    <w:name w:val="Body Text"/>
    <w:basedOn w:val="1"/>
    <w:qFormat/>
    <w:uiPriority w:val="0"/>
    <w:rPr>
      <w:rFonts w:hAnsi="宋体"/>
      <w:sz w:val="32"/>
      <w:szCs w:val="20"/>
    </w:rPr>
  </w:style>
  <w:style w:type="paragraph" w:styleId="9">
    <w:name w:val="Body Text Indent"/>
    <w:basedOn w:val="1"/>
    <w:qFormat/>
    <w:uiPriority w:val="0"/>
    <w:pPr>
      <w:spacing w:line="480" w:lineRule="exact"/>
      <w:ind w:firstLine="538" w:firstLineChars="192"/>
      <w:jc w:val="left"/>
    </w:pPr>
    <w:rPr>
      <w:bCs w:val="0"/>
    </w:rPr>
  </w:style>
  <w:style w:type="paragraph" w:styleId="10">
    <w:name w:val="Body Text Indent 2"/>
    <w:basedOn w:val="1"/>
    <w:qFormat/>
    <w:uiPriority w:val="0"/>
    <w:pPr>
      <w:spacing w:after="120" w:line="480" w:lineRule="auto"/>
      <w:ind w:left="420" w:leftChars="200"/>
    </w:pPr>
    <w:rPr>
      <w:kern w:val="0"/>
      <w:sz w:val="20"/>
    </w:rPr>
  </w:style>
  <w:style w:type="paragraph" w:styleId="11">
    <w:name w:val="footer"/>
    <w:basedOn w:val="1"/>
    <w:unhideWhenUsed/>
    <w:qFormat/>
    <w:uiPriority w:val="99"/>
    <w:pPr>
      <w:tabs>
        <w:tab w:val="center" w:pos="4153"/>
        <w:tab w:val="right" w:pos="8306"/>
      </w:tabs>
      <w:snapToGrid w:val="0"/>
      <w:jc w:val="left"/>
    </w:pPr>
    <w:rPr>
      <w:sz w:val="18"/>
      <w:szCs w:val="18"/>
    </w:rPr>
  </w:style>
  <w:style w:type="paragraph" w:styleId="1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style>
  <w:style w:type="paragraph" w:styleId="14">
    <w:name w:val="toc 2"/>
    <w:basedOn w:val="1"/>
    <w:next w:val="1"/>
    <w:qFormat/>
    <w:uiPriority w:val="0"/>
    <w:pPr>
      <w:ind w:left="420" w:leftChars="200"/>
    </w:pPr>
  </w:style>
  <w:style w:type="paragraph" w:styleId="15">
    <w:name w:val="Body Text 2"/>
    <w:basedOn w:val="1"/>
    <w:qFormat/>
    <w:uiPriority w:val="0"/>
    <w:pPr>
      <w:spacing w:after="120" w:line="480" w:lineRule="auto"/>
    </w:pPr>
  </w:style>
  <w:style w:type="paragraph" w:styleId="16">
    <w:name w:val="Title"/>
    <w:basedOn w:val="1"/>
    <w:next w:val="1"/>
    <w:qFormat/>
    <w:uiPriority w:val="99"/>
    <w:pPr>
      <w:spacing w:before="240" w:after="60"/>
      <w:jc w:val="left"/>
      <w:outlineLvl w:val="0"/>
    </w:pPr>
    <w:rPr>
      <w:rFonts w:ascii="Cambria" w:hAnsi="Cambria"/>
      <w:b/>
      <w:szCs w:val="32"/>
    </w:rPr>
  </w:style>
  <w:style w:type="paragraph" w:styleId="17">
    <w:name w:val="Body Text First Indent 2"/>
    <w:basedOn w:val="9"/>
    <w:unhideWhenUsed/>
    <w:qFormat/>
    <w:uiPriority w:val="99"/>
    <w:pPr>
      <w:ind w:firstLine="420" w:firstLineChars="200"/>
    </w:pPr>
    <w:rPr>
      <w:rFonts w:ascii="Arial" w:hAnsi="Arial"/>
    </w:r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annotation reference"/>
    <w:qFormat/>
    <w:uiPriority w:val="0"/>
    <w:rPr>
      <w:sz w:val="21"/>
      <w:szCs w:val="21"/>
    </w:rPr>
  </w:style>
  <w:style w:type="character" w:customStyle="1" w:styleId="23">
    <w:name w:val="标题 1 字符"/>
    <w:link w:val="3"/>
    <w:qFormat/>
    <w:uiPriority w:val="0"/>
    <w:rPr>
      <w:b/>
      <w:kern w:val="44"/>
      <w:sz w:val="36"/>
      <w:szCs w:val="44"/>
    </w:rPr>
  </w:style>
  <w:style w:type="paragraph" w:styleId="24">
    <w:name w:val="List Paragraph"/>
    <w:basedOn w:val="1"/>
    <w:qFormat/>
    <w:uiPriority w:val="99"/>
    <w:pPr>
      <w:ind w:firstLine="420" w:firstLineChars="200"/>
    </w:pPr>
    <w:rPr>
      <w:rFonts w:ascii="Times New Roman"/>
      <w:bCs w:val="0"/>
      <w:sz w:val="21"/>
      <w:szCs w:val="20"/>
    </w:rPr>
  </w:style>
  <w:style w:type="character" w:customStyle="1" w:styleId="25">
    <w:name w:val="样式 仿宋"/>
    <w:qFormat/>
    <w:uiPriority w:val="0"/>
    <w:rPr>
      <w:rFonts w:ascii="仿宋" w:hAnsi="仿宋" w:eastAsia="仿宋"/>
      <w:kern w:val="1"/>
    </w:rPr>
  </w:style>
  <w:style w:type="table" w:customStyle="1" w:styleId="26">
    <w:name w:val="网格型1"/>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
    <w:name w:val="D正文"/>
    <w:basedOn w:val="17"/>
    <w:qFormat/>
    <w:uiPriority w:val="0"/>
    <w:pPr>
      <w:spacing w:before="100" w:beforeAutospacing="1" w:after="100" w:afterAutospacing="1"/>
    </w:pPr>
  </w:style>
  <w:style w:type="paragraph" w:customStyle="1" w:styleId="28">
    <w:name w:val="0正文"/>
    <w:basedOn w:val="1"/>
    <w:qFormat/>
    <w:uiPriority w:val="0"/>
    <w:pPr>
      <w:adjustRightInd w:val="0"/>
      <w:ind w:firstLine="480" w:firstLineChars="200"/>
      <w:textAlignment w:val="baseline"/>
    </w:pPr>
    <w:rPr>
      <w:rFonts w:ascii="Verdana" w:hAnsi="Verdana" w:eastAsia="华文中宋"/>
      <w:color w:val="FF0000"/>
    </w:rPr>
  </w:style>
  <w:style w:type="paragraph" w:customStyle="1" w:styleId="29">
    <w:name w:val="列表段落1"/>
    <w:basedOn w:val="1"/>
    <w:qFormat/>
    <w:uiPriority w:val="34"/>
    <w:pPr>
      <w:adjustRightInd w:val="0"/>
      <w:snapToGrid w:val="0"/>
    </w:pPr>
    <w:rPr>
      <w:rFonts w:hAnsi="宋体"/>
    </w:rPr>
  </w:style>
  <w:style w:type="paragraph" w:customStyle="1" w:styleId="30">
    <w:name w:val="列出段落1"/>
    <w:basedOn w:val="1"/>
    <w:qFormat/>
    <w:uiPriority w:val="99"/>
    <w:pPr>
      <w:ind w:firstLine="420" w:firstLineChars="200"/>
    </w:pPr>
  </w:style>
  <w:style w:type="paragraph" w:customStyle="1" w:styleId="31">
    <w:name w:val="石墨文档正文"/>
    <w:qFormat/>
    <w:uiPriority w:val="0"/>
    <w:rPr>
      <w:rFonts w:ascii="微软雅黑" w:hAnsi="微软雅黑" w:eastAsia="微软雅黑" w:cs="微软雅黑"/>
      <w:sz w:val="24"/>
      <w:szCs w:val="24"/>
      <w:lang w:val="en-US" w:eastAsia="zh-CN" w:bidi="ar-SA"/>
    </w:rPr>
  </w:style>
  <w:style w:type="character" w:customStyle="1" w:styleId="32">
    <w:name w:val="font31"/>
    <w:basedOn w:val="20"/>
    <w:qFormat/>
    <w:uiPriority w:val="0"/>
    <w:rPr>
      <w:rFonts w:ascii="微软雅黑" w:hAnsi="微软雅黑" w:eastAsia="微软雅黑" w:cs="微软雅黑"/>
      <w:color w:val="000000"/>
      <w:sz w:val="22"/>
      <w:szCs w:val="22"/>
      <w:u w:val="none"/>
    </w:rPr>
  </w:style>
  <w:style w:type="character" w:customStyle="1" w:styleId="33">
    <w:name w:val="font41"/>
    <w:basedOn w:val="20"/>
    <w:qFormat/>
    <w:uiPriority w:val="0"/>
    <w:rPr>
      <w:rFonts w:ascii="Arial" w:hAnsi="Arial" w:cs="Arial"/>
      <w:color w:val="000000"/>
      <w:sz w:val="22"/>
      <w:szCs w:val="22"/>
      <w:u w:val="none"/>
    </w:rPr>
  </w:style>
  <w:style w:type="character" w:customStyle="1" w:styleId="34">
    <w:name w:val="font51"/>
    <w:basedOn w:val="20"/>
    <w:qFormat/>
    <w:uiPriority w:val="0"/>
    <w:rPr>
      <w:rFonts w:hint="eastAsia" w:ascii="微软雅黑" w:hAnsi="微软雅黑" w:eastAsia="微软雅黑" w:cs="微软雅黑"/>
      <w:color w:val="000000"/>
      <w:sz w:val="22"/>
      <w:szCs w:val="22"/>
      <w:u w:val="none"/>
    </w:rPr>
  </w:style>
  <w:style w:type="character" w:customStyle="1" w:styleId="35">
    <w:name w:val="font01"/>
    <w:basedOn w:val="20"/>
    <w:qFormat/>
    <w:uiPriority w:val="0"/>
    <w:rPr>
      <w:rFonts w:hint="eastAsia" w:ascii="宋体" w:hAnsi="宋体" w:eastAsia="宋体" w:cs="宋体"/>
      <w:color w:val="000000"/>
      <w:sz w:val="22"/>
      <w:szCs w:val="22"/>
      <w:u w:val="none"/>
    </w:rPr>
  </w:style>
  <w:style w:type="character" w:customStyle="1" w:styleId="36">
    <w:name w:val="font21"/>
    <w:basedOn w:val="20"/>
    <w:qFormat/>
    <w:uiPriority w:val="0"/>
    <w:rPr>
      <w:rFonts w:hint="eastAsia" w:ascii="宋体" w:hAnsi="宋体" w:eastAsia="宋体" w:cs="宋体"/>
      <w:color w:val="000000"/>
      <w:sz w:val="20"/>
      <w:szCs w:val="20"/>
      <w:u w:val="none"/>
    </w:rPr>
  </w:style>
  <w:style w:type="character" w:customStyle="1" w:styleId="37">
    <w:name w:val="font61"/>
    <w:basedOn w:val="20"/>
    <w:qFormat/>
    <w:uiPriority w:val="0"/>
    <w:rPr>
      <w:rFonts w:ascii="PingFangSC-Semibold" w:hAnsi="PingFangSC-Semibold" w:eastAsia="PingFangSC-Semibold" w:cs="PingFangSC-Semibold"/>
      <w:color w:val="000000"/>
      <w:sz w:val="22"/>
      <w:szCs w:val="22"/>
      <w:u w:val="none"/>
    </w:rPr>
  </w:style>
  <w:style w:type="character" w:customStyle="1" w:styleId="38">
    <w:name w:val="font71"/>
    <w:basedOn w:val="20"/>
    <w:qFormat/>
    <w:uiPriority w:val="0"/>
    <w:rPr>
      <w:rFonts w:hint="eastAsia" w:ascii="宋体" w:hAnsi="宋体" w:eastAsia="宋体" w:cs="宋体"/>
      <w:color w:val="000000"/>
      <w:sz w:val="22"/>
      <w:szCs w:val="22"/>
      <w:u w:val="none"/>
    </w:rPr>
  </w:style>
  <w:style w:type="character" w:customStyle="1" w:styleId="39">
    <w:name w:val="font81"/>
    <w:basedOn w:val="20"/>
    <w:qFormat/>
    <w:uiPriority w:val="0"/>
    <w:rPr>
      <w:rFonts w:hint="default" w:ascii="Times New Roman" w:hAnsi="Times New Roman" w:cs="Times New Roman"/>
      <w:color w:val="000000"/>
      <w:sz w:val="22"/>
      <w:szCs w:val="22"/>
      <w:u w:val="none"/>
    </w:rPr>
  </w:style>
  <w:style w:type="character" w:customStyle="1" w:styleId="40">
    <w:name w:val="font91"/>
    <w:basedOn w:val="20"/>
    <w:qFormat/>
    <w:uiPriority w:val="0"/>
    <w:rPr>
      <w:rFonts w:hint="default" w:ascii="Times New Roman" w:hAnsi="Times New Roman" w:cs="Times New Roman"/>
      <w:color w:val="000000"/>
      <w:sz w:val="22"/>
      <w:szCs w:val="22"/>
      <w:u w:val="none"/>
    </w:rPr>
  </w:style>
  <w:style w:type="character" w:customStyle="1" w:styleId="41">
    <w:name w:val="font101"/>
    <w:basedOn w:val="20"/>
    <w:qFormat/>
    <w:uiPriority w:val="0"/>
    <w:rPr>
      <w:rFonts w:hint="eastAsia" w:ascii="宋体" w:hAnsi="宋体" w:eastAsia="宋体" w:cs="宋体"/>
      <w:color w:val="000000"/>
      <w:sz w:val="22"/>
      <w:szCs w:val="22"/>
      <w:u w:val="none"/>
    </w:rPr>
  </w:style>
  <w:style w:type="character" w:customStyle="1" w:styleId="42">
    <w:name w:val="font112"/>
    <w:basedOn w:val="20"/>
    <w:qFormat/>
    <w:uiPriority w:val="0"/>
    <w:rPr>
      <w:rFonts w:hint="eastAsia" w:ascii="宋体" w:hAnsi="宋体" w:eastAsia="宋体" w:cs="宋体"/>
      <w:color w:val="000000"/>
      <w:sz w:val="16"/>
      <w:szCs w:val="16"/>
      <w:u w:val="none"/>
    </w:rPr>
  </w:style>
  <w:style w:type="character" w:customStyle="1" w:styleId="43">
    <w:name w:val="font121"/>
    <w:basedOn w:val="20"/>
    <w:qFormat/>
    <w:uiPriority w:val="0"/>
    <w:rPr>
      <w:rFonts w:hint="eastAsia" w:ascii="宋体" w:hAnsi="宋体" w:eastAsia="宋体" w:cs="宋体"/>
      <w:b/>
      <w:bCs/>
      <w:color w:val="000000"/>
      <w:sz w:val="22"/>
      <w:szCs w:val="22"/>
      <w:u w:val="none"/>
    </w:rPr>
  </w:style>
  <w:style w:type="character" w:customStyle="1" w:styleId="44">
    <w:name w:val="font131"/>
    <w:basedOn w:val="20"/>
    <w:qFormat/>
    <w:uiPriority w:val="0"/>
    <w:rPr>
      <w:rFonts w:ascii="Arial-BoldMT" w:hAnsi="Arial-BoldMT" w:eastAsia="Arial-BoldMT" w:cs="Arial-BoldMT"/>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9F4C52-D5CA-4BB1-9C97-446AD91FED1F}">
  <ds:schemaRefs/>
</ds:datastoreItem>
</file>

<file path=docProps/app.xml><?xml version="1.0" encoding="utf-8"?>
<Properties xmlns="http://schemas.openxmlformats.org/officeDocument/2006/extended-properties" xmlns:vt="http://schemas.openxmlformats.org/officeDocument/2006/docPropsVTypes">
  <Template>Normal.dotm</Template>
  <Pages>32</Pages>
  <Words>9115</Words>
  <Characters>9581</Characters>
  <Lines>95</Lines>
  <Paragraphs>26</Paragraphs>
  <TotalTime>0</TotalTime>
  <ScaleCrop>false</ScaleCrop>
  <LinksUpToDate>false</LinksUpToDate>
  <CharactersWithSpaces>10667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2025-08-13T14:39:00Z</dcterms:created>
  <dc:creator>水岸听涛</dc:creator>
  <cp:lastModifiedBy>15103004526</cp:lastModifiedBy>
  <cp:lastPrinted>2025-03-14T16:51:00Z</cp:lastPrinted>
  <dcterms:modified xsi:type="dcterms:W3CDTF">2025-10-20T10:12:06Z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518FC18FFA3D49ECB08AD3909631D4FD_13</vt:lpwstr>
  </property>
  <property fmtid="{D5CDD505-2E9C-101B-9397-08002B2CF9AE}" pid="4" name="KSOTemplateDocerSaveRecord">
    <vt:lpwstr>eyJoZGlkIjoiYWY3MWJhMWRkZWU5MDA3MzBlOGQyOTZlN2I0NDVkOTUiLCJ1c2VySWQiOiI3NTE2MzkyOTIifQ==</vt:lpwstr>
  </property>
</Properties>
</file>