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B3B9">
      <w:pPr>
        <w:spacing w:line="600" w:lineRule="exact"/>
        <w:rPr>
          <w:rFonts w:hint="eastAsia" w:asciiTheme="minorEastAsia" w:hAnsiTheme="minorEastAsia" w:eastAsiaTheme="minorEastAsia" w:cstheme="minorEastAsia"/>
          <w:b/>
          <w:bCs w:val="0"/>
          <w:sz w:val="44"/>
          <w:szCs w:val="44"/>
        </w:rPr>
      </w:pPr>
      <w:r>
        <w:rPr>
          <w:rFonts w:hint="eastAsia" w:ascii="方正公文小标宋" w:hAnsi="方正公文小标宋" w:eastAsia="方正公文小标宋" w:cs="方正公文小标宋"/>
        </w:rPr>
        <w:t xml:space="preserve">    </w:t>
      </w:r>
      <w:bookmarkStart w:id="0" w:name="_Toc415058575"/>
      <w:bookmarkStart w:id="1" w:name="_Toc375561633"/>
      <w:bookmarkStart w:id="2" w:name="_Toc415058499"/>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4F19D2DC">
      <w:pPr>
        <w:spacing w:line="900" w:lineRule="exact"/>
        <w:ind w:firstLine="522" w:firstLineChars="100"/>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2025年药学系实训用中药材</w:t>
      </w:r>
    </w:p>
    <w:p w14:paraId="35E1C6DE">
      <w:pPr>
        <w:spacing w:line="900" w:lineRule="exact"/>
        <w:ind w:firstLine="522" w:firstLineChars="100"/>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购置项目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default"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项目编号：HNWJY-HW20250</w:t>
      </w:r>
      <w:r>
        <w:rPr>
          <w:rFonts w:hint="eastAsia" w:asciiTheme="minorEastAsia" w:hAnsiTheme="minorEastAsia" w:eastAsiaTheme="minorEastAsia" w:cstheme="minorEastAsia"/>
          <w:bCs w:val="0"/>
          <w:sz w:val="36"/>
          <w:szCs w:val="36"/>
          <w:lang w:val="en-US" w:eastAsia="zh-CN"/>
        </w:rPr>
        <w:t>12</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446794"/>
      <w:bookmarkStart w:id="5" w:name="_Toc325731733"/>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06F3A9BD"/>
    <w:p w14:paraId="4CC37CAB">
      <w:pPr>
        <w:adjustRightInd w:val="0"/>
        <w:snapToGrid w:val="0"/>
        <w:spacing w:line="560" w:lineRule="exact"/>
        <w:jc w:val="center"/>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8</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4</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40089788"/>
      <w:bookmarkStart w:id="9" w:name="_Toc356491305"/>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582066"/>
      <w:bookmarkStart w:id="13" w:name="_Toc325620702"/>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3BDE6FE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2025年药学系实训用中药材购置项目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11346B74">
      <w:pPr>
        <w:adjustRightInd w:val="0"/>
        <w:snapToGrid w:val="0"/>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HNWJY-HW20250</w:t>
      </w:r>
      <w:r>
        <w:rPr>
          <w:rFonts w:hint="eastAsia" w:ascii="仿宋" w:hAnsi="仿宋" w:eastAsia="仿宋" w:cs="仿宋"/>
          <w:sz w:val="32"/>
          <w:szCs w:val="32"/>
          <w:lang w:val="en-US" w:eastAsia="zh-CN"/>
        </w:rPr>
        <w:t>12</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4FEDEF9">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2025年药学系实训用中药材购置项目</w:t>
            </w:r>
          </w:p>
          <w:p w14:paraId="10BCA1B2">
            <w:pPr>
              <w:adjustRightInd w:val="0"/>
              <w:snapToGrid w:val="0"/>
              <w:spacing w:line="560" w:lineRule="exact"/>
              <w:jc w:val="center"/>
              <w:rPr>
                <w:rFonts w:hint="eastAsia" w:ascii="仿宋" w:hAnsi="仿宋" w:eastAsia="仿宋" w:cs="仿宋"/>
                <w:sz w:val="32"/>
                <w:szCs w:val="32"/>
              </w:rPr>
            </w:pP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8952.00元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日上午09时30分前（北京时间），逾期未提交报价文件者视为自动放弃本项目报价资格。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地址：海口市秀英区秀华路32号海南卫生健康职业学院行政楼301会议室。</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日上午09时30分前（北京时间）；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地点：海口市秀英区秀华路32号海南卫生健康职业学院行政楼301会议室</w:t>
      </w:r>
      <w:bookmarkStart w:id="107" w:name="_GoBack"/>
      <w:bookmarkEnd w:id="107"/>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联系人：凌老师、喻老师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32979555"/>
      <w:bookmarkStart w:id="19" w:name="_Toc325620714"/>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27176"/>
      <w:bookmarkStart w:id="22" w:name="_Toc325620715"/>
      <w:bookmarkStart w:id="23" w:name="_Toc33297955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325620716"/>
      <w:bookmarkStart w:id="25" w:name="_Toc27961"/>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41"/>
      <w:bookmarkStart w:id="34" w:name="_Toc332979560"/>
      <w:bookmarkStart w:id="35" w:name="_Toc325620719"/>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332979561"/>
      <w:bookmarkStart w:id="37" w:name="_Toc7846"/>
      <w:bookmarkStart w:id="38" w:name="_Toc18290"/>
    </w:p>
    <w:p w14:paraId="2EBBB3DC">
      <w:pPr>
        <w:widowControl/>
        <w:jc w:val="left"/>
        <w:rPr>
          <w:rFonts w:hint="eastAsia"/>
        </w:rPr>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32979562"/>
      <w:bookmarkStart w:id="40" w:name="_Toc325620721"/>
      <w:bookmarkStart w:id="41" w:name="_Toc8997"/>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25620722"/>
      <w:bookmarkStart w:id="43" w:name="_Toc332979563"/>
      <w:bookmarkStart w:id="44" w:name="_Toc16534"/>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2025年药学系实训用中药材购置合同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日依据2025年药学系实训用中药材购置项目（项目编号：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1327"/>
      <w:bookmarkStart w:id="46" w:name="_Toc325620723"/>
      <w:bookmarkStart w:id="47" w:name="_Toc356490388"/>
      <w:bookmarkStart w:id="48" w:name="_Toc40089798"/>
      <w:bookmarkStart w:id="49" w:name="_Toc905"/>
      <w:bookmarkStart w:id="50" w:name="_Toc28109"/>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rPr>
      </w:pPr>
      <w:r>
        <w:rPr>
          <w:rFonts w:hint="eastAsia" w:ascii="仿宋" w:hAnsi="仿宋" w:eastAsia="仿宋" w:cs="仿宋"/>
          <w:sz w:val="32"/>
          <w:szCs w:val="32"/>
        </w:rPr>
        <w:t>1.采购项目名称：2025年药学系实训用中药材购置项目</w:t>
      </w:r>
    </w:p>
    <w:p w14:paraId="4D04B354">
      <w:pPr>
        <w:adjustRightInd w:val="0"/>
        <w:snapToGrid w:val="0"/>
        <w:spacing w:line="560" w:lineRule="exact"/>
        <w:ind w:firstLine="640" w:firstLineChars="200"/>
        <w:jc w:val="left"/>
        <w:rPr>
          <w:rFonts w:hint="default"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w:t>
      </w:r>
      <w:r>
        <w:rPr>
          <w:rFonts w:hint="eastAsia" w:ascii="仿宋" w:hAnsi="仿宋" w:eastAsia="仿宋" w:cs="仿宋"/>
          <w:sz w:val="32"/>
          <w:szCs w:val="32"/>
          <w:lang w:val="en-US" w:eastAsia="zh-CN"/>
        </w:rPr>
        <w:t>12</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3.项目预算：8952.00元。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三、技术需求</w:t>
      </w:r>
    </w:p>
    <w:tbl>
      <w:tblPr>
        <w:tblStyle w:val="18"/>
        <w:tblW w:w="8472" w:type="dxa"/>
        <w:jc w:val="center"/>
        <w:tblLayout w:type="autofit"/>
        <w:tblCellMar>
          <w:top w:w="0" w:type="dxa"/>
          <w:left w:w="108" w:type="dxa"/>
          <w:bottom w:w="0" w:type="dxa"/>
          <w:right w:w="108" w:type="dxa"/>
        </w:tblCellMar>
      </w:tblPr>
      <w:tblGrid>
        <w:gridCol w:w="1020"/>
        <w:gridCol w:w="4236"/>
        <w:gridCol w:w="1176"/>
        <w:gridCol w:w="1020"/>
        <w:gridCol w:w="1020"/>
      </w:tblGrid>
      <w:tr w14:paraId="3E526C7D">
        <w:tblPrEx>
          <w:tblCellMar>
            <w:top w:w="0" w:type="dxa"/>
            <w:left w:w="108" w:type="dxa"/>
            <w:bottom w:w="0" w:type="dxa"/>
            <w:right w:w="108" w:type="dxa"/>
          </w:tblCellMar>
        </w:tblPrEx>
        <w:trPr>
          <w:trHeight w:val="315"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5CA98EA4">
            <w:pPr>
              <w:widowControl/>
              <w:jc w:val="center"/>
              <w:rPr>
                <w:rFonts w:ascii="仿宋" w:hAnsi="仿宋" w:eastAsia="仿宋" w:cs="宋体"/>
                <w:bCs w:val="0"/>
                <w:kern w:val="0"/>
                <w:sz w:val="32"/>
                <w:szCs w:val="32"/>
              </w:rPr>
            </w:pPr>
            <w:r>
              <w:rPr>
                <w:rFonts w:hint="eastAsia" w:ascii="仿宋" w:hAnsi="仿宋" w:eastAsia="仿宋" w:cs="宋体"/>
                <w:bCs w:val="0"/>
                <w:kern w:val="0"/>
                <w:sz w:val="32"/>
                <w:szCs w:val="32"/>
              </w:rPr>
              <w:t>序号</w:t>
            </w:r>
          </w:p>
        </w:tc>
        <w:tc>
          <w:tcPr>
            <w:tcW w:w="4236" w:type="dxa"/>
            <w:tcBorders>
              <w:top w:val="single" w:color="auto" w:sz="4" w:space="0"/>
              <w:left w:val="nil"/>
              <w:bottom w:val="single" w:color="auto" w:sz="4" w:space="0"/>
              <w:right w:val="single" w:color="auto" w:sz="4" w:space="0"/>
            </w:tcBorders>
            <w:noWrap/>
            <w:vAlign w:val="center"/>
          </w:tcPr>
          <w:p w14:paraId="6FD2143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货物名称</w:t>
            </w:r>
          </w:p>
        </w:tc>
        <w:tc>
          <w:tcPr>
            <w:tcW w:w="1176" w:type="dxa"/>
            <w:tcBorders>
              <w:top w:val="single" w:color="auto" w:sz="4" w:space="0"/>
              <w:left w:val="nil"/>
              <w:bottom w:val="single" w:color="auto" w:sz="4" w:space="0"/>
              <w:right w:val="single" w:color="auto" w:sz="4" w:space="0"/>
            </w:tcBorders>
            <w:noWrap/>
            <w:vAlign w:val="center"/>
          </w:tcPr>
          <w:p w14:paraId="695DD49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规格</w:t>
            </w:r>
          </w:p>
        </w:tc>
        <w:tc>
          <w:tcPr>
            <w:tcW w:w="1020" w:type="dxa"/>
            <w:tcBorders>
              <w:top w:val="single" w:color="auto" w:sz="4" w:space="0"/>
              <w:left w:val="nil"/>
              <w:bottom w:val="single" w:color="auto" w:sz="4" w:space="0"/>
              <w:right w:val="single" w:color="auto" w:sz="4" w:space="0"/>
            </w:tcBorders>
            <w:noWrap/>
            <w:vAlign w:val="center"/>
          </w:tcPr>
          <w:p w14:paraId="4FB0E28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单位</w:t>
            </w:r>
          </w:p>
        </w:tc>
        <w:tc>
          <w:tcPr>
            <w:tcW w:w="1020" w:type="dxa"/>
            <w:tcBorders>
              <w:top w:val="single" w:color="auto" w:sz="4" w:space="0"/>
              <w:left w:val="nil"/>
              <w:bottom w:val="single" w:color="auto" w:sz="4" w:space="0"/>
              <w:right w:val="single" w:color="auto" w:sz="4" w:space="0"/>
            </w:tcBorders>
            <w:noWrap/>
            <w:vAlign w:val="center"/>
          </w:tcPr>
          <w:p w14:paraId="4FEFD1D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数量</w:t>
            </w:r>
          </w:p>
        </w:tc>
      </w:tr>
      <w:tr w14:paraId="1886FFA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B18DE8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w:t>
            </w:r>
          </w:p>
        </w:tc>
        <w:tc>
          <w:tcPr>
            <w:tcW w:w="4236" w:type="dxa"/>
            <w:tcBorders>
              <w:top w:val="nil"/>
              <w:left w:val="nil"/>
              <w:bottom w:val="single" w:color="auto" w:sz="4" w:space="0"/>
              <w:right w:val="single" w:color="auto" w:sz="4" w:space="0"/>
            </w:tcBorders>
            <w:vAlign w:val="center"/>
          </w:tcPr>
          <w:p w14:paraId="041D1F0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苏木</w:t>
            </w:r>
          </w:p>
        </w:tc>
        <w:tc>
          <w:tcPr>
            <w:tcW w:w="1176" w:type="dxa"/>
            <w:tcBorders>
              <w:top w:val="nil"/>
              <w:left w:val="nil"/>
              <w:bottom w:val="single" w:color="auto" w:sz="4" w:space="0"/>
              <w:right w:val="single" w:color="auto" w:sz="4" w:space="0"/>
            </w:tcBorders>
            <w:vAlign w:val="center"/>
          </w:tcPr>
          <w:p w14:paraId="6C3C4ED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0A9A59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743364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0231711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E09FDF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w:t>
            </w:r>
          </w:p>
        </w:tc>
        <w:tc>
          <w:tcPr>
            <w:tcW w:w="4236" w:type="dxa"/>
            <w:tcBorders>
              <w:top w:val="nil"/>
              <w:left w:val="nil"/>
              <w:bottom w:val="single" w:color="auto" w:sz="4" w:space="0"/>
              <w:right w:val="single" w:color="auto" w:sz="4" w:space="0"/>
            </w:tcBorders>
            <w:vAlign w:val="center"/>
          </w:tcPr>
          <w:p w14:paraId="30618A5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防风</w:t>
            </w:r>
          </w:p>
        </w:tc>
        <w:tc>
          <w:tcPr>
            <w:tcW w:w="1176" w:type="dxa"/>
            <w:tcBorders>
              <w:top w:val="nil"/>
              <w:left w:val="nil"/>
              <w:bottom w:val="single" w:color="auto" w:sz="4" w:space="0"/>
              <w:right w:val="single" w:color="auto" w:sz="4" w:space="0"/>
            </w:tcBorders>
            <w:vAlign w:val="center"/>
          </w:tcPr>
          <w:p w14:paraId="2905AEC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A0F13C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F77CE4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921097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DCBEC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w:t>
            </w:r>
          </w:p>
        </w:tc>
        <w:tc>
          <w:tcPr>
            <w:tcW w:w="4236" w:type="dxa"/>
            <w:tcBorders>
              <w:top w:val="nil"/>
              <w:left w:val="nil"/>
              <w:bottom w:val="single" w:color="auto" w:sz="4" w:space="0"/>
              <w:right w:val="single" w:color="auto" w:sz="4" w:space="0"/>
            </w:tcBorders>
            <w:vAlign w:val="center"/>
          </w:tcPr>
          <w:p w14:paraId="5344601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羌活</w:t>
            </w:r>
          </w:p>
        </w:tc>
        <w:tc>
          <w:tcPr>
            <w:tcW w:w="1176" w:type="dxa"/>
            <w:tcBorders>
              <w:top w:val="nil"/>
              <w:left w:val="nil"/>
              <w:bottom w:val="single" w:color="auto" w:sz="4" w:space="0"/>
              <w:right w:val="single" w:color="auto" w:sz="4" w:space="0"/>
            </w:tcBorders>
            <w:vAlign w:val="center"/>
          </w:tcPr>
          <w:p w14:paraId="0127A475">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8DCDC4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BFB0CA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F5EED9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375911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w:t>
            </w:r>
          </w:p>
        </w:tc>
        <w:tc>
          <w:tcPr>
            <w:tcW w:w="4236" w:type="dxa"/>
            <w:tcBorders>
              <w:top w:val="nil"/>
              <w:left w:val="nil"/>
              <w:bottom w:val="single" w:color="auto" w:sz="4" w:space="0"/>
              <w:right w:val="single" w:color="auto" w:sz="4" w:space="0"/>
            </w:tcBorders>
            <w:vAlign w:val="center"/>
          </w:tcPr>
          <w:p w14:paraId="404D192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大青叶</w:t>
            </w:r>
          </w:p>
        </w:tc>
        <w:tc>
          <w:tcPr>
            <w:tcW w:w="1176" w:type="dxa"/>
            <w:tcBorders>
              <w:top w:val="nil"/>
              <w:left w:val="nil"/>
              <w:bottom w:val="single" w:color="auto" w:sz="4" w:space="0"/>
              <w:right w:val="single" w:color="auto" w:sz="4" w:space="0"/>
            </w:tcBorders>
            <w:vAlign w:val="center"/>
          </w:tcPr>
          <w:p w14:paraId="68CA73D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9CAB8F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12624C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04DDD8B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7CCC1C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c>
          <w:tcPr>
            <w:tcW w:w="4236" w:type="dxa"/>
            <w:tcBorders>
              <w:top w:val="nil"/>
              <w:left w:val="nil"/>
              <w:bottom w:val="single" w:color="auto" w:sz="4" w:space="0"/>
              <w:right w:val="single" w:color="auto" w:sz="4" w:space="0"/>
            </w:tcBorders>
            <w:vAlign w:val="center"/>
          </w:tcPr>
          <w:p w14:paraId="25318FB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白头翁</w:t>
            </w:r>
          </w:p>
        </w:tc>
        <w:tc>
          <w:tcPr>
            <w:tcW w:w="1176" w:type="dxa"/>
            <w:tcBorders>
              <w:top w:val="nil"/>
              <w:left w:val="nil"/>
              <w:bottom w:val="single" w:color="auto" w:sz="4" w:space="0"/>
              <w:right w:val="single" w:color="auto" w:sz="4" w:space="0"/>
            </w:tcBorders>
            <w:vAlign w:val="center"/>
          </w:tcPr>
          <w:p w14:paraId="7962EBF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30455E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861393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BAF10F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DCEB79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w:t>
            </w:r>
          </w:p>
        </w:tc>
        <w:tc>
          <w:tcPr>
            <w:tcW w:w="4236" w:type="dxa"/>
            <w:tcBorders>
              <w:top w:val="nil"/>
              <w:left w:val="nil"/>
              <w:bottom w:val="single" w:color="auto" w:sz="4" w:space="0"/>
              <w:right w:val="single" w:color="auto" w:sz="4" w:space="0"/>
            </w:tcBorders>
            <w:vAlign w:val="center"/>
          </w:tcPr>
          <w:p w14:paraId="0E6726E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板蓝根</w:t>
            </w:r>
          </w:p>
        </w:tc>
        <w:tc>
          <w:tcPr>
            <w:tcW w:w="1176" w:type="dxa"/>
            <w:tcBorders>
              <w:top w:val="nil"/>
              <w:left w:val="nil"/>
              <w:bottom w:val="single" w:color="auto" w:sz="4" w:space="0"/>
              <w:right w:val="single" w:color="auto" w:sz="4" w:space="0"/>
            </w:tcBorders>
            <w:vAlign w:val="center"/>
          </w:tcPr>
          <w:p w14:paraId="264B509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25F9C4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8FC21F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C5020D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629A0B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w:t>
            </w:r>
          </w:p>
        </w:tc>
        <w:tc>
          <w:tcPr>
            <w:tcW w:w="4236" w:type="dxa"/>
            <w:tcBorders>
              <w:top w:val="nil"/>
              <w:left w:val="nil"/>
              <w:bottom w:val="single" w:color="auto" w:sz="4" w:space="0"/>
              <w:right w:val="single" w:color="auto" w:sz="4" w:space="0"/>
            </w:tcBorders>
            <w:vAlign w:val="center"/>
          </w:tcPr>
          <w:p w14:paraId="2607DBB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玄参</w:t>
            </w:r>
          </w:p>
        </w:tc>
        <w:tc>
          <w:tcPr>
            <w:tcW w:w="1176" w:type="dxa"/>
            <w:tcBorders>
              <w:top w:val="nil"/>
              <w:left w:val="nil"/>
              <w:bottom w:val="single" w:color="auto" w:sz="4" w:space="0"/>
              <w:right w:val="single" w:color="auto" w:sz="4" w:space="0"/>
            </w:tcBorders>
            <w:vAlign w:val="center"/>
          </w:tcPr>
          <w:p w14:paraId="16857EC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A5E97E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9F738F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DC9F48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909715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8</w:t>
            </w:r>
          </w:p>
        </w:tc>
        <w:tc>
          <w:tcPr>
            <w:tcW w:w="4236" w:type="dxa"/>
            <w:tcBorders>
              <w:top w:val="nil"/>
              <w:left w:val="nil"/>
              <w:bottom w:val="single" w:color="auto" w:sz="4" w:space="0"/>
              <w:right w:val="single" w:color="auto" w:sz="4" w:space="0"/>
            </w:tcBorders>
            <w:vAlign w:val="center"/>
          </w:tcPr>
          <w:p w14:paraId="4A4CD8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郁李仁</w:t>
            </w:r>
          </w:p>
        </w:tc>
        <w:tc>
          <w:tcPr>
            <w:tcW w:w="1176" w:type="dxa"/>
            <w:tcBorders>
              <w:top w:val="nil"/>
              <w:left w:val="nil"/>
              <w:bottom w:val="single" w:color="auto" w:sz="4" w:space="0"/>
              <w:right w:val="single" w:color="auto" w:sz="4" w:space="0"/>
            </w:tcBorders>
            <w:vAlign w:val="center"/>
          </w:tcPr>
          <w:p w14:paraId="01125AA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82BEB3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7EA97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7F8FD4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7B7DF9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9</w:t>
            </w:r>
          </w:p>
        </w:tc>
        <w:tc>
          <w:tcPr>
            <w:tcW w:w="4236" w:type="dxa"/>
            <w:tcBorders>
              <w:top w:val="nil"/>
              <w:left w:val="nil"/>
              <w:bottom w:val="single" w:color="auto" w:sz="4" w:space="0"/>
              <w:right w:val="single" w:color="auto" w:sz="4" w:space="0"/>
            </w:tcBorders>
            <w:vAlign w:val="center"/>
          </w:tcPr>
          <w:p w14:paraId="4408EB2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木瓜</w:t>
            </w:r>
          </w:p>
        </w:tc>
        <w:tc>
          <w:tcPr>
            <w:tcW w:w="1176" w:type="dxa"/>
            <w:tcBorders>
              <w:top w:val="nil"/>
              <w:left w:val="nil"/>
              <w:bottom w:val="single" w:color="auto" w:sz="4" w:space="0"/>
              <w:right w:val="single" w:color="auto" w:sz="4" w:space="0"/>
            </w:tcBorders>
            <w:vAlign w:val="center"/>
          </w:tcPr>
          <w:p w14:paraId="2531644D">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2E1957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330F37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2233BED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618D5C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w:t>
            </w:r>
          </w:p>
        </w:tc>
        <w:tc>
          <w:tcPr>
            <w:tcW w:w="4236" w:type="dxa"/>
            <w:tcBorders>
              <w:top w:val="nil"/>
              <w:left w:val="nil"/>
              <w:bottom w:val="single" w:color="auto" w:sz="4" w:space="0"/>
              <w:right w:val="single" w:color="auto" w:sz="4" w:space="0"/>
            </w:tcBorders>
            <w:vAlign w:val="center"/>
          </w:tcPr>
          <w:p w14:paraId="41CEC08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桑寄生</w:t>
            </w:r>
          </w:p>
        </w:tc>
        <w:tc>
          <w:tcPr>
            <w:tcW w:w="1176" w:type="dxa"/>
            <w:tcBorders>
              <w:top w:val="nil"/>
              <w:left w:val="nil"/>
              <w:bottom w:val="single" w:color="auto" w:sz="4" w:space="0"/>
              <w:right w:val="single" w:color="auto" w:sz="4" w:space="0"/>
            </w:tcBorders>
            <w:vAlign w:val="center"/>
          </w:tcPr>
          <w:p w14:paraId="33BC2D6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52734D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C2212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D89204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62CC38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11</w:t>
            </w:r>
          </w:p>
        </w:tc>
        <w:tc>
          <w:tcPr>
            <w:tcW w:w="4236" w:type="dxa"/>
            <w:tcBorders>
              <w:top w:val="nil"/>
              <w:left w:val="nil"/>
              <w:bottom w:val="single" w:color="auto" w:sz="4" w:space="0"/>
              <w:right w:val="single" w:color="auto" w:sz="4" w:space="0"/>
            </w:tcBorders>
            <w:vAlign w:val="center"/>
          </w:tcPr>
          <w:p w14:paraId="6E54E25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制川乌</w:t>
            </w:r>
          </w:p>
        </w:tc>
        <w:tc>
          <w:tcPr>
            <w:tcW w:w="1176" w:type="dxa"/>
            <w:tcBorders>
              <w:top w:val="nil"/>
              <w:left w:val="nil"/>
              <w:bottom w:val="single" w:color="auto" w:sz="4" w:space="0"/>
              <w:right w:val="single" w:color="auto" w:sz="4" w:space="0"/>
            </w:tcBorders>
            <w:vAlign w:val="center"/>
          </w:tcPr>
          <w:p w14:paraId="497BD91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F44AEF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8F8D82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19E4288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0A7B1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12</w:t>
            </w:r>
          </w:p>
        </w:tc>
        <w:tc>
          <w:tcPr>
            <w:tcW w:w="4236" w:type="dxa"/>
            <w:tcBorders>
              <w:top w:val="nil"/>
              <w:left w:val="nil"/>
              <w:bottom w:val="single" w:color="auto" w:sz="4" w:space="0"/>
              <w:right w:val="single" w:color="auto" w:sz="4" w:space="0"/>
            </w:tcBorders>
            <w:vAlign w:val="center"/>
          </w:tcPr>
          <w:p w14:paraId="0C491C9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制草乌</w:t>
            </w:r>
          </w:p>
        </w:tc>
        <w:tc>
          <w:tcPr>
            <w:tcW w:w="1176" w:type="dxa"/>
            <w:tcBorders>
              <w:top w:val="nil"/>
              <w:left w:val="nil"/>
              <w:bottom w:val="single" w:color="auto" w:sz="4" w:space="0"/>
              <w:right w:val="single" w:color="auto" w:sz="4" w:space="0"/>
            </w:tcBorders>
            <w:vAlign w:val="center"/>
          </w:tcPr>
          <w:p w14:paraId="6BDB2D0A">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25BC47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258C7EA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6D8436E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0F2DA8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13</w:t>
            </w:r>
          </w:p>
        </w:tc>
        <w:tc>
          <w:tcPr>
            <w:tcW w:w="4236" w:type="dxa"/>
            <w:tcBorders>
              <w:top w:val="nil"/>
              <w:left w:val="nil"/>
              <w:bottom w:val="single" w:color="auto" w:sz="4" w:space="0"/>
              <w:right w:val="single" w:color="auto" w:sz="4" w:space="0"/>
            </w:tcBorders>
            <w:vAlign w:val="center"/>
          </w:tcPr>
          <w:p w14:paraId="5FB5EB3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乌梢蛇</w:t>
            </w:r>
          </w:p>
        </w:tc>
        <w:tc>
          <w:tcPr>
            <w:tcW w:w="1176" w:type="dxa"/>
            <w:tcBorders>
              <w:top w:val="nil"/>
              <w:left w:val="nil"/>
              <w:bottom w:val="single" w:color="auto" w:sz="4" w:space="0"/>
              <w:right w:val="single" w:color="auto" w:sz="4" w:space="0"/>
            </w:tcBorders>
            <w:vAlign w:val="center"/>
          </w:tcPr>
          <w:p w14:paraId="610E9BF0">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8812E0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条</w:t>
            </w:r>
          </w:p>
        </w:tc>
        <w:tc>
          <w:tcPr>
            <w:tcW w:w="1020" w:type="dxa"/>
            <w:tcBorders>
              <w:top w:val="nil"/>
              <w:left w:val="nil"/>
              <w:bottom w:val="single" w:color="auto" w:sz="4" w:space="0"/>
              <w:right w:val="single" w:color="auto" w:sz="4" w:space="0"/>
            </w:tcBorders>
            <w:vAlign w:val="center"/>
          </w:tcPr>
          <w:p w14:paraId="5ED0060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w:t>
            </w:r>
          </w:p>
        </w:tc>
      </w:tr>
      <w:tr w14:paraId="08346457">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43BE9A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14</w:t>
            </w:r>
          </w:p>
        </w:tc>
        <w:tc>
          <w:tcPr>
            <w:tcW w:w="4236" w:type="dxa"/>
            <w:tcBorders>
              <w:top w:val="nil"/>
              <w:left w:val="nil"/>
              <w:bottom w:val="single" w:color="auto" w:sz="4" w:space="0"/>
              <w:right w:val="single" w:color="auto" w:sz="4" w:space="0"/>
            </w:tcBorders>
            <w:vAlign w:val="center"/>
          </w:tcPr>
          <w:p w14:paraId="097F977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蕲蛇</w:t>
            </w:r>
          </w:p>
        </w:tc>
        <w:tc>
          <w:tcPr>
            <w:tcW w:w="1176" w:type="dxa"/>
            <w:tcBorders>
              <w:top w:val="nil"/>
              <w:left w:val="nil"/>
              <w:bottom w:val="single" w:color="auto" w:sz="4" w:space="0"/>
              <w:right w:val="single" w:color="auto" w:sz="4" w:space="0"/>
            </w:tcBorders>
            <w:vAlign w:val="center"/>
          </w:tcPr>
          <w:p w14:paraId="7EE37ED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8869F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条</w:t>
            </w:r>
          </w:p>
        </w:tc>
        <w:tc>
          <w:tcPr>
            <w:tcW w:w="1020" w:type="dxa"/>
            <w:tcBorders>
              <w:top w:val="nil"/>
              <w:left w:val="nil"/>
              <w:bottom w:val="single" w:color="auto" w:sz="4" w:space="0"/>
              <w:right w:val="single" w:color="auto" w:sz="4" w:space="0"/>
            </w:tcBorders>
            <w:vAlign w:val="center"/>
          </w:tcPr>
          <w:p w14:paraId="5FA997E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w:t>
            </w:r>
          </w:p>
        </w:tc>
      </w:tr>
      <w:tr w14:paraId="63B3055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CFA09A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15</w:t>
            </w:r>
          </w:p>
        </w:tc>
        <w:tc>
          <w:tcPr>
            <w:tcW w:w="4236" w:type="dxa"/>
            <w:tcBorders>
              <w:top w:val="nil"/>
              <w:left w:val="nil"/>
              <w:bottom w:val="single" w:color="auto" w:sz="4" w:space="0"/>
              <w:right w:val="single" w:color="auto" w:sz="4" w:space="0"/>
            </w:tcBorders>
            <w:vAlign w:val="center"/>
          </w:tcPr>
          <w:p w14:paraId="7F51911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豨莶草</w:t>
            </w:r>
          </w:p>
        </w:tc>
        <w:tc>
          <w:tcPr>
            <w:tcW w:w="1176" w:type="dxa"/>
            <w:tcBorders>
              <w:top w:val="nil"/>
              <w:left w:val="nil"/>
              <w:bottom w:val="single" w:color="auto" w:sz="4" w:space="0"/>
              <w:right w:val="single" w:color="auto" w:sz="4" w:space="0"/>
            </w:tcBorders>
            <w:vAlign w:val="center"/>
          </w:tcPr>
          <w:p w14:paraId="7738842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E33F51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A4E2A2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2E86D07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5E17E4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16</w:t>
            </w:r>
          </w:p>
        </w:tc>
        <w:tc>
          <w:tcPr>
            <w:tcW w:w="4236" w:type="dxa"/>
            <w:tcBorders>
              <w:top w:val="nil"/>
              <w:left w:val="nil"/>
              <w:bottom w:val="single" w:color="auto" w:sz="4" w:space="0"/>
              <w:right w:val="single" w:color="auto" w:sz="4" w:space="0"/>
            </w:tcBorders>
            <w:vAlign w:val="center"/>
          </w:tcPr>
          <w:p w14:paraId="16B72EA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草豆蔻</w:t>
            </w:r>
          </w:p>
        </w:tc>
        <w:tc>
          <w:tcPr>
            <w:tcW w:w="1176" w:type="dxa"/>
            <w:tcBorders>
              <w:top w:val="nil"/>
              <w:left w:val="nil"/>
              <w:bottom w:val="single" w:color="auto" w:sz="4" w:space="0"/>
              <w:right w:val="single" w:color="auto" w:sz="4" w:space="0"/>
            </w:tcBorders>
            <w:vAlign w:val="center"/>
          </w:tcPr>
          <w:p w14:paraId="0C86B9D5">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793D41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3BE9D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043E470">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4F9677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17</w:t>
            </w:r>
          </w:p>
        </w:tc>
        <w:tc>
          <w:tcPr>
            <w:tcW w:w="4236" w:type="dxa"/>
            <w:tcBorders>
              <w:top w:val="nil"/>
              <w:left w:val="nil"/>
              <w:bottom w:val="single" w:color="auto" w:sz="4" w:space="0"/>
              <w:right w:val="single" w:color="auto" w:sz="4" w:space="0"/>
            </w:tcBorders>
            <w:vAlign w:val="center"/>
          </w:tcPr>
          <w:p w14:paraId="6F03E79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薏苡仁</w:t>
            </w:r>
          </w:p>
        </w:tc>
        <w:tc>
          <w:tcPr>
            <w:tcW w:w="1176" w:type="dxa"/>
            <w:tcBorders>
              <w:top w:val="nil"/>
              <w:left w:val="nil"/>
              <w:bottom w:val="single" w:color="auto" w:sz="4" w:space="0"/>
              <w:right w:val="single" w:color="auto" w:sz="4" w:space="0"/>
            </w:tcBorders>
            <w:vAlign w:val="center"/>
          </w:tcPr>
          <w:p w14:paraId="03D8B37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B69E92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9230A0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F71A6E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79F843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18</w:t>
            </w:r>
          </w:p>
        </w:tc>
        <w:tc>
          <w:tcPr>
            <w:tcW w:w="4236" w:type="dxa"/>
            <w:tcBorders>
              <w:top w:val="nil"/>
              <w:left w:val="nil"/>
              <w:bottom w:val="single" w:color="auto" w:sz="4" w:space="0"/>
              <w:right w:val="single" w:color="auto" w:sz="4" w:space="0"/>
            </w:tcBorders>
            <w:vAlign w:val="center"/>
          </w:tcPr>
          <w:p w14:paraId="3DA0F33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泽泻</w:t>
            </w:r>
          </w:p>
        </w:tc>
        <w:tc>
          <w:tcPr>
            <w:tcW w:w="1176" w:type="dxa"/>
            <w:tcBorders>
              <w:top w:val="nil"/>
              <w:left w:val="nil"/>
              <w:bottom w:val="single" w:color="auto" w:sz="4" w:space="0"/>
              <w:right w:val="single" w:color="auto" w:sz="4" w:space="0"/>
            </w:tcBorders>
            <w:vAlign w:val="center"/>
          </w:tcPr>
          <w:p w14:paraId="629EB9AD">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E460CF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06D62B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2B82A99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61BE4C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19</w:t>
            </w:r>
          </w:p>
        </w:tc>
        <w:tc>
          <w:tcPr>
            <w:tcW w:w="4236" w:type="dxa"/>
            <w:tcBorders>
              <w:top w:val="nil"/>
              <w:left w:val="nil"/>
              <w:bottom w:val="single" w:color="auto" w:sz="4" w:space="0"/>
              <w:right w:val="single" w:color="auto" w:sz="4" w:space="0"/>
            </w:tcBorders>
            <w:vAlign w:val="center"/>
          </w:tcPr>
          <w:p w14:paraId="1723598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茵陈</w:t>
            </w:r>
          </w:p>
        </w:tc>
        <w:tc>
          <w:tcPr>
            <w:tcW w:w="1176" w:type="dxa"/>
            <w:tcBorders>
              <w:top w:val="nil"/>
              <w:left w:val="nil"/>
              <w:bottom w:val="single" w:color="auto" w:sz="4" w:space="0"/>
              <w:right w:val="single" w:color="auto" w:sz="4" w:space="0"/>
            </w:tcBorders>
            <w:vAlign w:val="center"/>
          </w:tcPr>
          <w:p w14:paraId="422DE68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5F1D77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9E46EF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9C10AA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EAFE85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w:t>
            </w:r>
          </w:p>
        </w:tc>
        <w:tc>
          <w:tcPr>
            <w:tcW w:w="4236" w:type="dxa"/>
            <w:tcBorders>
              <w:top w:val="nil"/>
              <w:left w:val="nil"/>
              <w:bottom w:val="single" w:color="auto" w:sz="4" w:space="0"/>
              <w:right w:val="single" w:color="auto" w:sz="4" w:space="0"/>
            </w:tcBorders>
            <w:vAlign w:val="center"/>
          </w:tcPr>
          <w:p w14:paraId="4D71CC3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金钱草</w:t>
            </w:r>
          </w:p>
        </w:tc>
        <w:tc>
          <w:tcPr>
            <w:tcW w:w="1176" w:type="dxa"/>
            <w:tcBorders>
              <w:top w:val="nil"/>
              <w:left w:val="nil"/>
              <w:bottom w:val="single" w:color="auto" w:sz="4" w:space="0"/>
              <w:right w:val="single" w:color="auto" w:sz="4" w:space="0"/>
            </w:tcBorders>
            <w:vAlign w:val="center"/>
          </w:tcPr>
          <w:p w14:paraId="21B5308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F147C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00277F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26B71C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DC1C2C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21</w:t>
            </w:r>
          </w:p>
        </w:tc>
        <w:tc>
          <w:tcPr>
            <w:tcW w:w="4236" w:type="dxa"/>
            <w:tcBorders>
              <w:top w:val="nil"/>
              <w:left w:val="nil"/>
              <w:bottom w:val="single" w:color="auto" w:sz="4" w:space="0"/>
              <w:right w:val="single" w:color="auto" w:sz="4" w:space="0"/>
            </w:tcBorders>
            <w:vAlign w:val="center"/>
          </w:tcPr>
          <w:p w14:paraId="5D59B1D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冬瓜皮</w:t>
            </w:r>
          </w:p>
        </w:tc>
        <w:tc>
          <w:tcPr>
            <w:tcW w:w="1176" w:type="dxa"/>
            <w:tcBorders>
              <w:top w:val="nil"/>
              <w:left w:val="nil"/>
              <w:bottom w:val="single" w:color="auto" w:sz="4" w:space="0"/>
              <w:right w:val="single" w:color="auto" w:sz="4" w:space="0"/>
            </w:tcBorders>
            <w:vAlign w:val="center"/>
          </w:tcPr>
          <w:p w14:paraId="550880B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23FA14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E1A4F9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0F549F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EF89B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22</w:t>
            </w:r>
          </w:p>
        </w:tc>
        <w:tc>
          <w:tcPr>
            <w:tcW w:w="4236" w:type="dxa"/>
            <w:tcBorders>
              <w:top w:val="nil"/>
              <w:left w:val="nil"/>
              <w:bottom w:val="single" w:color="auto" w:sz="4" w:space="0"/>
              <w:right w:val="single" w:color="auto" w:sz="4" w:space="0"/>
            </w:tcBorders>
            <w:vAlign w:val="center"/>
          </w:tcPr>
          <w:p w14:paraId="4279720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萹蓄</w:t>
            </w:r>
          </w:p>
        </w:tc>
        <w:tc>
          <w:tcPr>
            <w:tcW w:w="1176" w:type="dxa"/>
            <w:tcBorders>
              <w:top w:val="nil"/>
              <w:left w:val="nil"/>
              <w:bottom w:val="single" w:color="auto" w:sz="4" w:space="0"/>
              <w:right w:val="single" w:color="auto" w:sz="4" w:space="0"/>
            </w:tcBorders>
            <w:vAlign w:val="center"/>
          </w:tcPr>
          <w:p w14:paraId="4817334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D171D5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ACE21D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782778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D2445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23</w:t>
            </w:r>
          </w:p>
        </w:tc>
        <w:tc>
          <w:tcPr>
            <w:tcW w:w="4236" w:type="dxa"/>
            <w:tcBorders>
              <w:top w:val="nil"/>
              <w:left w:val="nil"/>
              <w:bottom w:val="single" w:color="auto" w:sz="4" w:space="0"/>
              <w:right w:val="single" w:color="auto" w:sz="4" w:space="0"/>
            </w:tcBorders>
            <w:vAlign w:val="center"/>
          </w:tcPr>
          <w:p w14:paraId="6391E4B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黑顺片</w:t>
            </w:r>
          </w:p>
        </w:tc>
        <w:tc>
          <w:tcPr>
            <w:tcW w:w="1176" w:type="dxa"/>
            <w:tcBorders>
              <w:top w:val="nil"/>
              <w:left w:val="nil"/>
              <w:bottom w:val="single" w:color="auto" w:sz="4" w:space="0"/>
              <w:right w:val="single" w:color="auto" w:sz="4" w:space="0"/>
            </w:tcBorders>
            <w:vAlign w:val="center"/>
          </w:tcPr>
          <w:p w14:paraId="6F00761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FBFCF0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C76756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3722011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330A68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24</w:t>
            </w:r>
          </w:p>
        </w:tc>
        <w:tc>
          <w:tcPr>
            <w:tcW w:w="4236" w:type="dxa"/>
            <w:tcBorders>
              <w:top w:val="nil"/>
              <w:left w:val="nil"/>
              <w:bottom w:val="single" w:color="auto" w:sz="4" w:space="0"/>
              <w:right w:val="single" w:color="auto" w:sz="4" w:space="0"/>
            </w:tcBorders>
            <w:vAlign w:val="center"/>
          </w:tcPr>
          <w:p w14:paraId="4C704D4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白附片</w:t>
            </w:r>
          </w:p>
        </w:tc>
        <w:tc>
          <w:tcPr>
            <w:tcW w:w="1176" w:type="dxa"/>
            <w:tcBorders>
              <w:top w:val="nil"/>
              <w:left w:val="nil"/>
              <w:bottom w:val="single" w:color="auto" w:sz="4" w:space="0"/>
              <w:right w:val="single" w:color="auto" w:sz="4" w:space="0"/>
            </w:tcBorders>
            <w:vAlign w:val="center"/>
          </w:tcPr>
          <w:p w14:paraId="0B5148E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867856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675FAC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3454A1A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E9027D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25</w:t>
            </w:r>
          </w:p>
        </w:tc>
        <w:tc>
          <w:tcPr>
            <w:tcW w:w="4236" w:type="dxa"/>
            <w:tcBorders>
              <w:top w:val="nil"/>
              <w:left w:val="nil"/>
              <w:bottom w:val="single" w:color="auto" w:sz="4" w:space="0"/>
              <w:right w:val="single" w:color="auto" w:sz="4" w:space="0"/>
            </w:tcBorders>
            <w:vAlign w:val="center"/>
          </w:tcPr>
          <w:p w14:paraId="6B56540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花椒</w:t>
            </w:r>
          </w:p>
        </w:tc>
        <w:tc>
          <w:tcPr>
            <w:tcW w:w="1176" w:type="dxa"/>
            <w:tcBorders>
              <w:top w:val="nil"/>
              <w:left w:val="nil"/>
              <w:bottom w:val="single" w:color="auto" w:sz="4" w:space="0"/>
              <w:right w:val="single" w:color="auto" w:sz="4" w:space="0"/>
            </w:tcBorders>
            <w:vAlign w:val="center"/>
          </w:tcPr>
          <w:p w14:paraId="69E35FD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2E0DBA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7585F8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7A601C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DCAF3B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26</w:t>
            </w:r>
          </w:p>
        </w:tc>
        <w:tc>
          <w:tcPr>
            <w:tcW w:w="4236" w:type="dxa"/>
            <w:tcBorders>
              <w:top w:val="nil"/>
              <w:left w:val="nil"/>
              <w:bottom w:val="single" w:color="auto" w:sz="4" w:space="0"/>
              <w:right w:val="single" w:color="auto" w:sz="4" w:space="0"/>
            </w:tcBorders>
            <w:vAlign w:val="center"/>
          </w:tcPr>
          <w:p w14:paraId="5DF5729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高良姜</w:t>
            </w:r>
          </w:p>
        </w:tc>
        <w:tc>
          <w:tcPr>
            <w:tcW w:w="1176" w:type="dxa"/>
            <w:tcBorders>
              <w:top w:val="nil"/>
              <w:left w:val="nil"/>
              <w:bottom w:val="single" w:color="auto" w:sz="4" w:space="0"/>
              <w:right w:val="single" w:color="auto" w:sz="4" w:space="0"/>
            </w:tcBorders>
            <w:vAlign w:val="center"/>
          </w:tcPr>
          <w:p w14:paraId="2C3A48BA">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304C5A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920BAA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30390D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69EBFB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27</w:t>
            </w:r>
          </w:p>
        </w:tc>
        <w:tc>
          <w:tcPr>
            <w:tcW w:w="4236" w:type="dxa"/>
            <w:tcBorders>
              <w:top w:val="nil"/>
              <w:left w:val="nil"/>
              <w:bottom w:val="single" w:color="auto" w:sz="4" w:space="0"/>
              <w:right w:val="single" w:color="auto" w:sz="4" w:space="0"/>
            </w:tcBorders>
            <w:vAlign w:val="center"/>
          </w:tcPr>
          <w:p w14:paraId="032D2DD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乌药</w:t>
            </w:r>
          </w:p>
        </w:tc>
        <w:tc>
          <w:tcPr>
            <w:tcW w:w="1176" w:type="dxa"/>
            <w:tcBorders>
              <w:top w:val="nil"/>
              <w:left w:val="nil"/>
              <w:bottom w:val="single" w:color="auto" w:sz="4" w:space="0"/>
              <w:right w:val="single" w:color="auto" w:sz="4" w:space="0"/>
            </w:tcBorders>
            <w:vAlign w:val="center"/>
          </w:tcPr>
          <w:p w14:paraId="7744559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3945C7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DAB630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BF32050">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AD8348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28</w:t>
            </w:r>
          </w:p>
        </w:tc>
        <w:tc>
          <w:tcPr>
            <w:tcW w:w="4236" w:type="dxa"/>
            <w:tcBorders>
              <w:top w:val="nil"/>
              <w:left w:val="nil"/>
              <w:bottom w:val="single" w:color="auto" w:sz="4" w:space="0"/>
              <w:right w:val="single" w:color="auto" w:sz="4" w:space="0"/>
            </w:tcBorders>
            <w:vAlign w:val="center"/>
          </w:tcPr>
          <w:p w14:paraId="0364610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檀香</w:t>
            </w:r>
          </w:p>
        </w:tc>
        <w:tc>
          <w:tcPr>
            <w:tcW w:w="1176" w:type="dxa"/>
            <w:tcBorders>
              <w:top w:val="nil"/>
              <w:left w:val="nil"/>
              <w:bottom w:val="single" w:color="auto" w:sz="4" w:space="0"/>
              <w:right w:val="single" w:color="auto" w:sz="4" w:space="0"/>
            </w:tcBorders>
            <w:vAlign w:val="center"/>
          </w:tcPr>
          <w:p w14:paraId="3CEB541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B05A43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2798BC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76BBF88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92B758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29</w:t>
            </w:r>
          </w:p>
        </w:tc>
        <w:tc>
          <w:tcPr>
            <w:tcW w:w="4236" w:type="dxa"/>
            <w:tcBorders>
              <w:top w:val="nil"/>
              <w:left w:val="nil"/>
              <w:bottom w:val="single" w:color="auto" w:sz="4" w:space="0"/>
              <w:right w:val="single" w:color="auto" w:sz="4" w:space="0"/>
            </w:tcBorders>
            <w:vAlign w:val="center"/>
          </w:tcPr>
          <w:p w14:paraId="33498FE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沉香</w:t>
            </w:r>
          </w:p>
        </w:tc>
        <w:tc>
          <w:tcPr>
            <w:tcW w:w="1176" w:type="dxa"/>
            <w:tcBorders>
              <w:top w:val="nil"/>
              <w:left w:val="nil"/>
              <w:bottom w:val="single" w:color="auto" w:sz="4" w:space="0"/>
              <w:right w:val="single" w:color="auto" w:sz="4" w:space="0"/>
            </w:tcBorders>
            <w:vAlign w:val="center"/>
          </w:tcPr>
          <w:p w14:paraId="2823013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1F2627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2AB82DA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375F2B2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43AD20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30</w:t>
            </w:r>
          </w:p>
        </w:tc>
        <w:tc>
          <w:tcPr>
            <w:tcW w:w="4236" w:type="dxa"/>
            <w:tcBorders>
              <w:top w:val="nil"/>
              <w:left w:val="nil"/>
              <w:bottom w:val="single" w:color="auto" w:sz="4" w:space="0"/>
              <w:right w:val="single" w:color="auto" w:sz="4" w:space="0"/>
            </w:tcBorders>
            <w:vAlign w:val="center"/>
          </w:tcPr>
          <w:p w14:paraId="7F980ED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神曲</w:t>
            </w:r>
          </w:p>
        </w:tc>
        <w:tc>
          <w:tcPr>
            <w:tcW w:w="1176" w:type="dxa"/>
            <w:tcBorders>
              <w:top w:val="nil"/>
              <w:left w:val="nil"/>
              <w:bottom w:val="single" w:color="auto" w:sz="4" w:space="0"/>
              <w:right w:val="single" w:color="auto" w:sz="4" w:space="0"/>
            </w:tcBorders>
            <w:vAlign w:val="center"/>
          </w:tcPr>
          <w:p w14:paraId="077D2B3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7EF94F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32226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F7074C8">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908422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31</w:t>
            </w:r>
          </w:p>
        </w:tc>
        <w:tc>
          <w:tcPr>
            <w:tcW w:w="4236" w:type="dxa"/>
            <w:tcBorders>
              <w:top w:val="nil"/>
              <w:left w:val="nil"/>
              <w:bottom w:val="single" w:color="auto" w:sz="4" w:space="0"/>
              <w:right w:val="single" w:color="auto" w:sz="4" w:space="0"/>
            </w:tcBorders>
            <w:vAlign w:val="center"/>
          </w:tcPr>
          <w:p w14:paraId="2CDDAB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侧柏叶</w:t>
            </w:r>
          </w:p>
        </w:tc>
        <w:tc>
          <w:tcPr>
            <w:tcW w:w="1176" w:type="dxa"/>
            <w:tcBorders>
              <w:top w:val="nil"/>
              <w:left w:val="nil"/>
              <w:bottom w:val="single" w:color="auto" w:sz="4" w:space="0"/>
              <w:right w:val="single" w:color="auto" w:sz="4" w:space="0"/>
            </w:tcBorders>
            <w:vAlign w:val="center"/>
          </w:tcPr>
          <w:p w14:paraId="4EFEB59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C898D2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3F880C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C0D3DA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83D027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32</w:t>
            </w:r>
          </w:p>
        </w:tc>
        <w:tc>
          <w:tcPr>
            <w:tcW w:w="4236" w:type="dxa"/>
            <w:tcBorders>
              <w:top w:val="nil"/>
              <w:left w:val="nil"/>
              <w:bottom w:val="single" w:color="auto" w:sz="4" w:space="0"/>
              <w:right w:val="single" w:color="auto" w:sz="4" w:space="0"/>
            </w:tcBorders>
            <w:vAlign w:val="center"/>
          </w:tcPr>
          <w:p w14:paraId="4795231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川芎</w:t>
            </w:r>
          </w:p>
        </w:tc>
        <w:tc>
          <w:tcPr>
            <w:tcW w:w="1176" w:type="dxa"/>
            <w:tcBorders>
              <w:top w:val="nil"/>
              <w:left w:val="nil"/>
              <w:bottom w:val="single" w:color="auto" w:sz="4" w:space="0"/>
              <w:right w:val="single" w:color="auto" w:sz="4" w:space="0"/>
            </w:tcBorders>
            <w:vAlign w:val="center"/>
          </w:tcPr>
          <w:p w14:paraId="3F71081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E50648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D2D406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850123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30443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33</w:t>
            </w:r>
          </w:p>
        </w:tc>
        <w:tc>
          <w:tcPr>
            <w:tcW w:w="4236" w:type="dxa"/>
            <w:tcBorders>
              <w:top w:val="nil"/>
              <w:left w:val="nil"/>
              <w:bottom w:val="single" w:color="auto" w:sz="4" w:space="0"/>
              <w:right w:val="single" w:color="auto" w:sz="4" w:space="0"/>
            </w:tcBorders>
            <w:vAlign w:val="center"/>
          </w:tcPr>
          <w:p w14:paraId="6594148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红花</w:t>
            </w:r>
          </w:p>
        </w:tc>
        <w:tc>
          <w:tcPr>
            <w:tcW w:w="1176" w:type="dxa"/>
            <w:tcBorders>
              <w:top w:val="nil"/>
              <w:left w:val="nil"/>
              <w:bottom w:val="single" w:color="auto" w:sz="4" w:space="0"/>
              <w:right w:val="single" w:color="auto" w:sz="4" w:space="0"/>
            </w:tcBorders>
            <w:vAlign w:val="center"/>
          </w:tcPr>
          <w:p w14:paraId="7CE5A1E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0808FE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2F1D764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5B9D38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2D84C5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34</w:t>
            </w:r>
          </w:p>
        </w:tc>
        <w:tc>
          <w:tcPr>
            <w:tcW w:w="4236" w:type="dxa"/>
            <w:tcBorders>
              <w:top w:val="nil"/>
              <w:left w:val="nil"/>
              <w:bottom w:val="single" w:color="auto" w:sz="4" w:space="0"/>
              <w:right w:val="single" w:color="auto" w:sz="4" w:space="0"/>
            </w:tcBorders>
            <w:vAlign w:val="center"/>
          </w:tcPr>
          <w:p w14:paraId="4EF6209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鸡血藤</w:t>
            </w:r>
          </w:p>
        </w:tc>
        <w:tc>
          <w:tcPr>
            <w:tcW w:w="1176" w:type="dxa"/>
            <w:tcBorders>
              <w:top w:val="nil"/>
              <w:left w:val="nil"/>
              <w:bottom w:val="single" w:color="auto" w:sz="4" w:space="0"/>
              <w:right w:val="single" w:color="auto" w:sz="4" w:space="0"/>
            </w:tcBorders>
            <w:vAlign w:val="center"/>
          </w:tcPr>
          <w:p w14:paraId="534E13E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55E823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5B5ACF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E3B2F2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4F5B52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35</w:t>
            </w:r>
          </w:p>
        </w:tc>
        <w:tc>
          <w:tcPr>
            <w:tcW w:w="4236" w:type="dxa"/>
            <w:tcBorders>
              <w:top w:val="nil"/>
              <w:left w:val="nil"/>
              <w:bottom w:val="single" w:color="auto" w:sz="4" w:space="0"/>
              <w:right w:val="single" w:color="auto" w:sz="4" w:space="0"/>
            </w:tcBorders>
            <w:vAlign w:val="center"/>
          </w:tcPr>
          <w:p w14:paraId="0134108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清半夏</w:t>
            </w:r>
          </w:p>
        </w:tc>
        <w:tc>
          <w:tcPr>
            <w:tcW w:w="1176" w:type="dxa"/>
            <w:tcBorders>
              <w:top w:val="nil"/>
              <w:left w:val="nil"/>
              <w:bottom w:val="single" w:color="auto" w:sz="4" w:space="0"/>
              <w:right w:val="single" w:color="auto" w:sz="4" w:space="0"/>
            </w:tcBorders>
            <w:vAlign w:val="center"/>
          </w:tcPr>
          <w:p w14:paraId="456A158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1C9C99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548A05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2419488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F8D8C7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36</w:t>
            </w:r>
          </w:p>
        </w:tc>
        <w:tc>
          <w:tcPr>
            <w:tcW w:w="4236" w:type="dxa"/>
            <w:tcBorders>
              <w:top w:val="nil"/>
              <w:left w:val="nil"/>
              <w:bottom w:val="single" w:color="auto" w:sz="4" w:space="0"/>
              <w:right w:val="single" w:color="auto" w:sz="4" w:space="0"/>
            </w:tcBorders>
            <w:vAlign w:val="center"/>
          </w:tcPr>
          <w:p w14:paraId="0452972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姜半夏</w:t>
            </w:r>
          </w:p>
        </w:tc>
        <w:tc>
          <w:tcPr>
            <w:tcW w:w="1176" w:type="dxa"/>
            <w:tcBorders>
              <w:top w:val="nil"/>
              <w:left w:val="nil"/>
              <w:bottom w:val="single" w:color="auto" w:sz="4" w:space="0"/>
              <w:right w:val="single" w:color="auto" w:sz="4" w:space="0"/>
            </w:tcBorders>
            <w:vAlign w:val="center"/>
          </w:tcPr>
          <w:p w14:paraId="6F7CCE63">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206A06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34473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1FFE54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900D48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37</w:t>
            </w:r>
          </w:p>
        </w:tc>
        <w:tc>
          <w:tcPr>
            <w:tcW w:w="4236" w:type="dxa"/>
            <w:tcBorders>
              <w:top w:val="nil"/>
              <w:left w:val="nil"/>
              <w:bottom w:val="single" w:color="auto" w:sz="4" w:space="0"/>
              <w:right w:val="single" w:color="auto" w:sz="4" w:space="0"/>
            </w:tcBorders>
            <w:vAlign w:val="center"/>
          </w:tcPr>
          <w:p w14:paraId="2FE6760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法半夏</w:t>
            </w:r>
          </w:p>
        </w:tc>
        <w:tc>
          <w:tcPr>
            <w:tcW w:w="1176" w:type="dxa"/>
            <w:tcBorders>
              <w:top w:val="nil"/>
              <w:left w:val="nil"/>
              <w:bottom w:val="single" w:color="auto" w:sz="4" w:space="0"/>
              <w:right w:val="single" w:color="auto" w:sz="4" w:space="0"/>
            </w:tcBorders>
            <w:vAlign w:val="center"/>
          </w:tcPr>
          <w:p w14:paraId="374A672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C64D62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37887D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5F92955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10B81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38</w:t>
            </w:r>
          </w:p>
        </w:tc>
        <w:tc>
          <w:tcPr>
            <w:tcW w:w="4236" w:type="dxa"/>
            <w:tcBorders>
              <w:top w:val="nil"/>
              <w:left w:val="nil"/>
              <w:bottom w:val="single" w:color="auto" w:sz="4" w:space="0"/>
              <w:right w:val="single" w:color="auto" w:sz="4" w:space="0"/>
            </w:tcBorders>
            <w:vAlign w:val="center"/>
          </w:tcPr>
          <w:p w14:paraId="017A9C2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川贝母</w:t>
            </w:r>
          </w:p>
        </w:tc>
        <w:tc>
          <w:tcPr>
            <w:tcW w:w="1176" w:type="dxa"/>
            <w:tcBorders>
              <w:top w:val="nil"/>
              <w:left w:val="nil"/>
              <w:bottom w:val="single" w:color="auto" w:sz="4" w:space="0"/>
              <w:right w:val="single" w:color="auto" w:sz="4" w:space="0"/>
            </w:tcBorders>
            <w:vAlign w:val="center"/>
          </w:tcPr>
          <w:p w14:paraId="57C415A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8803B1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A68550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46ECB9A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577A2A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39</w:t>
            </w:r>
          </w:p>
        </w:tc>
        <w:tc>
          <w:tcPr>
            <w:tcW w:w="4236" w:type="dxa"/>
            <w:tcBorders>
              <w:top w:val="nil"/>
              <w:left w:val="nil"/>
              <w:bottom w:val="single" w:color="auto" w:sz="4" w:space="0"/>
              <w:right w:val="single" w:color="auto" w:sz="4" w:space="0"/>
            </w:tcBorders>
            <w:vAlign w:val="center"/>
          </w:tcPr>
          <w:p w14:paraId="29A823D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瓜蒌皮</w:t>
            </w:r>
          </w:p>
        </w:tc>
        <w:tc>
          <w:tcPr>
            <w:tcW w:w="1176" w:type="dxa"/>
            <w:tcBorders>
              <w:top w:val="nil"/>
              <w:left w:val="nil"/>
              <w:bottom w:val="single" w:color="auto" w:sz="4" w:space="0"/>
              <w:right w:val="single" w:color="auto" w:sz="4" w:space="0"/>
            </w:tcBorders>
            <w:vAlign w:val="center"/>
          </w:tcPr>
          <w:p w14:paraId="32746911">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6EF893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E6FED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C626D1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29A8DD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40</w:t>
            </w:r>
          </w:p>
        </w:tc>
        <w:tc>
          <w:tcPr>
            <w:tcW w:w="4236" w:type="dxa"/>
            <w:tcBorders>
              <w:top w:val="nil"/>
              <w:left w:val="nil"/>
              <w:bottom w:val="single" w:color="auto" w:sz="4" w:space="0"/>
              <w:right w:val="single" w:color="auto" w:sz="4" w:space="0"/>
            </w:tcBorders>
            <w:vAlign w:val="center"/>
          </w:tcPr>
          <w:p w14:paraId="7E3F381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制天南星</w:t>
            </w:r>
          </w:p>
        </w:tc>
        <w:tc>
          <w:tcPr>
            <w:tcW w:w="1176" w:type="dxa"/>
            <w:tcBorders>
              <w:top w:val="nil"/>
              <w:left w:val="nil"/>
              <w:bottom w:val="single" w:color="auto" w:sz="4" w:space="0"/>
              <w:right w:val="single" w:color="auto" w:sz="4" w:space="0"/>
            </w:tcBorders>
            <w:vAlign w:val="center"/>
          </w:tcPr>
          <w:p w14:paraId="5A5851F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94CEF0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779F2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3F75A76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700E8A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41</w:t>
            </w:r>
          </w:p>
        </w:tc>
        <w:tc>
          <w:tcPr>
            <w:tcW w:w="4236" w:type="dxa"/>
            <w:tcBorders>
              <w:top w:val="nil"/>
              <w:left w:val="nil"/>
              <w:bottom w:val="single" w:color="auto" w:sz="4" w:space="0"/>
              <w:right w:val="single" w:color="auto" w:sz="4" w:space="0"/>
            </w:tcBorders>
            <w:vAlign w:val="center"/>
          </w:tcPr>
          <w:p w14:paraId="78EAE0F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白附子</w:t>
            </w:r>
          </w:p>
        </w:tc>
        <w:tc>
          <w:tcPr>
            <w:tcW w:w="1176" w:type="dxa"/>
            <w:tcBorders>
              <w:top w:val="nil"/>
              <w:left w:val="nil"/>
              <w:bottom w:val="single" w:color="auto" w:sz="4" w:space="0"/>
              <w:right w:val="single" w:color="auto" w:sz="4" w:space="0"/>
            </w:tcBorders>
            <w:vAlign w:val="center"/>
          </w:tcPr>
          <w:p w14:paraId="65C5D692">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1C593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3C0331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05BFDB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FA3889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42</w:t>
            </w:r>
          </w:p>
        </w:tc>
        <w:tc>
          <w:tcPr>
            <w:tcW w:w="4236" w:type="dxa"/>
            <w:tcBorders>
              <w:top w:val="nil"/>
              <w:left w:val="nil"/>
              <w:bottom w:val="single" w:color="auto" w:sz="4" w:space="0"/>
              <w:right w:val="single" w:color="auto" w:sz="4" w:space="0"/>
            </w:tcBorders>
            <w:vAlign w:val="center"/>
          </w:tcPr>
          <w:p w14:paraId="5FBBB37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冰片</w:t>
            </w:r>
          </w:p>
        </w:tc>
        <w:tc>
          <w:tcPr>
            <w:tcW w:w="1176" w:type="dxa"/>
            <w:tcBorders>
              <w:top w:val="nil"/>
              <w:left w:val="nil"/>
              <w:bottom w:val="single" w:color="auto" w:sz="4" w:space="0"/>
              <w:right w:val="single" w:color="auto" w:sz="4" w:space="0"/>
            </w:tcBorders>
            <w:vAlign w:val="center"/>
          </w:tcPr>
          <w:p w14:paraId="3EE1A9D0">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23C5D8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0DC595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5BA0610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420A47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43</w:t>
            </w:r>
          </w:p>
        </w:tc>
        <w:tc>
          <w:tcPr>
            <w:tcW w:w="4236" w:type="dxa"/>
            <w:tcBorders>
              <w:top w:val="nil"/>
              <w:left w:val="nil"/>
              <w:bottom w:val="single" w:color="auto" w:sz="4" w:space="0"/>
              <w:right w:val="single" w:color="auto" w:sz="4" w:space="0"/>
            </w:tcBorders>
            <w:vAlign w:val="center"/>
          </w:tcPr>
          <w:p w14:paraId="4352BE4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朱砂</w:t>
            </w:r>
          </w:p>
        </w:tc>
        <w:tc>
          <w:tcPr>
            <w:tcW w:w="1176" w:type="dxa"/>
            <w:tcBorders>
              <w:top w:val="nil"/>
              <w:left w:val="nil"/>
              <w:bottom w:val="single" w:color="auto" w:sz="4" w:space="0"/>
              <w:right w:val="single" w:color="auto" w:sz="4" w:space="0"/>
            </w:tcBorders>
            <w:vAlign w:val="center"/>
          </w:tcPr>
          <w:p w14:paraId="5859869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D8D844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917A84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7D7A7950">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2B6EED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44</w:t>
            </w:r>
          </w:p>
        </w:tc>
        <w:tc>
          <w:tcPr>
            <w:tcW w:w="4236" w:type="dxa"/>
            <w:tcBorders>
              <w:top w:val="nil"/>
              <w:left w:val="nil"/>
              <w:bottom w:val="single" w:color="auto" w:sz="4" w:space="0"/>
              <w:right w:val="single" w:color="auto" w:sz="4" w:space="0"/>
            </w:tcBorders>
            <w:vAlign w:val="center"/>
          </w:tcPr>
          <w:p w14:paraId="2EF632E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磁石</w:t>
            </w:r>
          </w:p>
        </w:tc>
        <w:tc>
          <w:tcPr>
            <w:tcW w:w="1176" w:type="dxa"/>
            <w:tcBorders>
              <w:top w:val="nil"/>
              <w:left w:val="nil"/>
              <w:bottom w:val="single" w:color="auto" w:sz="4" w:space="0"/>
              <w:right w:val="single" w:color="auto" w:sz="4" w:space="0"/>
            </w:tcBorders>
            <w:vAlign w:val="center"/>
          </w:tcPr>
          <w:p w14:paraId="360CB97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133DE6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DE6E20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4CA2B1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E8CF08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45</w:t>
            </w:r>
          </w:p>
        </w:tc>
        <w:tc>
          <w:tcPr>
            <w:tcW w:w="4236" w:type="dxa"/>
            <w:tcBorders>
              <w:top w:val="nil"/>
              <w:left w:val="nil"/>
              <w:bottom w:val="single" w:color="auto" w:sz="4" w:space="0"/>
              <w:right w:val="single" w:color="auto" w:sz="4" w:space="0"/>
            </w:tcBorders>
            <w:vAlign w:val="center"/>
          </w:tcPr>
          <w:p w14:paraId="5FF4CF5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柏子仁</w:t>
            </w:r>
          </w:p>
        </w:tc>
        <w:tc>
          <w:tcPr>
            <w:tcW w:w="1176" w:type="dxa"/>
            <w:tcBorders>
              <w:top w:val="nil"/>
              <w:left w:val="nil"/>
              <w:bottom w:val="single" w:color="auto" w:sz="4" w:space="0"/>
              <w:right w:val="single" w:color="auto" w:sz="4" w:space="0"/>
            </w:tcBorders>
            <w:vAlign w:val="center"/>
          </w:tcPr>
          <w:p w14:paraId="4DC374C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E63E24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8EC1AB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075CE517">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AE4AD5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46</w:t>
            </w:r>
          </w:p>
        </w:tc>
        <w:tc>
          <w:tcPr>
            <w:tcW w:w="4236" w:type="dxa"/>
            <w:tcBorders>
              <w:top w:val="nil"/>
              <w:left w:val="nil"/>
              <w:bottom w:val="single" w:color="auto" w:sz="4" w:space="0"/>
              <w:right w:val="single" w:color="auto" w:sz="4" w:space="0"/>
            </w:tcBorders>
            <w:vAlign w:val="center"/>
          </w:tcPr>
          <w:p w14:paraId="61DA7FC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乌梅</w:t>
            </w:r>
          </w:p>
        </w:tc>
        <w:tc>
          <w:tcPr>
            <w:tcW w:w="1176" w:type="dxa"/>
            <w:tcBorders>
              <w:top w:val="nil"/>
              <w:left w:val="nil"/>
              <w:bottom w:val="single" w:color="auto" w:sz="4" w:space="0"/>
              <w:right w:val="single" w:color="auto" w:sz="4" w:space="0"/>
            </w:tcBorders>
            <w:vAlign w:val="center"/>
          </w:tcPr>
          <w:p w14:paraId="1663DBE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FF880D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B729F7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D4EF91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1CD47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47</w:t>
            </w:r>
          </w:p>
        </w:tc>
        <w:tc>
          <w:tcPr>
            <w:tcW w:w="4236" w:type="dxa"/>
            <w:tcBorders>
              <w:top w:val="nil"/>
              <w:left w:val="nil"/>
              <w:bottom w:val="single" w:color="auto" w:sz="4" w:space="0"/>
              <w:right w:val="single" w:color="auto" w:sz="4" w:space="0"/>
            </w:tcBorders>
            <w:vAlign w:val="center"/>
          </w:tcPr>
          <w:p w14:paraId="0B44552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炉甘石</w:t>
            </w:r>
          </w:p>
        </w:tc>
        <w:tc>
          <w:tcPr>
            <w:tcW w:w="1176" w:type="dxa"/>
            <w:tcBorders>
              <w:top w:val="nil"/>
              <w:left w:val="nil"/>
              <w:bottom w:val="single" w:color="auto" w:sz="4" w:space="0"/>
              <w:right w:val="single" w:color="auto" w:sz="4" w:space="0"/>
            </w:tcBorders>
            <w:vAlign w:val="center"/>
          </w:tcPr>
          <w:p w14:paraId="57846D32">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E5E0CC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91DF50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6513F58">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9B6F3D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48</w:t>
            </w:r>
          </w:p>
        </w:tc>
        <w:tc>
          <w:tcPr>
            <w:tcW w:w="4236" w:type="dxa"/>
            <w:tcBorders>
              <w:top w:val="nil"/>
              <w:left w:val="nil"/>
              <w:bottom w:val="single" w:color="auto" w:sz="4" w:space="0"/>
              <w:right w:val="single" w:color="auto" w:sz="4" w:space="0"/>
            </w:tcBorders>
            <w:vAlign w:val="center"/>
          </w:tcPr>
          <w:p w14:paraId="7AB5956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硼砂</w:t>
            </w:r>
          </w:p>
        </w:tc>
        <w:tc>
          <w:tcPr>
            <w:tcW w:w="1176" w:type="dxa"/>
            <w:tcBorders>
              <w:top w:val="nil"/>
              <w:left w:val="nil"/>
              <w:bottom w:val="single" w:color="auto" w:sz="4" w:space="0"/>
              <w:right w:val="single" w:color="auto" w:sz="4" w:space="0"/>
            </w:tcBorders>
            <w:vAlign w:val="center"/>
          </w:tcPr>
          <w:p w14:paraId="2331C55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76D9A7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2CB8F9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5176EAC">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55F7ED7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49</w:t>
            </w:r>
          </w:p>
        </w:tc>
        <w:tc>
          <w:tcPr>
            <w:tcW w:w="4236" w:type="dxa"/>
            <w:tcBorders>
              <w:top w:val="nil"/>
              <w:left w:val="nil"/>
              <w:bottom w:val="single" w:color="auto" w:sz="4" w:space="0"/>
              <w:right w:val="single" w:color="auto" w:sz="4" w:space="0"/>
            </w:tcBorders>
            <w:vAlign w:val="center"/>
          </w:tcPr>
          <w:p w14:paraId="235E71B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鹿茸片</w:t>
            </w:r>
          </w:p>
        </w:tc>
        <w:tc>
          <w:tcPr>
            <w:tcW w:w="1176" w:type="dxa"/>
            <w:tcBorders>
              <w:top w:val="nil"/>
              <w:left w:val="nil"/>
              <w:bottom w:val="single" w:color="auto" w:sz="4" w:space="0"/>
              <w:right w:val="single" w:color="auto" w:sz="4" w:space="0"/>
            </w:tcBorders>
            <w:vAlign w:val="center"/>
          </w:tcPr>
          <w:p w14:paraId="793D076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沙片或血片</w:t>
            </w:r>
          </w:p>
        </w:tc>
        <w:tc>
          <w:tcPr>
            <w:tcW w:w="1020" w:type="dxa"/>
            <w:tcBorders>
              <w:top w:val="nil"/>
              <w:left w:val="nil"/>
              <w:bottom w:val="single" w:color="auto" w:sz="4" w:space="0"/>
              <w:right w:val="single" w:color="auto" w:sz="4" w:space="0"/>
            </w:tcBorders>
            <w:vAlign w:val="center"/>
          </w:tcPr>
          <w:p w14:paraId="3552657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50B7F1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04DE430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EFD83B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w:t>
            </w:r>
          </w:p>
        </w:tc>
        <w:tc>
          <w:tcPr>
            <w:tcW w:w="4236" w:type="dxa"/>
            <w:tcBorders>
              <w:top w:val="nil"/>
              <w:left w:val="nil"/>
              <w:bottom w:val="single" w:color="auto" w:sz="4" w:space="0"/>
              <w:right w:val="single" w:color="auto" w:sz="4" w:space="0"/>
            </w:tcBorders>
            <w:vAlign w:val="center"/>
          </w:tcPr>
          <w:p w14:paraId="1EB3DFE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菟丝子</w:t>
            </w:r>
          </w:p>
        </w:tc>
        <w:tc>
          <w:tcPr>
            <w:tcW w:w="1176" w:type="dxa"/>
            <w:tcBorders>
              <w:top w:val="nil"/>
              <w:left w:val="nil"/>
              <w:bottom w:val="single" w:color="auto" w:sz="4" w:space="0"/>
              <w:right w:val="single" w:color="auto" w:sz="4" w:space="0"/>
            </w:tcBorders>
            <w:vAlign w:val="center"/>
          </w:tcPr>
          <w:p w14:paraId="75A1462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70D50E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4E6C9F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33F5BFB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DBF000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51</w:t>
            </w:r>
          </w:p>
        </w:tc>
        <w:tc>
          <w:tcPr>
            <w:tcW w:w="4236" w:type="dxa"/>
            <w:tcBorders>
              <w:top w:val="nil"/>
              <w:left w:val="nil"/>
              <w:bottom w:val="single" w:color="auto" w:sz="4" w:space="0"/>
              <w:right w:val="single" w:color="auto" w:sz="4" w:space="0"/>
            </w:tcBorders>
            <w:vAlign w:val="center"/>
          </w:tcPr>
          <w:p w14:paraId="03719A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当归</w:t>
            </w:r>
          </w:p>
        </w:tc>
        <w:tc>
          <w:tcPr>
            <w:tcW w:w="1176" w:type="dxa"/>
            <w:tcBorders>
              <w:top w:val="nil"/>
              <w:left w:val="nil"/>
              <w:bottom w:val="single" w:color="auto" w:sz="4" w:space="0"/>
              <w:right w:val="single" w:color="auto" w:sz="4" w:space="0"/>
            </w:tcBorders>
            <w:vAlign w:val="center"/>
          </w:tcPr>
          <w:p w14:paraId="3838B8C3">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314ED4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4E0825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FC7A72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5C997F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52</w:t>
            </w:r>
          </w:p>
        </w:tc>
        <w:tc>
          <w:tcPr>
            <w:tcW w:w="4236" w:type="dxa"/>
            <w:tcBorders>
              <w:top w:val="nil"/>
              <w:left w:val="nil"/>
              <w:bottom w:val="single" w:color="auto" w:sz="4" w:space="0"/>
              <w:right w:val="single" w:color="auto" w:sz="4" w:space="0"/>
            </w:tcBorders>
            <w:vAlign w:val="center"/>
          </w:tcPr>
          <w:p w14:paraId="51D7C48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白芍</w:t>
            </w:r>
          </w:p>
        </w:tc>
        <w:tc>
          <w:tcPr>
            <w:tcW w:w="1176" w:type="dxa"/>
            <w:tcBorders>
              <w:top w:val="nil"/>
              <w:left w:val="nil"/>
              <w:bottom w:val="single" w:color="auto" w:sz="4" w:space="0"/>
              <w:right w:val="single" w:color="auto" w:sz="4" w:space="0"/>
            </w:tcBorders>
            <w:vAlign w:val="center"/>
          </w:tcPr>
          <w:p w14:paraId="5D9C761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66B4FE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E470C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194D98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963B49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53</w:t>
            </w:r>
          </w:p>
        </w:tc>
        <w:tc>
          <w:tcPr>
            <w:tcW w:w="4236" w:type="dxa"/>
            <w:tcBorders>
              <w:top w:val="nil"/>
              <w:left w:val="nil"/>
              <w:bottom w:val="single" w:color="auto" w:sz="4" w:space="0"/>
              <w:right w:val="single" w:color="auto" w:sz="4" w:space="0"/>
            </w:tcBorders>
            <w:vAlign w:val="center"/>
          </w:tcPr>
          <w:p w14:paraId="61130A3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麦冬</w:t>
            </w:r>
          </w:p>
        </w:tc>
        <w:tc>
          <w:tcPr>
            <w:tcW w:w="1176" w:type="dxa"/>
            <w:tcBorders>
              <w:top w:val="nil"/>
              <w:left w:val="nil"/>
              <w:bottom w:val="single" w:color="auto" w:sz="4" w:space="0"/>
              <w:right w:val="single" w:color="auto" w:sz="4" w:space="0"/>
            </w:tcBorders>
            <w:vAlign w:val="center"/>
          </w:tcPr>
          <w:p w14:paraId="327B131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698BEB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CD9260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3D06926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66AA52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54</w:t>
            </w:r>
          </w:p>
        </w:tc>
        <w:tc>
          <w:tcPr>
            <w:tcW w:w="4236" w:type="dxa"/>
            <w:tcBorders>
              <w:top w:val="nil"/>
              <w:left w:val="nil"/>
              <w:bottom w:val="single" w:color="auto" w:sz="4" w:space="0"/>
              <w:right w:val="single" w:color="auto" w:sz="4" w:space="0"/>
            </w:tcBorders>
            <w:vAlign w:val="center"/>
          </w:tcPr>
          <w:p w14:paraId="544DB19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枸杞子</w:t>
            </w:r>
          </w:p>
        </w:tc>
        <w:tc>
          <w:tcPr>
            <w:tcW w:w="1176" w:type="dxa"/>
            <w:tcBorders>
              <w:top w:val="nil"/>
              <w:left w:val="nil"/>
              <w:bottom w:val="single" w:color="auto" w:sz="4" w:space="0"/>
              <w:right w:val="single" w:color="auto" w:sz="4" w:space="0"/>
            </w:tcBorders>
            <w:vAlign w:val="center"/>
          </w:tcPr>
          <w:p w14:paraId="43A2B61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43047B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B3C8D5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919A6A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02C414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55</w:t>
            </w:r>
          </w:p>
        </w:tc>
        <w:tc>
          <w:tcPr>
            <w:tcW w:w="4236" w:type="dxa"/>
            <w:tcBorders>
              <w:top w:val="nil"/>
              <w:left w:val="nil"/>
              <w:bottom w:val="single" w:color="auto" w:sz="4" w:space="0"/>
              <w:right w:val="single" w:color="auto" w:sz="4" w:space="0"/>
            </w:tcBorders>
            <w:vAlign w:val="center"/>
          </w:tcPr>
          <w:p w14:paraId="7CD221C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鳖甲</w:t>
            </w:r>
          </w:p>
        </w:tc>
        <w:tc>
          <w:tcPr>
            <w:tcW w:w="1176" w:type="dxa"/>
            <w:tcBorders>
              <w:top w:val="nil"/>
              <w:left w:val="nil"/>
              <w:bottom w:val="single" w:color="auto" w:sz="4" w:space="0"/>
              <w:right w:val="single" w:color="auto" w:sz="4" w:space="0"/>
            </w:tcBorders>
            <w:vAlign w:val="center"/>
          </w:tcPr>
          <w:p w14:paraId="2466C455">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586C0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89589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6A6C196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81B14E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56</w:t>
            </w:r>
          </w:p>
        </w:tc>
        <w:tc>
          <w:tcPr>
            <w:tcW w:w="4236" w:type="dxa"/>
            <w:tcBorders>
              <w:top w:val="nil"/>
              <w:left w:val="nil"/>
              <w:bottom w:val="single" w:color="auto" w:sz="4" w:space="0"/>
              <w:right w:val="single" w:color="auto" w:sz="4" w:space="0"/>
            </w:tcBorders>
            <w:vAlign w:val="center"/>
          </w:tcPr>
          <w:p w14:paraId="41FCEF2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龟甲</w:t>
            </w:r>
          </w:p>
        </w:tc>
        <w:tc>
          <w:tcPr>
            <w:tcW w:w="1176" w:type="dxa"/>
            <w:tcBorders>
              <w:top w:val="nil"/>
              <w:left w:val="nil"/>
              <w:bottom w:val="single" w:color="auto" w:sz="4" w:space="0"/>
              <w:right w:val="single" w:color="auto" w:sz="4" w:space="0"/>
            </w:tcBorders>
            <w:vAlign w:val="center"/>
          </w:tcPr>
          <w:p w14:paraId="1F6E945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03D8EC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49BDCA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3A6CAFCA">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0185DF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57</w:t>
            </w:r>
          </w:p>
        </w:tc>
        <w:tc>
          <w:tcPr>
            <w:tcW w:w="4236" w:type="dxa"/>
            <w:tcBorders>
              <w:top w:val="nil"/>
              <w:left w:val="nil"/>
              <w:bottom w:val="single" w:color="auto" w:sz="4" w:space="0"/>
              <w:right w:val="single" w:color="auto" w:sz="4" w:space="0"/>
            </w:tcBorders>
            <w:vAlign w:val="center"/>
          </w:tcPr>
          <w:p w14:paraId="51DA824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茯苓</w:t>
            </w:r>
          </w:p>
        </w:tc>
        <w:tc>
          <w:tcPr>
            <w:tcW w:w="1176" w:type="dxa"/>
            <w:tcBorders>
              <w:top w:val="nil"/>
              <w:left w:val="nil"/>
              <w:bottom w:val="single" w:color="auto" w:sz="4" w:space="0"/>
              <w:right w:val="single" w:color="auto" w:sz="4" w:space="0"/>
            </w:tcBorders>
            <w:vAlign w:val="center"/>
          </w:tcPr>
          <w:p w14:paraId="46C4058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914E6E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1EC1EF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818E8E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6A0ABD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58</w:t>
            </w:r>
          </w:p>
        </w:tc>
        <w:tc>
          <w:tcPr>
            <w:tcW w:w="4236" w:type="dxa"/>
            <w:tcBorders>
              <w:top w:val="nil"/>
              <w:left w:val="nil"/>
              <w:bottom w:val="single" w:color="auto" w:sz="4" w:space="0"/>
              <w:right w:val="single" w:color="auto" w:sz="4" w:space="0"/>
            </w:tcBorders>
            <w:vAlign w:val="center"/>
          </w:tcPr>
          <w:p w14:paraId="0CEDB16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 xml:space="preserve">黄柏  </w:t>
            </w:r>
          </w:p>
        </w:tc>
        <w:tc>
          <w:tcPr>
            <w:tcW w:w="1176" w:type="dxa"/>
            <w:tcBorders>
              <w:top w:val="nil"/>
              <w:left w:val="nil"/>
              <w:bottom w:val="single" w:color="auto" w:sz="4" w:space="0"/>
              <w:right w:val="single" w:color="auto" w:sz="4" w:space="0"/>
            </w:tcBorders>
            <w:vAlign w:val="center"/>
          </w:tcPr>
          <w:p w14:paraId="15BA6800">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B347D5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17B9A5C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76B7CD2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EACCA0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59</w:t>
            </w:r>
          </w:p>
        </w:tc>
        <w:tc>
          <w:tcPr>
            <w:tcW w:w="4236" w:type="dxa"/>
            <w:tcBorders>
              <w:top w:val="nil"/>
              <w:left w:val="nil"/>
              <w:bottom w:val="single" w:color="auto" w:sz="4" w:space="0"/>
              <w:right w:val="single" w:color="auto" w:sz="4" w:space="0"/>
            </w:tcBorders>
            <w:vAlign w:val="center"/>
          </w:tcPr>
          <w:p w14:paraId="45D03B8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甘草</w:t>
            </w:r>
          </w:p>
        </w:tc>
        <w:tc>
          <w:tcPr>
            <w:tcW w:w="1176" w:type="dxa"/>
            <w:tcBorders>
              <w:top w:val="nil"/>
              <w:left w:val="nil"/>
              <w:bottom w:val="single" w:color="auto" w:sz="4" w:space="0"/>
              <w:right w:val="single" w:color="auto" w:sz="4" w:space="0"/>
            </w:tcBorders>
            <w:vAlign w:val="center"/>
          </w:tcPr>
          <w:p w14:paraId="6088659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BAEFB0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32E0D77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2980FA1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446E70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60</w:t>
            </w:r>
          </w:p>
        </w:tc>
        <w:tc>
          <w:tcPr>
            <w:tcW w:w="4236" w:type="dxa"/>
            <w:tcBorders>
              <w:top w:val="nil"/>
              <w:left w:val="nil"/>
              <w:bottom w:val="single" w:color="auto" w:sz="4" w:space="0"/>
              <w:right w:val="single" w:color="auto" w:sz="4" w:space="0"/>
            </w:tcBorders>
            <w:vAlign w:val="center"/>
          </w:tcPr>
          <w:p w14:paraId="2F18D8E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番泻叶</w:t>
            </w:r>
          </w:p>
        </w:tc>
        <w:tc>
          <w:tcPr>
            <w:tcW w:w="1176" w:type="dxa"/>
            <w:tcBorders>
              <w:top w:val="nil"/>
              <w:left w:val="nil"/>
              <w:bottom w:val="single" w:color="auto" w:sz="4" w:space="0"/>
              <w:right w:val="single" w:color="auto" w:sz="4" w:space="0"/>
            </w:tcBorders>
            <w:vAlign w:val="center"/>
          </w:tcPr>
          <w:p w14:paraId="67469B1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AB9AF6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08A022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B0D49D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4081EF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61</w:t>
            </w:r>
          </w:p>
        </w:tc>
        <w:tc>
          <w:tcPr>
            <w:tcW w:w="4236" w:type="dxa"/>
            <w:tcBorders>
              <w:top w:val="nil"/>
              <w:left w:val="nil"/>
              <w:bottom w:val="single" w:color="auto" w:sz="4" w:space="0"/>
              <w:right w:val="single" w:color="auto" w:sz="4" w:space="0"/>
            </w:tcBorders>
            <w:vAlign w:val="center"/>
          </w:tcPr>
          <w:p w14:paraId="56991AA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肉桂</w:t>
            </w:r>
          </w:p>
        </w:tc>
        <w:tc>
          <w:tcPr>
            <w:tcW w:w="1176" w:type="dxa"/>
            <w:tcBorders>
              <w:top w:val="nil"/>
              <w:left w:val="nil"/>
              <w:bottom w:val="single" w:color="auto" w:sz="4" w:space="0"/>
              <w:right w:val="single" w:color="auto" w:sz="4" w:space="0"/>
            </w:tcBorders>
            <w:vAlign w:val="center"/>
          </w:tcPr>
          <w:p w14:paraId="4A9FB36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BB3897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1AD291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4DD790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7D5AC3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62</w:t>
            </w:r>
          </w:p>
        </w:tc>
        <w:tc>
          <w:tcPr>
            <w:tcW w:w="4236" w:type="dxa"/>
            <w:tcBorders>
              <w:top w:val="nil"/>
              <w:left w:val="nil"/>
              <w:bottom w:val="single" w:color="auto" w:sz="4" w:space="0"/>
              <w:right w:val="single" w:color="auto" w:sz="4" w:space="0"/>
            </w:tcBorders>
            <w:vAlign w:val="center"/>
          </w:tcPr>
          <w:p w14:paraId="3B3BC8C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麻黄</w:t>
            </w:r>
          </w:p>
        </w:tc>
        <w:tc>
          <w:tcPr>
            <w:tcW w:w="1176" w:type="dxa"/>
            <w:tcBorders>
              <w:top w:val="nil"/>
              <w:left w:val="nil"/>
              <w:bottom w:val="single" w:color="auto" w:sz="4" w:space="0"/>
              <w:right w:val="single" w:color="auto" w:sz="4" w:space="0"/>
            </w:tcBorders>
            <w:vAlign w:val="center"/>
          </w:tcPr>
          <w:p w14:paraId="7F91CF6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7CFB31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1615294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5CFBB85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F792BD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63</w:t>
            </w:r>
          </w:p>
        </w:tc>
        <w:tc>
          <w:tcPr>
            <w:tcW w:w="4236" w:type="dxa"/>
            <w:tcBorders>
              <w:top w:val="nil"/>
              <w:left w:val="nil"/>
              <w:bottom w:val="single" w:color="auto" w:sz="4" w:space="0"/>
              <w:right w:val="single" w:color="auto" w:sz="4" w:space="0"/>
            </w:tcBorders>
            <w:vAlign w:val="center"/>
          </w:tcPr>
          <w:p w14:paraId="6694456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大黄</w:t>
            </w:r>
          </w:p>
        </w:tc>
        <w:tc>
          <w:tcPr>
            <w:tcW w:w="1176" w:type="dxa"/>
            <w:tcBorders>
              <w:top w:val="nil"/>
              <w:left w:val="nil"/>
              <w:bottom w:val="single" w:color="auto" w:sz="4" w:space="0"/>
              <w:right w:val="single" w:color="auto" w:sz="4" w:space="0"/>
            </w:tcBorders>
            <w:vAlign w:val="center"/>
          </w:tcPr>
          <w:p w14:paraId="6136656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EDC8E4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E4B620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9AF586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FDB1AA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64</w:t>
            </w:r>
          </w:p>
        </w:tc>
        <w:tc>
          <w:tcPr>
            <w:tcW w:w="4236" w:type="dxa"/>
            <w:tcBorders>
              <w:top w:val="nil"/>
              <w:left w:val="nil"/>
              <w:bottom w:val="single" w:color="auto" w:sz="4" w:space="0"/>
              <w:right w:val="single" w:color="auto" w:sz="4" w:space="0"/>
            </w:tcBorders>
            <w:vAlign w:val="center"/>
          </w:tcPr>
          <w:p w14:paraId="539A2B9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黄连</w:t>
            </w:r>
          </w:p>
        </w:tc>
        <w:tc>
          <w:tcPr>
            <w:tcW w:w="1176" w:type="dxa"/>
            <w:tcBorders>
              <w:top w:val="nil"/>
              <w:left w:val="nil"/>
              <w:bottom w:val="single" w:color="auto" w:sz="4" w:space="0"/>
              <w:right w:val="single" w:color="auto" w:sz="4" w:space="0"/>
            </w:tcBorders>
            <w:vAlign w:val="center"/>
          </w:tcPr>
          <w:p w14:paraId="5C883A0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126A1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7215CEE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58D21907">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6DF0AD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65</w:t>
            </w:r>
          </w:p>
        </w:tc>
        <w:tc>
          <w:tcPr>
            <w:tcW w:w="4236" w:type="dxa"/>
            <w:tcBorders>
              <w:top w:val="nil"/>
              <w:left w:val="nil"/>
              <w:bottom w:val="single" w:color="auto" w:sz="4" w:space="0"/>
              <w:right w:val="single" w:color="auto" w:sz="4" w:space="0"/>
            </w:tcBorders>
            <w:vAlign w:val="center"/>
          </w:tcPr>
          <w:p w14:paraId="15B0708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半夏</w:t>
            </w:r>
          </w:p>
        </w:tc>
        <w:tc>
          <w:tcPr>
            <w:tcW w:w="1176" w:type="dxa"/>
            <w:tcBorders>
              <w:top w:val="nil"/>
              <w:left w:val="nil"/>
              <w:bottom w:val="single" w:color="auto" w:sz="4" w:space="0"/>
              <w:right w:val="single" w:color="auto" w:sz="4" w:space="0"/>
            </w:tcBorders>
            <w:vAlign w:val="center"/>
          </w:tcPr>
          <w:p w14:paraId="2CDA3713">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A7F9E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1CF75DB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B0CEB8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F17178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66</w:t>
            </w:r>
          </w:p>
        </w:tc>
        <w:tc>
          <w:tcPr>
            <w:tcW w:w="4236" w:type="dxa"/>
            <w:tcBorders>
              <w:top w:val="nil"/>
              <w:left w:val="nil"/>
              <w:bottom w:val="single" w:color="auto" w:sz="4" w:space="0"/>
              <w:right w:val="single" w:color="auto" w:sz="4" w:space="0"/>
            </w:tcBorders>
            <w:vAlign w:val="center"/>
          </w:tcPr>
          <w:p w14:paraId="03EF7FA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金银花</w:t>
            </w:r>
          </w:p>
        </w:tc>
        <w:tc>
          <w:tcPr>
            <w:tcW w:w="1176" w:type="dxa"/>
            <w:tcBorders>
              <w:top w:val="nil"/>
              <w:left w:val="nil"/>
              <w:bottom w:val="single" w:color="auto" w:sz="4" w:space="0"/>
              <w:right w:val="single" w:color="auto" w:sz="4" w:space="0"/>
            </w:tcBorders>
            <w:vAlign w:val="center"/>
          </w:tcPr>
          <w:p w14:paraId="1600CDB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7E080C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3AB84A7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2E50BDC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9B56EE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67</w:t>
            </w:r>
          </w:p>
        </w:tc>
        <w:tc>
          <w:tcPr>
            <w:tcW w:w="4236" w:type="dxa"/>
            <w:tcBorders>
              <w:top w:val="nil"/>
              <w:left w:val="nil"/>
              <w:bottom w:val="single" w:color="auto" w:sz="4" w:space="0"/>
              <w:right w:val="single" w:color="auto" w:sz="4" w:space="0"/>
            </w:tcBorders>
            <w:vAlign w:val="center"/>
          </w:tcPr>
          <w:p w14:paraId="506C058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天麻</w:t>
            </w:r>
          </w:p>
        </w:tc>
        <w:tc>
          <w:tcPr>
            <w:tcW w:w="1176" w:type="dxa"/>
            <w:tcBorders>
              <w:top w:val="nil"/>
              <w:left w:val="nil"/>
              <w:bottom w:val="single" w:color="auto" w:sz="4" w:space="0"/>
              <w:right w:val="single" w:color="auto" w:sz="4" w:space="0"/>
            </w:tcBorders>
            <w:vAlign w:val="center"/>
          </w:tcPr>
          <w:p w14:paraId="5B1D110A">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523964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4149265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0CC14B3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A8E7E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68</w:t>
            </w:r>
          </w:p>
        </w:tc>
        <w:tc>
          <w:tcPr>
            <w:tcW w:w="4236" w:type="dxa"/>
            <w:tcBorders>
              <w:top w:val="nil"/>
              <w:left w:val="nil"/>
              <w:bottom w:val="single" w:color="auto" w:sz="4" w:space="0"/>
              <w:right w:val="single" w:color="auto" w:sz="4" w:space="0"/>
            </w:tcBorders>
            <w:vAlign w:val="center"/>
          </w:tcPr>
          <w:p w14:paraId="77A1495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益母草药材</w:t>
            </w:r>
          </w:p>
        </w:tc>
        <w:tc>
          <w:tcPr>
            <w:tcW w:w="1176" w:type="dxa"/>
            <w:tcBorders>
              <w:top w:val="nil"/>
              <w:left w:val="nil"/>
              <w:bottom w:val="single" w:color="auto" w:sz="4" w:space="0"/>
              <w:right w:val="single" w:color="auto" w:sz="4" w:space="0"/>
            </w:tcBorders>
            <w:vAlign w:val="center"/>
          </w:tcPr>
          <w:p w14:paraId="018774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500mg/包</w:t>
            </w:r>
          </w:p>
        </w:tc>
        <w:tc>
          <w:tcPr>
            <w:tcW w:w="1020" w:type="dxa"/>
            <w:tcBorders>
              <w:top w:val="nil"/>
              <w:left w:val="nil"/>
              <w:bottom w:val="single" w:color="auto" w:sz="4" w:space="0"/>
              <w:right w:val="single" w:color="auto" w:sz="4" w:space="0"/>
            </w:tcBorders>
            <w:vAlign w:val="center"/>
          </w:tcPr>
          <w:p w14:paraId="4484DAB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包</w:t>
            </w:r>
          </w:p>
        </w:tc>
        <w:tc>
          <w:tcPr>
            <w:tcW w:w="1020" w:type="dxa"/>
            <w:tcBorders>
              <w:top w:val="nil"/>
              <w:left w:val="nil"/>
              <w:bottom w:val="single" w:color="auto" w:sz="4" w:space="0"/>
              <w:right w:val="single" w:color="auto" w:sz="4" w:space="0"/>
            </w:tcBorders>
            <w:vAlign w:val="center"/>
          </w:tcPr>
          <w:p w14:paraId="37C7F2F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w:t>
            </w:r>
          </w:p>
        </w:tc>
      </w:tr>
      <w:tr w14:paraId="57AA954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E6F7A7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69</w:t>
            </w:r>
          </w:p>
        </w:tc>
        <w:tc>
          <w:tcPr>
            <w:tcW w:w="4236" w:type="dxa"/>
            <w:tcBorders>
              <w:top w:val="nil"/>
              <w:left w:val="nil"/>
              <w:bottom w:val="single" w:color="auto" w:sz="4" w:space="0"/>
              <w:right w:val="single" w:color="auto" w:sz="4" w:space="0"/>
            </w:tcBorders>
            <w:vAlign w:val="center"/>
          </w:tcPr>
          <w:p w14:paraId="45BACA6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板蓝根药材</w:t>
            </w:r>
          </w:p>
        </w:tc>
        <w:tc>
          <w:tcPr>
            <w:tcW w:w="1176" w:type="dxa"/>
            <w:tcBorders>
              <w:top w:val="nil"/>
              <w:left w:val="nil"/>
              <w:bottom w:val="single" w:color="auto" w:sz="4" w:space="0"/>
              <w:right w:val="single" w:color="auto" w:sz="4" w:space="0"/>
            </w:tcBorders>
            <w:vAlign w:val="center"/>
          </w:tcPr>
          <w:p w14:paraId="29F3A5D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500mg/包</w:t>
            </w:r>
          </w:p>
        </w:tc>
        <w:tc>
          <w:tcPr>
            <w:tcW w:w="1020" w:type="dxa"/>
            <w:tcBorders>
              <w:top w:val="nil"/>
              <w:left w:val="nil"/>
              <w:bottom w:val="single" w:color="auto" w:sz="4" w:space="0"/>
              <w:right w:val="single" w:color="auto" w:sz="4" w:space="0"/>
            </w:tcBorders>
            <w:vAlign w:val="center"/>
          </w:tcPr>
          <w:p w14:paraId="032EDDF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包</w:t>
            </w:r>
          </w:p>
        </w:tc>
        <w:tc>
          <w:tcPr>
            <w:tcW w:w="1020" w:type="dxa"/>
            <w:tcBorders>
              <w:top w:val="nil"/>
              <w:left w:val="nil"/>
              <w:bottom w:val="single" w:color="auto" w:sz="4" w:space="0"/>
              <w:right w:val="single" w:color="auto" w:sz="4" w:space="0"/>
            </w:tcBorders>
            <w:vAlign w:val="center"/>
          </w:tcPr>
          <w:p w14:paraId="3805F59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13F1BDD3">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462E320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70</w:t>
            </w:r>
          </w:p>
        </w:tc>
        <w:tc>
          <w:tcPr>
            <w:tcW w:w="4236" w:type="dxa"/>
            <w:tcBorders>
              <w:top w:val="nil"/>
              <w:left w:val="nil"/>
              <w:bottom w:val="single" w:color="auto" w:sz="4" w:space="0"/>
              <w:right w:val="single" w:color="auto" w:sz="4" w:space="0"/>
            </w:tcBorders>
            <w:vAlign w:val="center"/>
          </w:tcPr>
          <w:p w14:paraId="7541A02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熟地黄粉末</w:t>
            </w:r>
          </w:p>
        </w:tc>
        <w:tc>
          <w:tcPr>
            <w:tcW w:w="1176" w:type="dxa"/>
            <w:tcBorders>
              <w:top w:val="nil"/>
              <w:left w:val="nil"/>
              <w:bottom w:val="single" w:color="auto" w:sz="4" w:space="0"/>
              <w:right w:val="single" w:color="auto" w:sz="4" w:space="0"/>
            </w:tcBorders>
            <w:vAlign w:val="center"/>
          </w:tcPr>
          <w:p w14:paraId="71A9530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07E2239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097CCDD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5B11E2C1">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3C0BFFC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71</w:t>
            </w:r>
          </w:p>
        </w:tc>
        <w:tc>
          <w:tcPr>
            <w:tcW w:w="4236" w:type="dxa"/>
            <w:tcBorders>
              <w:top w:val="nil"/>
              <w:left w:val="nil"/>
              <w:bottom w:val="single" w:color="auto" w:sz="4" w:space="0"/>
              <w:right w:val="single" w:color="auto" w:sz="4" w:space="0"/>
            </w:tcBorders>
            <w:vAlign w:val="center"/>
          </w:tcPr>
          <w:p w14:paraId="33602AA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山茱萸（制）粉末（罐装）</w:t>
            </w:r>
          </w:p>
        </w:tc>
        <w:tc>
          <w:tcPr>
            <w:tcW w:w="1176" w:type="dxa"/>
            <w:tcBorders>
              <w:top w:val="nil"/>
              <w:left w:val="nil"/>
              <w:bottom w:val="single" w:color="auto" w:sz="4" w:space="0"/>
              <w:right w:val="single" w:color="auto" w:sz="4" w:space="0"/>
            </w:tcBorders>
            <w:vAlign w:val="center"/>
          </w:tcPr>
          <w:p w14:paraId="0B50BC0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334957D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1FBAC48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137BD8FA">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5834E80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72</w:t>
            </w:r>
          </w:p>
        </w:tc>
        <w:tc>
          <w:tcPr>
            <w:tcW w:w="4236" w:type="dxa"/>
            <w:tcBorders>
              <w:top w:val="nil"/>
              <w:left w:val="nil"/>
              <w:bottom w:val="single" w:color="auto" w:sz="4" w:space="0"/>
              <w:right w:val="single" w:color="auto" w:sz="4" w:space="0"/>
            </w:tcBorders>
            <w:vAlign w:val="center"/>
          </w:tcPr>
          <w:p w14:paraId="00B6D75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牡丹皮粉末（罐装）</w:t>
            </w:r>
          </w:p>
        </w:tc>
        <w:tc>
          <w:tcPr>
            <w:tcW w:w="1176" w:type="dxa"/>
            <w:tcBorders>
              <w:top w:val="nil"/>
              <w:left w:val="nil"/>
              <w:bottom w:val="single" w:color="auto" w:sz="4" w:space="0"/>
              <w:right w:val="single" w:color="auto" w:sz="4" w:space="0"/>
            </w:tcBorders>
            <w:vAlign w:val="center"/>
          </w:tcPr>
          <w:p w14:paraId="017033A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487A114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0DF5384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60715C1B">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113FAD9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73</w:t>
            </w:r>
          </w:p>
        </w:tc>
        <w:tc>
          <w:tcPr>
            <w:tcW w:w="4236" w:type="dxa"/>
            <w:tcBorders>
              <w:top w:val="nil"/>
              <w:left w:val="nil"/>
              <w:bottom w:val="single" w:color="auto" w:sz="4" w:space="0"/>
              <w:right w:val="single" w:color="auto" w:sz="4" w:space="0"/>
            </w:tcBorders>
            <w:vAlign w:val="center"/>
          </w:tcPr>
          <w:p w14:paraId="52F41BC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山药粉末（罐装）</w:t>
            </w:r>
          </w:p>
        </w:tc>
        <w:tc>
          <w:tcPr>
            <w:tcW w:w="1176" w:type="dxa"/>
            <w:tcBorders>
              <w:top w:val="nil"/>
              <w:left w:val="nil"/>
              <w:bottom w:val="single" w:color="auto" w:sz="4" w:space="0"/>
              <w:right w:val="single" w:color="auto" w:sz="4" w:space="0"/>
            </w:tcBorders>
            <w:vAlign w:val="center"/>
          </w:tcPr>
          <w:p w14:paraId="79D98C0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29DE15B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47F36B8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72A1E868">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77E762E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74</w:t>
            </w:r>
          </w:p>
        </w:tc>
        <w:tc>
          <w:tcPr>
            <w:tcW w:w="4236" w:type="dxa"/>
            <w:tcBorders>
              <w:top w:val="nil"/>
              <w:left w:val="nil"/>
              <w:bottom w:val="single" w:color="auto" w:sz="4" w:space="0"/>
              <w:right w:val="single" w:color="auto" w:sz="4" w:space="0"/>
            </w:tcBorders>
            <w:vAlign w:val="center"/>
          </w:tcPr>
          <w:p w14:paraId="02C9413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茯苓粉末（罐装）</w:t>
            </w:r>
          </w:p>
        </w:tc>
        <w:tc>
          <w:tcPr>
            <w:tcW w:w="1176" w:type="dxa"/>
            <w:tcBorders>
              <w:top w:val="nil"/>
              <w:left w:val="nil"/>
              <w:bottom w:val="single" w:color="auto" w:sz="4" w:space="0"/>
              <w:right w:val="single" w:color="auto" w:sz="4" w:space="0"/>
            </w:tcBorders>
            <w:vAlign w:val="center"/>
          </w:tcPr>
          <w:p w14:paraId="7DD8590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6FDD927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2249572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2C4BEDC9">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485DCB2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75</w:t>
            </w:r>
          </w:p>
        </w:tc>
        <w:tc>
          <w:tcPr>
            <w:tcW w:w="4236" w:type="dxa"/>
            <w:tcBorders>
              <w:top w:val="nil"/>
              <w:left w:val="nil"/>
              <w:bottom w:val="single" w:color="auto" w:sz="4" w:space="0"/>
              <w:right w:val="single" w:color="auto" w:sz="4" w:space="0"/>
            </w:tcBorders>
            <w:vAlign w:val="center"/>
          </w:tcPr>
          <w:p w14:paraId="51485E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泽泻粉末（罐装）</w:t>
            </w:r>
          </w:p>
        </w:tc>
        <w:tc>
          <w:tcPr>
            <w:tcW w:w="1176" w:type="dxa"/>
            <w:tcBorders>
              <w:top w:val="nil"/>
              <w:left w:val="nil"/>
              <w:bottom w:val="single" w:color="auto" w:sz="4" w:space="0"/>
              <w:right w:val="single" w:color="auto" w:sz="4" w:space="0"/>
            </w:tcBorders>
            <w:vAlign w:val="center"/>
          </w:tcPr>
          <w:p w14:paraId="6065112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2050CEA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5713C3D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bl>
    <w:p w14:paraId="1EAE27BC">
      <w:pPr>
        <w:rPr>
          <w:rFonts w:hint="eastAsia"/>
          <w:lang w:val="en-US" w:eastAsia="zh-CN"/>
        </w:rPr>
      </w:pPr>
    </w:p>
    <w:p w14:paraId="28F17BC0">
      <w:pPr>
        <w:rPr>
          <w:rFonts w:hint="eastAsia"/>
          <w:lang w:val="en-US" w:eastAsia="zh-CN"/>
        </w:rPr>
      </w:pPr>
    </w:p>
    <w:p w14:paraId="196A0877">
      <w:pPr>
        <w:rPr>
          <w:rFonts w:hint="eastAsia"/>
          <w:lang w:val="en-US" w:eastAsia="zh-CN"/>
        </w:rPr>
      </w:pPr>
    </w:p>
    <w:p w14:paraId="19B32361">
      <w:pPr>
        <w:rPr>
          <w:rFonts w:hint="eastAsia"/>
          <w:lang w:val="en-US" w:eastAsia="zh-CN"/>
        </w:rPr>
      </w:pPr>
    </w:p>
    <w:p w14:paraId="158F96C9">
      <w:pPr>
        <w:rPr>
          <w:rFonts w:hint="eastAsia"/>
          <w:lang w:val="en-US" w:eastAsia="zh-CN"/>
        </w:rPr>
      </w:pPr>
    </w:p>
    <w:p w14:paraId="0DD1340D">
      <w:pPr>
        <w:rPr>
          <w:rFonts w:hint="eastAsia"/>
          <w:lang w:val="en-US" w:eastAsia="zh-CN"/>
        </w:rPr>
      </w:pPr>
    </w:p>
    <w:p w14:paraId="085F7368">
      <w:pPr>
        <w:rPr>
          <w:rFonts w:hint="eastAsia"/>
          <w:lang w:val="en-US" w:eastAsia="zh-CN"/>
        </w:rPr>
      </w:pPr>
    </w:p>
    <w:p w14:paraId="55CB28DB">
      <w:pPr>
        <w:rPr>
          <w:rFonts w:hint="eastAsia"/>
          <w:lang w:val="en-US" w:eastAsia="zh-CN"/>
        </w:rPr>
      </w:pPr>
    </w:p>
    <w:p w14:paraId="6DD4FF48">
      <w:pPr>
        <w:rPr>
          <w:rFonts w:hint="eastAsia"/>
          <w:lang w:val="en-US" w:eastAsia="zh-CN"/>
        </w:rPr>
      </w:pPr>
    </w:p>
    <w:p w14:paraId="20B11F59">
      <w:pPr>
        <w:rPr>
          <w:rFonts w:hint="eastAsia"/>
          <w:lang w:val="en-US" w:eastAsia="zh-CN"/>
        </w:rPr>
      </w:pPr>
    </w:p>
    <w:p w14:paraId="6BAD7878">
      <w:pPr>
        <w:rPr>
          <w:rFonts w:hint="eastAsia"/>
          <w:lang w:val="en-US" w:eastAsia="zh-CN"/>
        </w:rPr>
      </w:pPr>
    </w:p>
    <w:p w14:paraId="07987DDA">
      <w:pPr>
        <w:rPr>
          <w:rFonts w:hint="eastAsia"/>
          <w:lang w:val="en-US" w:eastAsia="zh-CN"/>
        </w:rPr>
      </w:pPr>
    </w:p>
    <w:p w14:paraId="1B9B30DD">
      <w:pPr>
        <w:rPr>
          <w:rFonts w:hint="eastAsia"/>
          <w:lang w:val="en-US" w:eastAsia="zh-CN"/>
        </w:rPr>
      </w:pPr>
    </w:p>
    <w:p w14:paraId="50E9BC50">
      <w:pPr>
        <w:rPr>
          <w:rFonts w:hint="eastAsia"/>
          <w:lang w:val="en-US" w:eastAsia="zh-CN"/>
        </w:rPr>
      </w:pPr>
    </w:p>
    <w:p w14:paraId="7D6799A3">
      <w:pPr>
        <w:rPr>
          <w:rFonts w:hint="eastAsia"/>
          <w:lang w:val="en-US" w:eastAsia="zh-CN"/>
        </w:rPr>
      </w:pPr>
    </w:p>
    <w:p w14:paraId="2505415F">
      <w:pPr>
        <w:rPr>
          <w:rFonts w:hint="eastAsia"/>
          <w:lang w:val="en-US" w:eastAsia="zh-CN"/>
        </w:rPr>
      </w:pPr>
    </w:p>
    <w:p w14:paraId="383129B6">
      <w:pPr>
        <w:rPr>
          <w:rFonts w:hint="eastAsia"/>
          <w:lang w:val="en-US" w:eastAsia="zh-CN"/>
        </w:rPr>
      </w:pPr>
    </w:p>
    <w:p w14:paraId="40ED9B97">
      <w:pPr>
        <w:rPr>
          <w:rFonts w:hint="eastAsia"/>
          <w:lang w:val="en-US" w:eastAsia="zh-CN"/>
        </w:rPr>
      </w:pPr>
    </w:p>
    <w:p w14:paraId="313DB71F">
      <w:pPr>
        <w:rPr>
          <w:rFonts w:hint="eastAsia"/>
          <w:lang w:val="en-US" w:eastAsia="zh-CN"/>
        </w:rPr>
      </w:pPr>
    </w:p>
    <w:p w14:paraId="4BFE3964">
      <w:pPr>
        <w:rPr>
          <w:rFonts w:hint="eastAsia"/>
          <w:lang w:val="en-US" w:eastAsia="zh-CN"/>
        </w:rPr>
      </w:pPr>
    </w:p>
    <w:p w14:paraId="185BCAA5">
      <w:pPr>
        <w:rPr>
          <w:rFonts w:hint="eastAsia"/>
          <w:lang w:val="en-US" w:eastAsia="zh-CN"/>
        </w:rPr>
      </w:pPr>
    </w:p>
    <w:p w14:paraId="41C0DF68">
      <w:pPr>
        <w:rPr>
          <w:rFonts w:hint="eastAsia"/>
          <w:lang w:val="en-US" w:eastAsia="zh-CN"/>
        </w:rPr>
      </w:pPr>
    </w:p>
    <w:p w14:paraId="03009CB6">
      <w:pPr>
        <w:rPr>
          <w:rFonts w:hint="eastAsia"/>
          <w:lang w:val="en-US" w:eastAsia="zh-CN"/>
        </w:rPr>
      </w:pPr>
    </w:p>
    <w:p w14:paraId="73BC47CE">
      <w:pPr>
        <w:rPr>
          <w:rFonts w:hint="eastAsia" w:eastAsia="宋体"/>
          <w:lang w:val="en-US" w:eastAsia="zh-CN"/>
        </w:rPr>
      </w:pPr>
    </w:p>
    <w:p w14:paraId="6ECE5F20">
      <w:pPr>
        <w:rPr>
          <w:rFonts w:hint="eastAsia"/>
        </w:rPr>
      </w:pPr>
    </w:p>
    <w:p w14:paraId="32BEBE32">
      <w:pPr>
        <w:rPr>
          <w:rFonts w:hint="eastAsia"/>
        </w:rPr>
      </w:pPr>
    </w:p>
    <w:p w14:paraId="07A901BD">
      <w:pPr>
        <w:pStyle w:val="3"/>
        <w:rPr>
          <w:rFonts w:hint="eastAsia" w:hAnsi="宋体" w:cs="宋体"/>
          <w:sz w:val="44"/>
        </w:rPr>
      </w:pPr>
      <w:bookmarkStart w:id="52" w:name="_Toc21799"/>
      <w:bookmarkStart w:id="53" w:name="_Toc40089799"/>
      <w:bookmarkStart w:id="54" w:name="_Toc25374"/>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14759"/>
      <w:bookmarkStart w:id="56" w:name="_Toc40089800"/>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1227"/>
      <w:bookmarkStart w:id="60" w:name="_Toc40089801"/>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25558"/>
      <w:bookmarkStart w:id="73" w:name="_Toc4008980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325620729"/>
      <w:bookmarkStart w:id="78" w:name="_Toc26378"/>
      <w:bookmarkStart w:id="79" w:name="_Toc40089809"/>
      <w:bookmarkStart w:id="80" w:name="_Toc356491343"/>
      <w:bookmarkStart w:id="81" w:name="_Toc26307"/>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0A097C3D">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24686"/>
      <w:bookmarkStart w:id="87" w:name="_Toc513627405"/>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8872"/>
      <w:bookmarkStart w:id="89" w:name="_Toc929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注：1.按照谈判文件第四部分商务需求的顺序对应逐条应答，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Pr>
        <w:rPr>
          <w:rFonts w:hint="eastAsia"/>
        </w:rPr>
      </w:pPr>
    </w:p>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15995"/>
      <w:bookmarkStart w:id="98" w:name="_Toc7441"/>
      <w:bookmarkStart w:id="99" w:name="_Toc40089813"/>
      <w:bookmarkStart w:id="100" w:name="_Toc25316"/>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rPr>
          <w:rFonts w:hint="eastAsia"/>
        </w:rPr>
      </w:pPr>
      <w:bookmarkStart w:id="101" w:name="_Toc16244"/>
      <w:bookmarkStart w:id="102" w:name="_Toc25388"/>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pPr>
        <w:rPr>
          <w:rFonts w:hint="eastAsia"/>
        </w:rPr>
      </w:pPr>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077A21-6ACE-4F25-91F7-51508CE867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392196D-E02C-4C9E-8057-0C1A840723CF}"/>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00F19D75-8C2D-44DC-B873-AAB9035628A9}"/>
  </w:font>
  <w:font w:name="仿宋_GB2312">
    <w:panose1 w:val="02010609030101010101"/>
    <w:charset w:val="86"/>
    <w:family w:val="modern"/>
    <w:pitch w:val="default"/>
    <w:sig w:usb0="00000001" w:usb1="080E0000" w:usb2="00000000" w:usb3="00000000" w:csb0="00040000" w:csb1="00000000"/>
    <w:embedRegular r:id="rId4" w:fontKey="{8BA61138-55BD-4C96-9C61-4E246654DF70}"/>
  </w:font>
  <w:font w:name="方正仿宋_GB2312">
    <w:panose1 w:val="02000000000000000000"/>
    <w:charset w:val="86"/>
    <w:family w:val="auto"/>
    <w:pitch w:val="default"/>
    <w:sig w:usb0="A00002BF" w:usb1="184F6CFA" w:usb2="00000012" w:usb3="00000000" w:csb0="00040001" w:csb1="00000000"/>
    <w:embedRegular r:id="rId5" w:fontKey="{BF8490C4-DC91-4774-AEE4-723A4CC1AF44}"/>
  </w:font>
  <w:font w:name="Wingdings 2">
    <w:panose1 w:val="05020102010507070707"/>
    <w:charset w:val="02"/>
    <w:family w:val="roman"/>
    <w:pitch w:val="default"/>
    <w:sig w:usb0="00000000" w:usb1="00000000" w:usb2="00000000" w:usb3="00000000" w:csb0="80000000" w:csb1="00000000"/>
    <w:embedRegular r:id="rId6" w:fontKey="{4E14962D-5C60-4984-BE52-8249C5C2297F}"/>
  </w:font>
  <w:font w:name="方正公文黑体">
    <w:altName w:val="微软雅黑"/>
    <w:panose1 w:val="00000000000000000000"/>
    <w:charset w:val="86"/>
    <w:family w:val="auto"/>
    <w:pitch w:val="default"/>
    <w:sig w:usb0="00000000" w:usb1="00000000" w:usb2="00000016" w:usb3="00000000" w:csb0="00040001" w:csb1="00000000"/>
    <w:embedRegular r:id="rId7" w:fontKey="{F72C9D26-FEBF-463A-A9A5-408FC4481D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3B81"/>
    <w:rsid w:val="00820B63"/>
    <w:rsid w:val="008349ED"/>
    <w:rsid w:val="008B02F1"/>
    <w:rsid w:val="008C4703"/>
    <w:rsid w:val="009C10E2"/>
    <w:rsid w:val="00AB471E"/>
    <w:rsid w:val="00AB5E71"/>
    <w:rsid w:val="00B54169"/>
    <w:rsid w:val="00C17D50"/>
    <w:rsid w:val="00C702E9"/>
    <w:rsid w:val="00D7400F"/>
    <w:rsid w:val="00E865C2"/>
    <w:rsid w:val="00EC002F"/>
    <w:rsid w:val="00EC5EEA"/>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6246CB"/>
    <w:rsid w:val="03B92498"/>
    <w:rsid w:val="03C03826"/>
    <w:rsid w:val="03E1761F"/>
    <w:rsid w:val="04210BBD"/>
    <w:rsid w:val="043A0EC2"/>
    <w:rsid w:val="04BD1B14"/>
    <w:rsid w:val="04C21C5A"/>
    <w:rsid w:val="04C609C8"/>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84F19EE"/>
    <w:rsid w:val="08DA0EE6"/>
    <w:rsid w:val="09542027"/>
    <w:rsid w:val="09A432A2"/>
    <w:rsid w:val="09BC4A90"/>
    <w:rsid w:val="09BE64C0"/>
    <w:rsid w:val="09FB55B8"/>
    <w:rsid w:val="0A3F0100"/>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A7A86"/>
    <w:rsid w:val="1E804B75"/>
    <w:rsid w:val="1EBF45AF"/>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5903244"/>
    <w:rsid w:val="25C94365"/>
    <w:rsid w:val="25CD79B1"/>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C073D"/>
    <w:rsid w:val="47C66004"/>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011533"/>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EFD74B7"/>
    <w:rsid w:val="6F467505"/>
    <w:rsid w:val="702F68EB"/>
    <w:rsid w:val="70AD748E"/>
    <w:rsid w:val="70BB1F0C"/>
    <w:rsid w:val="70F24BFB"/>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12BAA"/>
    <w:rsid w:val="76452B41"/>
    <w:rsid w:val="7682155F"/>
    <w:rsid w:val="77035C3C"/>
    <w:rsid w:val="77313CD6"/>
    <w:rsid w:val="77334767"/>
    <w:rsid w:val="77790089"/>
    <w:rsid w:val="77FA1D1D"/>
    <w:rsid w:val="781F1BE1"/>
    <w:rsid w:val="78873B38"/>
    <w:rsid w:val="78AB4366"/>
    <w:rsid w:val="78C23FF4"/>
    <w:rsid w:val="792C76BC"/>
    <w:rsid w:val="79F47917"/>
    <w:rsid w:val="79F521A7"/>
    <w:rsid w:val="7AAC0AB8"/>
    <w:rsid w:val="7AEC35AA"/>
    <w:rsid w:val="7B164E20"/>
    <w:rsid w:val="7B252618"/>
    <w:rsid w:val="7B5B24DE"/>
    <w:rsid w:val="7B5F5B2A"/>
    <w:rsid w:val="7B8E5936"/>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5251</Words>
  <Characters>5526</Characters>
  <Lines>88</Lines>
  <Paragraphs>24</Paragraphs>
  <TotalTime>0</TotalTime>
  <ScaleCrop>false</ScaleCrop>
  <LinksUpToDate>false</LinksUpToDate>
  <CharactersWithSpaces>5751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2025-07-29T07:16:00Z</dcterms:created>
  <dc:creator>水岸听涛</dc:creator>
  <cp:lastModifiedBy>15103004526</cp:lastModifiedBy>
  <cp:lastPrinted>2025-03-14T16:51:00Z</cp:lastPrinted>
  <dcterms:modified xsi:type="dcterms:W3CDTF">2025-08-04T02:36:28Z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140D6B4DCA2441C39CC899FE53428D13_13</vt:lpwstr>
  </property>
  <property fmtid="{D5CDD505-2E9C-101B-9397-08002B2CF9AE}" pid="4" name="KSOTemplateDocerSaveRecord">
    <vt:lpwstr>eyJoZGlkIjoiNDM5ZDdjZjFiODIxN2ZjMTI5YjI0MDdhY2Y5YzI5M2EiLCJ1c2VySWQiOiI3NTE2MzkyOTIifQ==</vt:lpwstr>
  </property>
</Properties>
</file>