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EB7D">
      <w:pPr>
        <w:spacing w:line="600" w:lineRule="exact"/>
        <w:rPr>
          <w:rFonts w:ascii="方正公文小标宋" w:hAnsi="方正公文小标宋" w:eastAsia="方正公文小标宋" w:cs="方正公文小标宋"/>
          <w:color w:val="auto"/>
          <w:highlight w:val="none"/>
        </w:rPr>
      </w:pPr>
      <w:r>
        <w:rPr>
          <w:rFonts w:hint="eastAsia" w:ascii="方正公文小标宋" w:hAnsi="方正公文小标宋" w:eastAsia="方正公文小标宋" w:cs="方正公文小标宋"/>
          <w:color w:val="auto"/>
          <w:highlight w:val="none"/>
        </w:rPr>
        <w:t xml:space="preserve"> </w:t>
      </w:r>
    </w:p>
    <w:p w14:paraId="04541392">
      <w:pPr>
        <w:adjustRightInd w:val="0"/>
        <w:snapToGrid w:val="0"/>
        <w:spacing w:line="560" w:lineRule="exact"/>
        <w:jc w:val="center"/>
        <w:rPr>
          <w:rFonts w:asciiTheme="minorEastAsia" w:hAnsiTheme="minorEastAsia" w:eastAsiaTheme="minorEastAsia" w:cstheme="minorEastAsia"/>
          <w:b/>
          <w:bCs w:val="0"/>
          <w:color w:val="auto"/>
          <w:sz w:val="44"/>
          <w:szCs w:val="44"/>
          <w:highlight w:val="none"/>
        </w:rPr>
      </w:pPr>
      <w:bookmarkStart w:id="0" w:name="_Toc415058575"/>
      <w:bookmarkStart w:id="1" w:name="_Toc415058499"/>
      <w:bookmarkStart w:id="2" w:name="_Toc375561633"/>
    </w:p>
    <w:p w14:paraId="588FEFC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海南卫生健康职业学院</w:t>
      </w:r>
    </w:p>
    <w:p w14:paraId="1BAC44B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2026年学生消防应急疏散与灭火演练项目（二次招标）</w:t>
      </w:r>
    </w:p>
    <w:p w14:paraId="30831E8D">
      <w:pPr>
        <w:rPr>
          <w:color w:val="auto"/>
          <w:highlight w:val="none"/>
        </w:rPr>
      </w:pPr>
    </w:p>
    <w:p w14:paraId="6EA1EE2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highlight w:val="none"/>
        </w:rPr>
      </w:pPr>
    </w:p>
    <w:p w14:paraId="48622F36">
      <w:pPr>
        <w:adjustRightInd w:val="0"/>
        <w:snapToGrid w:val="0"/>
        <w:spacing w:line="560" w:lineRule="exact"/>
        <w:ind w:firstLine="720" w:firstLineChars="200"/>
        <w:jc w:val="center"/>
        <w:rPr>
          <w:rFonts w:hint="eastAsia" w:asciiTheme="minorEastAsia" w:hAnsiTheme="minorEastAsia" w:eastAsiaTheme="minorEastAsia" w:cstheme="minorEastAsia"/>
          <w:b/>
          <w:bCs w:val="0"/>
          <w:color w:val="auto"/>
          <w:spacing w:val="40"/>
          <w:sz w:val="36"/>
          <w:szCs w:val="36"/>
          <w:highlight w:val="none"/>
          <w:lang w:val="en-US" w:eastAsia="zh-CN"/>
        </w:rPr>
      </w:pPr>
      <w:r>
        <w:rPr>
          <w:rFonts w:hint="eastAsia" w:asciiTheme="minorEastAsia" w:hAnsiTheme="minorEastAsia" w:eastAsiaTheme="minorEastAsia" w:cstheme="minorEastAsia"/>
          <w:bCs w:val="0"/>
          <w:color w:val="auto"/>
          <w:sz w:val="36"/>
          <w:szCs w:val="36"/>
          <w:highlight w:val="none"/>
        </w:rPr>
        <w:t>项目编号：HNWJY-FW202600</w:t>
      </w:r>
      <w:r>
        <w:rPr>
          <w:rFonts w:hint="eastAsia" w:asciiTheme="minorEastAsia" w:hAnsiTheme="minorEastAsia" w:eastAsiaTheme="minorEastAsia" w:cstheme="minorEastAsia"/>
          <w:bCs w:val="0"/>
          <w:color w:val="auto"/>
          <w:sz w:val="36"/>
          <w:szCs w:val="36"/>
          <w:highlight w:val="none"/>
          <w:lang w:val="en-US" w:eastAsia="zh-CN"/>
        </w:rPr>
        <w:t>5</w:t>
      </w:r>
    </w:p>
    <w:p w14:paraId="7C4D8536">
      <w:pPr>
        <w:adjustRightInd w:val="0"/>
        <w:snapToGrid w:val="0"/>
        <w:spacing w:line="420" w:lineRule="auto"/>
        <w:jc w:val="center"/>
        <w:rPr>
          <w:rFonts w:hint="eastAsia" w:asciiTheme="minorEastAsia" w:hAnsiTheme="minorEastAsia" w:eastAsiaTheme="minorEastAsia" w:cstheme="minorEastAsia"/>
          <w:bCs w:val="0"/>
          <w:color w:val="auto"/>
          <w:sz w:val="36"/>
          <w:szCs w:val="36"/>
          <w:highlight w:val="none"/>
          <w:shd w:val="clear" w:color="auto" w:fill="FFFF00"/>
          <w:lang w:val="en-US" w:eastAsia="zh-CN"/>
        </w:rPr>
      </w:pPr>
    </w:p>
    <w:p w14:paraId="7DCF9AE8">
      <w:pPr>
        <w:adjustRightInd w:val="0"/>
        <w:snapToGrid w:val="0"/>
        <w:spacing w:line="420" w:lineRule="auto"/>
        <w:rPr>
          <w:rFonts w:asciiTheme="minorEastAsia" w:hAnsiTheme="minorEastAsia" w:eastAsiaTheme="minorEastAsia" w:cstheme="minorEastAsia"/>
          <w:b/>
          <w:bCs w:val="0"/>
          <w:color w:val="auto"/>
          <w:spacing w:val="40"/>
          <w:sz w:val="36"/>
          <w:szCs w:val="36"/>
          <w:highlight w:val="none"/>
        </w:rPr>
      </w:pPr>
    </w:p>
    <w:bookmarkEnd w:id="0"/>
    <w:bookmarkEnd w:id="1"/>
    <w:bookmarkEnd w:id="2"/>
    <w:p w14:paraId="05215993">
      <w:pPr>
        <w:spacing w:line="360" w:lineRule="auto"/>
        <w:ind w:firstLine="723" w:firstLineChars="100"/>
        <w:jc w:val="center"/>
        <w:rPr>
          <w:rFonts w:hAnsi="宋体"/>
          <w:b/>
          <w:color w:val="auto"/>
          <w:sz w:val="72"/>
          <w:szCs w:val="72"/>
          <w:highlight w:val="none"/>
        </w:rPr>
      </w:pPr>
      <w:bookmarkStart w:id="3" w:name="_Toc326783408"/>
      <w:bookmarkStart w:id="4" w:name="_Toc325731733"/>
      <w:bookmarkStart w:id="5" w:name="_Toc325446794"/>
    </w:p>
    <w:p w14:paraId="33788060">
      <w:pPr>
        <w:spacing w:line="360" w:lineRule="auto"/>
        <w:ind w:firstLine="723" w:firstLineChars="100"/>
        <w:jc w:val="center"/>
        <w:rPr>
          <w:rFonts w:hAnsi="宋体"/>
          <w:b/>
          <w:color w:val="auto"/>
          <w:sz w:val="72"/>
          <w:szCs w:val="72"/>
          <w:highlight w:val="none"/>
        </w:rPr>
      </w:pPr>
      <w:r>
        <w:rPr>
          <w:rFonts w:hint="eastAsia" w:hAnsi="宋体"/>
          <w:b/>
          <w:sz w:val="72"/>
          <w:szCs w:val="72"/>
          <w:lang w:eastAsia="zh-CN"/>
        </w:rPr>
        <w:t>校内</w:t>
      </w:r>
      <w:r>
        <w:rPr>
          <w:rFonts w:hint="eastAsia" w:hAnsi="宋体"/>
          <w:b/>
          <w:color w:val="auto"/>
          <w:sz w:val="72"/>
          <w:szCs w:val="72"/>
          <w:highlight w:val="none"/>
        </w:rPr>
        <w:t>竞争性磋商文件</w:t>
      </w:r>
    </w:p>
    <w:p w14:paraId="46A55FB3">
      <w:pPr>
        <w:rPr>
          <w:color w:val="auto"/>
          <w:highlight w:val="none"/>
        </w:rPr>
      </w:pPr>
    </w:p>
    <w:bookmarkEnd w:id="3"/>
    <w:bookmarkEnd w:id="4"/>
    <w:bookmarkEnd w:id="5"/>
    <w:p w14:paraId="58F25A44">
      <w:pPr>
        <w:rPr>
          <w:color w:val="auto"/>
          <w:highlight w:val="none"/>
        </w:rPr>
      </w:pPr>
    </w:p>
    <w:p w14:paraId="429C1DBA">
      <w:pPr>
        <w:rPr>
          <w:color w:val="auto"/>
          <w:highlight w:val="none"/>
        </w:rPr>
      </w:pPr>
    </w:p>
    <w:p w14:paraId="3CD6068A">
      <w:pPr>
        <w:rPr>
          <w:color w:val="auto"/>
          <w:highlight w:val="none"/>
        </w:rPr>
      </w:pPr>
    </w:p>
    <w:p w14:paraId="0240D67A">
      <w:pPr>
        <w:rPr>
          <w:color w:val="auto"/>
          <w:highlight w:val="none"/>
        </w:rPr>
      </w:pPr>
    </w:p>
    <w:p w14:paraId="5358E844">
      <w:pPr>
        <w:adjustRightInd w:val="0"/>
        <w:snapToGrid w:val="0"/>
        <w:spacing w:line="560" w:lineRule="exact"/>
        <w:rPr>
          <w:rFonts w:asciiTheme="minorEastAsia" w:hAnsiTheme="minorEastAsia" w:eastAsiaTheme="minorEastAsia" w:cstheme="minorEastAsia"/>
          <w:b/>
          <w:color w:val="auto"/>
          <w:sz w:val="36"/>
          <w:szCs w:val="36"/>
          <w:highlight w:val="none"/>
        </w:rPr>
      </w:pPr>
    </w:p>
    <w:p w14:paraId="4B5FCC18">
      <w:pPr>
        <w:adjustRightInd w:val="0"/>
        <w:snapToGrid w:val="0"/>
        <w:spacing w:line="560" w:lineRule="exact"/>
        <w:jc w:val="center"/>
        <w:rPr>
          <w:rFonts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color w:val="auto"/>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36"/>
          <w:szCs w:val="36"/>
          <w:highlight w:val="none"/>
        </w:rPr>
        <w:t>采购</w:t>
      </w:r>
      <w:r>
        <w:rPr>
          <w:rFonts w:hint="eastAsia" w:asciiTheme="minorEastAsia" w:hAnsiTheme="minorEastAsia" w:eastAsiaTheme="minorEastAsia" w:cstheme="minorEastAsia"/>
          <w:b/>
          <w:bCs w:val="0"/>
          <w:color w:val="auto"/>
          <w:sz w:val="36"/>
          <w:szCs w:val="36"/>
          <w:highlight w:val="none"/>
        </w:rPr>
        <w:t>单位：海南卫生健康职业学院</w:t>
      </w:r>
    </w:p>
    <w:p w14:paraId="7C956E99">
      <w:pPr>
        <w:adjustRightInd w:val="0"/>
        <w:snapToGrid w:val="0"/>
        <w:spacing w:line="560" w:lineRule="exact"/>
        <w:jc w:val="center"/>
        <w:rPr>
          <w:rFonts w:hint="eastAsia" w:asciiTheme="minorEastAsia" w:hAnsiTheme="minorEastAsia" w:eastAsiaTheme="minorEastAsia" w:cstheme="minorEastAsia"/>
          <w:b/>
          <w:bCs w:val="0"/>
          <w:color w:val="auto"/>
          <w:sz w:val="36"/>
          <w:szCs w:val="36"/>
          <w:highlight w:val="none"/>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color w:val="auto"/>
          <w:sz w:val="36"/>
          <w:szCs w:val="36"/>
          <w:highlight w:val="none"/>
        </w:rPr>
        <w:t>编制时间：202</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年</w:t>
      </w:r>
      <w:r>
        <w:rPr>
          <w:rFonts w:hint="eastAsia" w:asciiTheme="minorEastAsia" w:hAnsiTheme="minorEastAsia" w:eastAsiaTheme="minorEastAsia" w:cstheme="minorEastAsia"/>
          <w:b/>
          <w:bCs w:val="0"/>
          <w:color w:val="auto"/>
          <w:sz w:val="36"/>
          <w:szCs w:val="36"/>
          <w:highlight w:val="none"/>
          <w:lang w:val="en-US" w:eastAsia="zh-CN"/>
        </w:rPr>
        <w:t>5</w:t>
      </w:r>
      <w:r>
        <w:rPr>
          <w:rFonts w:hint="eastAsia" w:asciiTheme="minorEastAsia" w:hAnsiTheme="minorEastAsia" w:eastAsiaTheme="minorEastAsia" w:cstheme="minorEastAsia"/>
          <w:b/>
          <w:bCs w:val="0"/>
          <w:color w:val="auto"/>
          <w:sz w:val="36"/>
          <w:szCs w:val="36"/>
          <w:highlight w:val="none"/>
        </w:rPr>
        <w:t>月</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日</w:t>
      </w:r>
    </w:p>
    <w:p w14:paraId="3FC8C581">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6" w:name="_Toc9970"/>
      <w:bookmarkStart w:id="7" w:name="_Toc40089788"/>
      <w:bookmarkStart w:id="8" w:name="_Toc356491305"/>
    </w:p>
    <w:p w14:paraId="1FC996C9">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9" w:name="_Toc20015"/>
      <w:r>
        <w:rPr>
          <w:rStyle w:val="31"/>
          <w:rFonts w:hint="eastAsia" w:asciiTheme="minorEastAsia" w:hAnsiTheme="minorEastAsia" w:eastAsiaTheme="minorEastAsia" w:cstheme="minorEastAsia"/>
          <w:color w:val="auto"/>
          <w:sz w:val="32"/>
          <w:szCs w:val="32"/>
          <w:highlight w:val="none"/>
        </w:rPr>
        <w:t>目  录</w:t>
      </w:r>
    </w:p>
    <w:bookmarkEnd w:id="6"/>
    <w:bookmarkEnd w:id="9"/>
    <w:p w14:paraId="595FBFAC">
      <w:pPr>
        <w:pStyle w:val="19"/>
        <w:tabs>
          <w:tab w:val="right" w:leader="dot" w:pos="8732"/>
        </w:tabs>
        <w:rPr>
          <w:rFonts w:hint="eastAsia" w:ascii="仿宋" w:hAnsi="仿宋" w:eastAsia="仿宋" w:cs="仿宋"/>
          <w:color w:val="auto"/>
          <w:sz w:val="32"/>
          <w:szCs w:val="32"/>
          <w:highlight w:val="none"/>
        </w:rPr>
      </w:pPr>
      <w:r>
        <w:rPr>
          <w:rStyle w:val="31"/>
          <w:rFonts w:hint="eastAsia" w:ascii="仿宋" w:hAnsi="仿宋" w:eastAsia="仿宋" w:cs="仿宋"/>
          <w:color w:val="auto"/>
          <w:sz w:val="32"/>
          <w:szCs w:val="32"/>
          <w:highlight w:val="none"/>
        </w:rPr>
        <w:fldChar w:fldCharType="begin"/>
      </w:r>
      <w:r>
        <w:rPr>
          <w:rStyle w:val="31"/>
          <w:rFonts w:hint="eastAsia" w:ascii="仿宋" w:hAnsi="仿宋" w:eastAsia="仿宋" w:cs="仿宋"/>
          <w:color w:val="auto"/>
          <w:sz w:val="32"/>
          <w:szCs w:val="32"/>
          <w:highlight w:val="none"/>
        </w:rPr>
        <w:instrText xml:space="preserve">TOC \o "1-2" \h \u </w:instrText>
      </w:r>
      <w:r>
        <w:rPr>
          <w:rStyle w:val="31"/>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_Toc20015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目  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_Toc20015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5D6A5C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第一部分 竞争性磋商公告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282CF4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_Toc22920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第二部分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_Toc22920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59122A8">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第三部分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A53D31A">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第四部分 授予合同</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DECAD5">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_Toc11038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第五部分 项目需求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_Toc11038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1F11772">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_Toc12517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第六部分 报价文件格式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_Toc12517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569A0C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_Toc9943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一、商务部分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_Toc9943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86DDB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_Toc21595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 资信部分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_Toc21595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126038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_Toc28212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 技术部分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_Toc28212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C7CDD3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_Toc2093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四、报价部分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_Toc2093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8E7DCEF">
      <w:pPr>
        <w:pStyle w:val="19"/>
        <w:tabs>
          <w:tab w:val="right" w:leader="dot" w:pos="8732"/>
        </w:tabs>
        <w:rPr>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封套格式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F51A03">
      <w:pPr>
        <w:rPr>
          <w:rFonts w:hint="eastAsia" w:ascii="仿宋" w:hAnsi="仿宋" w:eastAsia="仿宋" w:cs="仿宋"/>
          <w:color w:val="auto"/>
          <w:szCs w:val="32"/>
          <w:highlight w:val="none"/>
        </w:rPr>
      </w:pPr>
      <w:r>
        <w:rPr>
          <w:rFonts w:hint="eastAsia" w:ascii="仿宋" w:hAnsi="仿宋" w:eastAsia="仿宋" w:cs="仿宋"/>
          <w:color w:val="auto"/>
          <w:szCs w:val="32"/>
          <w:highlight w:val="none"/>
        </w:rPr>
        <w:fldChar w:fldCharType="end"/>
      </w:r>
      <w:bookmarkStart w:id="10" w:name="_Toc19324"/>
    </w:p>
    <w:p w14:paraId="15E3DC44">
      <w:pPr>
        <w:rPr>
          <w:rFonts w:hint="eastAsia" w:ascii="仿宋" w:hAnsi="仿宋" w:eastAsia="仿宋" w:cs="仿宋"/>
          <w:color w:val="auto"/>
          <w:szCs w:val="32"/>
          <w:highlight w:val="none"/>
        </w:rPr>
      </w:pPr>
    </w:p>
    <w:p w14:paraId="22E885E9">
      <w:pPr>
        <w:rPr>
          <w:rFonts w:hint="eastAsia" w:ascii="仿宋" w:hAnsi="仿宋" w:eastAsia="仿宋" w:cs="仿宋"/>
          <w:color w:val="auto"/>
          <w:szCs w:val="32"/>
          <w:highlight w:val="none"/>
        </w:rPr>
      </w:pPr>
    </w:p>
    <w:p w14:paraId="1615B747">
      <w:pPr>
        <w:rPr>
          <w:rFonts w:hint="eastAsia" w:ascii="仿宋" w:hAnsi="仿宋" w:eastAsia="仿宋" w:cs="仿宋"/>
          <w:color w:val="auto"/>
          <w:szCs w:val="32"/>
          <w:highlight w:val="none"/>
        </w:rPr>
      </w:pPr>
    </w:p>
    <w:p w14:paraId="2E3D7195">
      <w:pPr>
        <w:rPr>
          <w:rFonts w:hint="eastAsia" w:ascii="仿宋" w:hAnsi="仿宋" w:eastAsia="仿宋" w:cs="仿宋"/>
          <w:color w:val="auto"/>
          <w:szCs w:val="32"/>
          <w:highlight w:val="none"/>
        </w:rPr>
      </w:pPr>
    </w:p>
    <w:p w14:paraId="2DDBC6C9">
      <w:pPr>
        <w:rPr>
          <w:rFonts w:hint="eastAsia" w:ascii="仿宋" w:hAnsi="仿宋" w:eastAsia="仿宋" w:cs="仿宋"/>
          <w:color w:val="auto"/>
          <w:szCs w:val="32"/>
          <w:highlight w:val="none"/>
        </w:rPr>
      </w:pPr>
    </w:p>
    <w:p w14:paraId="454FA314">
      <w:pPr>
        <w:rPr>
          <w:rStyle w:val="31"/>
          <w:rFonts w:hint="eastAsia" w:eastAsia="仿宋" w:asciiTheme="minorEastAsia" w:hAnsiTheme="minorEastAsia" w:cstheme="minorEastAsia"/>
          <w:b/>
          <w:color w:val="auto"/>
          <w:sz w:val="44"/>
          <w:highlight w:val="none"/>
          <w:lang w:val="en-US" w:eastAsia="zh-CN"/>
        </w:rPr>
      </w:pPr>
    </w:p>
    <w:p w14:paraId="512BACA2">
      <w:pPr>
        <w:pStyle w:val="2"/>
        <w:jc w:val="center"/>
        <w:rPr>
          <w:color w:val="auto"/>
          <w:highlight w:val="none"/>
        </w:rPr>
      </w:pPr>
      <w:r>
        <w:rPr>
          <w:rStyle w:val="31"/>
          <w:rFonts w:hint="eastAsia" w:asciiTheme="minorEastAsia" w:hAnsiTheme="minorEastAsia" w:eastAsiaTheme="minorEastAsia" w:cstheme="minorEastAsia"/>
          <w:b/>
          <w:color w:val="auto"/>
          <w:sz w:val="44"/>
          <w:highlight w:val="none"/>
        </w:rPr>
        <w:t xml:space="preserve">第一部分 </w:t>
      </w:r>
      <w:bookmarkEnd w:id="7"/>
      <w:bookmarkEnd w:id="8"/>
      <w:r>
        <w:rPr>
          <w:rStyle w:val="31"/>
          <w:rFonts w:hint="eastAsia" w:asciiTheme="minorEastAsia" w:hAnsiTheme="minorEastAsia" w:eastAsiaTheme="minorEastAsia" w:cstheme="minorEastAsia"/>
          <w:b/>
          <w:color w:val="auto"/>
          <w:sz w:val="44"/>
          <w:highlight w:val="none"/>
        </w:rPr>
        <w:t>竞争性磋商公告</w:t>
      </w:r>
      <w:bookmarkEnd w:id="10"/>
      <w:bookmarkStart w:id="11" w:name="_Toc325620702"/>
      <w:bookmarkStart w:id="12" w:name="_Toc325582571"/>
      <w:bookmarkStart w:id="13" w:name="_Toc325582066"/>
    </w:p>
    <w:p w14:paraId="09617736">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一、采购项目名称</w:t>
      </w:r>
    </w:p>
    <w:p w14:paraId="476FD57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2026年学生消防应急疏散与灭火演练项目（二次招标）</w:t>
      </w:r>
    </w:p>
    <w:p w14:paraId="6F553F5F">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二、采购项目编号</w:t>
      </w:r>
    </w:p>
    <w:p w14:paraId="697A0C71">
      <w:pPr>
        <w:adjustRightInd w:val="0"/>
        <w:snapToGrid w:val="0"/>
        <w:spacing w:line="560" w:lineRule="exact"/>
        <w:ind w:firstLine="640" w:firstLineChars="200"/>
        <w:jc w:val="left"/>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HNWJY-FW202600</w:t>
      </w:r>
      <w:r>
        <w:rPr>
          <w:rFonts w:hint="eastAsia" w:ascii="仿宋" w:hAnsi="仿宋" w:eastAsia="仿宋" w:cs="仿宋"/>
          <w:b w:val="0"/>
          <w:bCs/>
          <w:color w:val="auto"/>
          <w:sz w:val="32"/>
          <w:szCs w:val="32"/>
          <w:highlight w:val="none"/>
          <w:lang w:val="en-US" w:eastAsia="zh-CN"/>
        </w:rPr>
        <w:t>5</w:t>
      </w:r>
    </w:p>
    <w:p w14:paraId="3EC4863A">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35"/>
        <w:gridCol w:w="1519"/>
      </w:tblGrid>
      <w:tr w14:paraId="060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6CC8221">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p w14:paraId="027B6C8C">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7135" w:type="dxa"/>
            <w:vAlign w:val="center"/>
          </w:tcPr>
          <w:p w14:paraId="3B2A4AAB">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供应商资格要求</w:t>
            </w:r>
          </w:p>
        </w:tc>
        <w:tc>
          <w:tcPr>
            <w:tcW w:w="1519" w:type="dxa"/>
            <w:vAlign w:val="center"/>
          </w:tcPr>
          <w:p w14:paraId="0346D9C0">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5BAC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78BA0F92">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4CD983D1">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036D86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2026年学生消防应急疏散与灭火演练项目（二次招标）</w:t>
            </w:r>
          </w:p>
          <w:p w14:paraId="4BEA3955">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highlight w:val="none"/>
              </w:rPr>
            </w:pPr>
          </w:p>
        </w:tc>
        <w:tc>
          <w:tcPr>
            <w:tcW w:w="7135" w:type="dxa"/>
            <w:vAlign w:val="center"/>
          </w:tcPr>
          <w:p w14:paraId="1F34FED1">
            <w:pPr>
              <w:pStyle w:val="32"/>
              <w:keepNext w:val="0"/>
              <w:keepLines w:val="0"/>
              <w:widowControl/>
              <w:numPr>
                <w:ilvl w:val="0"/>
                <w:numId w:val="3"/>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符合《中华人民共和国政府采购法》第二十二条规定，在中国境内注册，具有独立承担民事责任能力的法人、其他组织或者自然人。供应商须提供有效的营业执照（法人或其他组织）</w:t>
            </w:r>
          </w:p>
          <w:p w14:paraId="023CD5D7">
            <w:pPr>
              <w:pStyle w:val="32"/>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bCs w:val="0"/>
                <w:color w:val="auto"/>
                <w:kern w:val="0"/>
                <w:sz w:val="32"/>
                <w:szCs w:val="32"/>
                <w:highlight w:val="none"/>
                <w:lang w:val="en-US" w:eastAsia="zh-CN" w:bidi="ar-SA"/>
              </w:rPr>
              <w:t>2</w:t>
            </w:r>
            <w:r>
              <w:rPr>
                <w:rFonts w:hint="default" w:ascii="仿宋" w:hAnsi="仿宋" w:eastAsia="仿宋" w:cs="仿宋"/>
                <w:bCs w:val="0"/>
                <w:color w:val="auto"/>
                <w:kern w:val="0"/>
                <w:sz w:val="32"/>
                <w:szCs w:val="32"/>
                <w:highlight w:val="none"/>
                <w:lang w:val="en-US" w:eastAsia="zh-CN" w:bidi="ar-SA"/>
              </w:rPr>
              <w:t>.</w:t>
            </w:r>
            <w:r>
              <w:rPr>
                <w:rFonts w:hint="eastAsia" w:ascii="仿宋" w:hAnsi="仿宋" w:eastAsia="仿宋" w:cs="仿宋"/>
                <w:color w:val="auto"/>
                <w:kern w:val="0"/>
                <w:sz w:val="32"/>
                <w:szCs w:val="32"/>
                <w:highlight w:val="none"/>
              </w:rPr>
              <w:t>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356023C5">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highlight w:val="none"/>
                <w:shd w:val="clear" w:color="auto" w:fill="FFFFFF"/>
              </w:rPr>
              <w:t>加盖公章</w:t>
            </w:r>
            <w:r>
              <w:rPr>
                <w:rFonts w:hint="eastAsia" w:ascii="仿宋" w:hAnsi="仿宋" w:eastAsia="仿宋" w:cs="仿宋"/>
                <w:color w:val="auto"/>
                <w:kern w:val="0"/>
                <w:sz w:val="32"/>
                <w:szCs w:val="32"/>
                <w:highlight w:val="none"/>
              </w:rPr>
              <w:t>）。</w:t>
            </w:r>
          </w:p>
          <w:p w14:paraId="34DF5B82">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.本项目不接受联合体参与报价，成交后不允许转包，提交承诺函。</w:t>
            </w:r>
          </w:p>
        </w:tc>
        <w:tc>
          <w:tcPr>
            <w:tcW w:w="1519" w:type="dxa"/>
            <w:vAlign w:val="center"/>
          </w:tcPr>
          <w:p w14:paraId="2154487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tc>
      </w:tr>
    </w:tbl>
    <w:p w14:paraId="552E8ABC">
      <w:pPr>
        <w:bidi w:val="0"/>
        <w:rPr>
          <w:color w:val="auto"/>
          <w:highlight w:val="none"/>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27B6C29C">
      <w:pPr>
        <w:adjustRightInd w:val="0"/>
        <w:snapToGrid w:val="0"/>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四、投标人须知</w:t>
      </w:r>
    </w:p>
    <w:p w14:paraId="3F38FDF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32CED5C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E143FA5">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2177E9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44338B4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前（北京时间），逾期未提交报价文件者视为自动放弃本项目报价资格。</w:t>
      </w:r>
    </w:p>
    <w:p w14:paraId="12D2EBF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8BAC07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28ABCC8F">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29</w:t>
      </w:r>
      <w:bookmarkStart w:id="112" w:name="_GoBack"/>
      <w:bookmarkEnd w:id="112"/>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时分</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前（北京时间）；</w:t>
      </w:r>
    </w:p>
    <w:p w14:paraId="2E92550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2D0B2EED">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6.报价要求及成交原则：</w:t>
      </w:r>
    </w:p>
    <w:p w14:paraId="456E0D4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6.1报价的供应商向采购人做出一次性书面报价（单价、总价）（均按人民币进行报价）</w:t>
      </w:r>
      <w:r>
        <w:rPr>
          <w:rFonts w:hint="eastAsia" w:ascii="仿宋" w:hAnsi="仿宋" w:eastAsia="仿宋" w:cs="仿宋"/>
          <w:color w:val="auto"/>
          <w:sz w:val="32"/>
          <w:szCs w:val="32"/>
          <w:highlight w:val="none"/>
          <w:lang w:eastAsia="zh-CN"/>
        </w:rPr>
        <w:t>（本项目需要二次报价）</w:t>
      </w:r>
      <w:r>
        <w:rPr>
          <w:rFonts w:hint="eastAsia" w:ascii="仿宋" w:hAnsi="仿宋" w:eastAsia="仿宋" w:cs="仿宋"/>
          <w:color w:val="auto"/>
          <w:sz w:val="32"/>
          <w:szCs w:val="32"/>
          <w:highlight w:val="none"/>
        </w:rPr>
        <w:t>。</w:t>
      </w:r>
    </w:p>
    <w:p w14:paraId="63EDACE0">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450F07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6.3供应商如对本项目报价，即不可撤回。否则，该供应商在今后一年内不得参与本单位的采购活动。</w:t>
      </w:r>
    </w:p>
    <w:p w14:paraId="285DA2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7.报价文件编制要求：</w:t>
      </w:r>
    </w:p>
    <w:p w14:paraId="44338E3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7.1 本项目相关的资质证明材料；</w:t>
      </w:r>
    </w:p>
    <w:p w14:paraId="3A80ADA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7.2 近三年内，在经营活动中没有重大违法记录的声明原件；</w:t>
      </w:r>
    </w:p>
    <w:p w14:paraId="2A8F5EA2">
      <w:pPr>
        <w:adjustRightInd w:val="0"/>
        <w:snapToGrid w:val="0"/>
        <w:spacing w:line="560" w:lineRule="exact"/>
        <w:ind w:firstLine="640" w:firstLineChars="200"/>
        <w:rPr>
          <w:rFonts w:ascii="仿宋" w:hAnsi="仿宋" w:cs="仿宋"/>
          <w:color w:val="auto"/>
          <w:sz w:val="32"/>
          <w:szCs w:val="32"/>
          <w:highlight w:val="none"/>
        </w:rPr>
      </w:pPr>
      <w:r>
        <w:rPr>
          <w:rFonts w:hint="eastAsia" w:ascii="仿宋" w:hAnsi="仿宋" w:eastAsia="仿宋" w:cs="仿宋"/>
          <w:color w:val="auto"/>
          <w:sz w:val="32"/>
          <w:szCs w:val="32"/>
          <w:highlight w:val="none"/>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5AC142B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98C521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 xml:space="preserve">五、联系方式 </w:t>
      </w:r>
      <w:r>
        <w:rPr>
          <w:rFonts w:hint="eastAsia" w:ascii="仿宋" w:hAnsi="仿宋" w:eastAsia="仿宋" w:cs="仿宋"/>
          <w:color w:val="auto"/>
          <w:sz w:val="32"/>
          <w:szCs w:val="32"/>
          <w:highlight w:val="none"/>
        </w:rPr>
        <w:t xml:space="preserve">  </w:t>
      </w:r>
    </w:p>
    <w:p w14:paraId="065AAC6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联系人：凌老师</w:t>
      </w:r>
    </w:p>
    <w:p w14:paraId="12A9905B">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电话：0898-68642247、0898-68662169   </w:t>
      </w:r>
    </w:p>
    <w:p w14:paraId="47DBE17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邮箱：hnwjy0898@163.com</w:t>
      </w:r>
    </w:p>
    <w:p w14:paraId="7EBB48D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地址：海南卫生健康职业学院校长办公室(海口市秀英区秀华路32号行政办公楼3楼305办公室)</w:t>
      </w:r>
    </w:p>
    <w:p w14:paraId="3F53A3AF">
      <w:pPr>
        <w:rPr>
          <w:rFonts w:ascii="仿宋" w:hAnsi="仿宋" w:eastAsia="仿宋" w:cs="仿宋"/>
          <w:color w:val="auto"/>
          <w:sz w:val="44"/>
          <w:szCs w:val="44"/>
          <w:highlight w:val="none"/>
        </w:rPr>
      </w:pPr>
      <w:bookmarkStart w:id="14" w:name="_Toc356491306"/>
      <w:r>
        <w:rPr>
          <w:rFonts w:hint="eastAsia" w:ascii="仿宋" w:hAnsi="仿宋" w:eastAsia="仿宋" w:cs="仿宋"/>
          <w:color w:val="auto"/>
          <w:highlight w:val="none"/>
        </w:rPr>
        <w:br w:type="page"/>
      </w:r>
      <w:bookmarkStart w:id="15" w:name="_Toc40089789"/>
      <w:bookmarkStart w:id="16" w:name="_Toc29613"/>
    </w:p>
    <w:p w14:paraId="5BED84C6">
      <w:pPr>
        <w:pStyle w:val="2"/>
        <w:adjustRightInd w:val="0"/>
        <w:snapToGrid w:val="0"/>
        <w:spacing w:line="560" w:lineRule="exact"/>
        <w:rPr>
          <w:rFonts w:ascii="仿宋" w:hAnsi="仿宋" w:eastAsia="仿宋" w:cs="仿宋"/>
          <w:color w:val="auto"/>
          <w:sz w:val="44"/>
          <w:highlight w:val="none"/>
        </w:rPr>
      </w:pPr>
      <w:bookmarkStart w:id="17" w:name="_Toc22920"/>
      <w:r>
        <w:rPr>
          <w:rFonts w:hint="eastAsia" w:ascii="仿宋" w:hAnsi="仿宋" w:eastAsia="仿宋" w:cs="仿宋"/>
          <w:color w:val="auto"/>
          <w:sz w:val="44"/>
          <w:highlight w:val="none"/>
        </w:rPr>
        <w:t>第二部分 供应商须知</w:t>
      </w:r>
      <w:bookmarkEnd w:id="17"/>
    </w:p>
    <w:p w14:paraId="57905A59">
      <w:pPr>
        <w:adjustRightInd w:val="0"/>
        <w:snapToGrid w:val="0"/>
        <w:spacing w:line="560" w:lineRule="exact"/>
        <w:ind w:firstLine="640" w:firstLineChars="200"/>
        <w:rPr>
          <w:rFonts w:ascii="仿宋" w:hAnsi="仿宋" w:eastAsia="仿宋" w:cs="仿宋"/>
          <w:color w:val="auto"/>
          <w:sz w:val="32"/>
          <w:szCs w:val="32"/>
          <w:highlight w:val="none"/>
        </w:rPr>
      </w:pPr>
      <w:bookmarkStart w:id="18" w:name="_Toc325620714"/>
      <w:bookmarkStart w:id="19" w:name="_Toc29040"/>
      <w:bookmarkStart w:id="20" w:name="_Toc332979555"/>
      <w:r>
        <w:rPr>
          <w:rFonts w:hint="eastAsia" w:ascii="仿宋" w:hAnsi="仿宋" w:eastAsia="仿宋" w:cs="仿宋"/>
          <w:color w:val="auto"/>
          <w:sz w:val="32"/>
          <w:szCs w:val="32"/>
          <w:highlight w:val="none"/>
        </w:rPr>
        <w:t>一、开标</w:t>
      </w:r>
      <w:bookmarkEnd w:id="18"/>
      <w:bookmarkEnd w:id="19"/>
      <w:bookmarkEnd w:id="20"/>
    </w:p>
    <w:p w14:paraId="35F159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1.按照磋商文件规定的时间、地点开标。开标由采购人主持，供应商和有关方面的代表参加。供应商法定代表人或其授权代理人应参加并签名报到以证明其出席。</w:t>
      </w:r>
    </w:p>
    <w:p w14:paraId="0D8E1BF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2.开标时，由供应商或者其推选的代表检查响应文件的密封情况。</w:t>
      </w:r>
    </w:p>
    <w:p w14:paraId="3906C60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3.工作人员当众拆封，宣读供应商名称、投标价格和响应文件的其他主要内容。采购人在磋商文件要求提交响应文件的截止时间前收到的所有响应文件，开标时当众予以拆封、宣读。</w:t>
      </w:r>
    </w:p>
    <w:p w14:paraId="3D23537B">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4.记录员将唱价内容记录并由供应商法定代表人或授权代理人签字确认。</w:t>
      </w:r>
    </w:p>
    <w:p w14:paraId="6032492E">
      <w:pPr>
        <w:adjustRightInd w:val="0"/>
        <w:snapToGrid w:val="0"/>
        <w:spacing w:line="560" w:lineRule="exact"/>
        <w:ind w:firstLine="640" w:firstLineChars="200"/>
        <w:rPr>
          <w:rFonts w:ascii="仿宋" w:hAnsi="仿宋" w:eastAsia="仿宋" w:cs="仿宋"/>
          <w:color w:val="auto"/>
          <w:sz w:val="32"/>
          <w:szCs w:val="32"/>
          <w:highlight w:val="none"/>
        </w:rPr>
      </w:pPr>
      <w:bookmarkStart w:id="21" w:name="_Toc325620715"/>
      <w:bookmarkStart w:id="22" w:name="_Toc27176"/>
      <w:bookmarkStart w:id="23" w:name="_Toc332979556"/>
      <w:r>
        <w:rPr>
          <w:rFonts w:hint="eastAsia" w:ascii="仿宋" w:hAnsi="仿宋" w:eastAsia="仿宋" w:cs="仿宋"/>
          <w:color w:val="auto"/>
          <w:sz w:val="32"/>
          <w:szCs w:val="32"/>
          <w:highlight w:val="none"/>
        </w:rPr>
        <w:t>二、</w:t>
      </w:r>
      <w:bookmarkEnd w:id="21"/>
      <w:bookmarkEnd w:id="22"/>
      <w:bookmarkEnd w:id="23"/>
      <w:r>
        <w:rPr>
          <w:rFonts w:hint="eastAsia" w:ascii="仿宋" w:hAnsi="仿宋" w:eastAsia="仿宋" w:cs="仿宋"/>
          <w:color w:val="auto"/>
          <w:sz w:val="32"/>
          <w:szCs w:val="32"/>
          <w:highlight w:val="none"/>
        </w:rPr>
        <w:t>磋商小组</w:t>
      </w:r>
    </w:p>
    <w:p w14:paraId="1043205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本项目将根据项目特点组成磋商小组，其成员由学校推荐专家、采购人代表、法务等组成，磋商小组负责对响应文件进行审查、质疑、评审，推荐成交候选供应商。</w:t>
      </w:r>
    </w:p>
    <w:p w14:paraId="09743D8F">
      <w:pPr>
        <w:adjustRightInd w:val="0"/>
        <w:snapToGrid w:val="0"/>
        <w:spacing w:line="560" w:lineRule="exact"/>
        <w:ind w:firstLine="640" w:firstLineChars="200"/>
        <w:rPr>
          <w:rFonts w:ascii="仿宋" w:hAnsi="仿宋" w:eastAsia="仿宋" w:cs="仿宋"/>
          <w:color w:val="auto"/>
          <w:sz w:val="32"/>
          <w:szCs w:val="32"/>
          <w:highlight w:val="none"/>
        </w:rPr>
      </w:pPr>
      <w:bookmarkStart w:id="24" w:name="_Toc27961"/>
      <w:bookmarkStart w:id="25" w:name="_Toc332979557"/>
      <w:bookmarkStart w:id="26" w:name="_Toc325620716"/>
      <w:r>
        <w:rPr>
          <w:rFonts w:hint="eastAsia" w:ascii="仿宋" w:hAnsi="仿宋" w:eastAsia="仿宋" w:cs="仿宋"/>
          <w:color w:val="auto"/>
          <w:sz w:val="32"/>
          <w:szCs w:val="32"/>
          <w:highlight w:val="none"/>
        </w:rPr>
        <w:t>三、评审原则</w:t>
      </w:r>
      <w:bookmarkEnd w:id="24"/>
      <w:bookmarkEnd w:id="25"/>
      <w:bookmarkEnd w:id="26"/>
    </w:p>
    <w:p w14:paraId="3BB4DA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“公平、公正、择优、效益”为本次招标的基本原则，磋商小组按照这一原则的要求，公正、平等地对待各供应商。同时，在评审过程中恪守以下原则：</w:t>
      </w:r>
    </w:p>
    <w:p w14:paraId="537C11F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1.客观性原则：磋商小组将严格按照磋商文件要求的内容，对供应商的响应文件进行认真评审；磋商小组对响应文件的评审仅依据响应文件本身，而不依靠响应文件以外的任何因素；</w:t>
      </w:r>
    </w:p>
    <w:p w14:paraId="2EB2C93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2.统一性原则：磋商小组将按照统一的原则和方法，对各供应商的响应文件进行评审；</w:t>
      </w:r>
    </w:p>
    <w:p w14:paraId="6BEB820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3.独立性原则：评标工作在磋商小组内部独立进行，不受外界任何因素的干扰和影响，磋商小组成员对出具的专家意见承担个人责任；</w:t>
      </w:r>
    </w:p>
    <w:p w14:paraId="1581D48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4.保密性原则：磋商小组成员及有关工作人员将保守供应商的商业秘密；</w:t>
      </w:r>
    </w:p>
    <w:p w14:paraId="69C18287">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5.综合性原则：磋商小组将综合分析评审供应商的各项指标，而不以单项指标的优劣评定中标人；</w:t>
      </w:r>
    </w:p>
    <w:p w14:paraId="7E5A74AB">
      <w:pPr>
        <w:adjustRightInd w:val="0"/>
        <w:snapToGrid w:val="0"/>
        <w:spacing w:line="560" w:lineRule="exact"/>
        <w:ind w:firstLine="640" w:firstLineChars="200"/>
        <w:rPr>
          <w:rFonts w:ascii="仿宋" w:hAnsi="仿宋" w:eastAsia="仿宋" w:cs="仿宋"/>
          <w:color w:val="auto"/>
          <w:sz w:val="32"/>
          <w:szCs w:val="32"/>
          <w:highlight w:val="none"/>
        </w:rPr>
      </w:pPr>
      <w:bookmarkStart w:id="27" w:name="_Toc325620717"/>
      <w:bookmarkStart w:id="28" w:name="_Toc9800"/>
      <w:bookmarkStart w:id="29" w:name="_Toc332979558"/>
      <w:r>
        <w:rPr>
          <w:rFonts w:hint="eastAsia" w:ascii="仿宋" w:hAnsi="仿宋" w:eastAsia="仿宋" w:cs="仿宋"/>
          <w:color w:val="auto"/>
          <w:sz w:val="32"/>
          <w:szCs w:val="32"/>
          <w:highlight w:val="none"/>
        </w:rPr>
        <w:t>四、</w:t>
      </w:r>
      <w:bookmarkEnd w:id="27"/>
      <w:bookmarkEnd w:id="28"/>
      <w:bookmarkEnd w:id="29"/>
      <w:r>
        <w:rPr>
          <w:rFonts w:hint="eastAsia" w:ascii="仿宋" w:hAnsi="仿宋" w:eastAsia="仿宋" w:cs="仿宋"/>
          <w:color w:val="auto"/>
          <w:sz w:val="32"/>
          <w:szCs w:val="32"/>
          <w:highlight w:val="none"/>
        </w:rPr>
        <w:t>磋商程序</w:t>
      </w:r>
    </w:p>
    <w:p w14:paraId="22CD6F7B">
      <w:pPr>
        <w:adjustRightInd w:val="0"/>
        <w:snapToGrid w:val="0"/>
        <w:spacing w:line="560" w:lineRule="exact"/>
        <w:ind w:firstLine="640" w:firstLineChars="200"/>
        <w:rPr>
          <w:rFonts w:ascii="仿宋" w:hAnsi="仿宋" w:eastAsia="仿宋" w:cs="仿宋"/>
          <w:color w:val="auto"/>
          <w:sz w:val="32"/>
          <w:szCs w:val="32"/>
          <w:highlight w:val="none"/>
        </w:rPr>
      </w:pPr>
      <w:bookmarkStart w:id="30" w:name="_Toc325620718"/>
      <w:r>
        <w:rPr>
          <w:rFonts w:hint="eastAsia" w:ascii="仿宋" w:hAnsi="仿宋" w:eastAsia="仿宋" w:cs="仿宋"/>
          <w:color w:val="auto"/>
          <w:sz w:val="32"/>
          <w:szCs w:val="32"/>
          <w:highlight w:val="none"/>
        </w:rPr>
        <w:t>1.公开内容：采购人将对所有参与磋商的供应商的资料内容进行公开唱标（不包括报价）。</w:t>
      </w:r>
    </w:p>
    <w:p w14:paraId="44913F0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FF7C19E">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（1）供应商提供的有关资格、资质证明文件不真实或提供虚假材料；</w:t>
      </w:r>
    </w:p>
    <w:p w14:paraId="277BE21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（2）供应商未按磋商文件要求装订的；</w:t>
      </w:r>
    </w:p>
    <w:p w14:paraId="4BEEF811">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（3）在整个磋商过程中，供应商有企图影响采购结果公正性的任何活动；</w:t>
      </w:r>
    </w:p>
    <w:p w14:paraId="7B9D594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（4）供应商以任何方式诋毁其他供应商；</w:t>
      </w:r>
    </w:p>
    <w:p w14:paraId="2A7FE047">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（5）供应商串通报价；</w:t>
      </w:r>
    </w:p>
    <w:p w14:paraId="510B46F3">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（6）以他人名义报价或者以其他方式弄虚作假，骗取成交；</w:t>
      </w:r>
    </w:p>
    <w:p w14:paraId="2C02FC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（7）成交供应商不按要求签订合同；</w:t>
      </w:r>
    </w:p>
    <w:p w14:paraId="5DF1373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（8）提供多个报价方案的；</w:t>
      </w:r>
    </w:p>
    <w:p w14:paraId="5D195579">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（9）供应商必须明确所报产品的品牌、型号及规格参数，描述不清楚的视为无效报价；</w:t>
      </w:r>
    </w:p>
    <w:p w14:paraId="05B42F5D">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（10）法律、法规规定的其他情况。</w:t>
      </w:r>
    </w:p>
    <w:p w14:paraId="03531A9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资格审查合格供应商按照报名顺序或签到顺序确定磋商顺序。</w:t>
      </w:r>
    </w:p>
    <w:p w14:paraId="079438A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6EADC9E6">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在报价范围及技术要求不变的前提下，最终报价不得高于初始报价，否则按照无效报价处理。磋商重点：主要针对供应商所投货物性能特点、质量等是否满足采购人的要求进行报价。</w:t>
      </w:r>
    </w:p>
    <w:p w14:paraId="04DAFE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（1）供应商所报货物的性能特点、质量；</w:t>
      </w:r>
    </w:p>
    <w:p w14:paraId="769BFBD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（2）商务条款的陈述；</w:t>
      </w:r>
    </w:p>
    <w:p w14:paraId="01FA3F90">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（3）专家针对各供应商响应文件对磋商文件的响应情况提问；</w:t>
      </w:r>
    </w:p>
    <w:p w14:paraId="5D01713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磋商结束后，磋商小组要求所有参加报价的供应商在规定的时间内进行最后报价及有关承诺。如果报价过程未对文件做实质性变动，供应商的最后报价不得高于其初始报价。</w:t>
      </w:r>
    </w:p>
    <w:p w14:paraId="4F9D71BA">
      <w:pPr>
        <w:numPr>
          <w:ilvl w:val="0"/>
          <w:numId w:val="0"/>
        </w:numPr>
        <w:adjustRightInd w:val="0"/>
        <w:snapToGrid w:val="0"/>
        <w:spacing w:line="560" w:lineRule="exact"/>
        <w:ind w:firstLine="320" w:firstLineChars="100"/>
        <w:rPr>
          <w:rFonts w:hint="eastAsia" w:ascii="仿宋" w:hAnsi="仿宋" w:eastAsia="仿宋" w:cs="仿宋"/>
          <w:color w:val="auto"/>
          <w:sz w:val="32"/>
          <w:szCs w:val="32"/>
          <w:highlight w:val="none"/>
        </w:rPr>
      </w:pPr>
      <w:r>
        <w:rPr>
          <w:rFonts w:hint="eastAsia" w:ascii="仿宋" w:hAnsi="仿宋" w:eastAsia="仿宋" w:cs="仿宋"/>
          <w:bCs/>
          <w:color w:val="auto"/>
          <w:kern w:val="2"/>
          <w:sz w:val="32"/>
          <w:szCs w:val="32"/>
          <w:lang w:val="en-US" w:eastAsia="zh-CN" w:bidi="ar-SA"/>
        </w:rPr>
        <w:t>（4）</w:t>
      </w:r>
      <w:r>
        <w:rPr>
          <w:rFonts w:hint="eastAsia" w:ascii="仿宋" w:hAnsi="仿宋" w:eastAsia="仿宋" w:cs="仿宋"/>
          <w:color w:val="auto"/>
          <w:sz w:val="32"/>
          <w:szCs w:val="32"/>
          <w:highlight w:val="none"/>
        </w:rPr>
        <w:t>如出现</w:t>
      </w:r>
      <w:r>
        <w:rPr>
          <w:rFonts w:hint="eastAsia" w:ascii="仿宋" w:hAnsi="仿宋" w:eastAsia="仿宋" w:cs="仿宋"/>
          <w:color w:val="auto"/>
          <w:sz w:val="32"/>
          <w:szCs w:val="32"/>
          <w:highlight w:val="none"/>
          <w:lang w:val="en-US" w:eastAsia="zh-CN"/>
        </w:rPr>
        <w:t>投标单位不足三家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项目流标，为了项目能够顺利进行下去，项目有两家单位的投标符合要求，招标项目仍按计划继续进行。</w:t>
      </w:r>
    </w:p>
    <w:p w14:paraId="1C0C9590">
      <w:pPr>
        <w:numPr>
          <w:ilvl w:val="0"/>
          <w:numId w:val="0"/>
        </w:num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）禁止供应商相互串通报价：</w:t>
      </w:r>
    </w:p>
    <w:p w14:paraId="0450EDD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有下列情形之一的，属于供应商相互串通报价：</w:t>
      </w:r>
    </w:p>
    <w:p w14:paraId="6C1EE5D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1）供应商之间协商报价等响应文件的实质性内容；</w:t>
      </w:r>
    </w:p>
    <w:p w14:paraId="64581D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2）供应商之间约定成交供应商；</w:t>
      </w:r>
    </w:p>
    <w:p w14:paraId="1BAE6DBF">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3）供应商之间约定部分供应商放弃报价或者成交；</w:t>
      </w:r>
    </w:p>
    <w:p w14:paraId="53735C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4）属于同一集团、协会、商会等组织成员的供应商按照该组织要求协同报价；</w:t>
      </w:r>
    </w:p>
    <w:p w14:paraId="3AF5D12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5）供应商之间为谋取成交或者排斥特定供应商而采取的其他联合行动。</w:t>
      </w:r>
    </w:p>
    <w:p w14:paraId="76AB311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）有下列情形之一的，视为供应商相互串通报价：</w:t>
      </w:r>
    </w:p>
    <w:p w14:paraId="4A9D54A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1）不同供应商的响应文件由同一单位或者个人编制；</w:t>
      </w:r>
    </w:p>
    <w:p w14:paraId="048943D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2）不同供应商委托同一单位或者个人办理报价事宜；</w:t>
      </w:r>
    </w:p>
    <w:p w14:paraId="26152BE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3）不同供应商的响应文件载明的项目管理成员为同一人；</w:t>
      </w:r>
    </w:p>
    <w:p w14:paraId="13F0F41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4）不同供应商的响应文件异常一致或者报价呈规律性差异；</w:t>
      </w:r>
    </w:p>
    <w:p w14:paraId="129045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5）不同供应商的响应文件相互混装；</w:t>
      </w:r>
    </w:p>
    <w:p w14:paraId="1F2EB692">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）弄虚作假的行为：</w:t>
      </w:r>
    </w:p>
    <w:p w14:paraId="74BA40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使用通过受让或者租借等方式获取资格、资质证书报价的。</w:t>
      </w:r>
    </w:p>
    <w:p w14:paraId="34ED685E">
      <w:pPr>
        <w:adjustRightInd w:val="0"/>
        <w:snapToGrid w:val="0"/>
        <w:spacing w:line="5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以其他方式弄虚作假的行为：</w:t>
      </w:r>
    </w:p>
    <w:p w14:paraId="044051F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1）使用伪造、变造的许可证件；</w:t>
      </w:r>
    </w:p>
    <w:p w14:paraId="4F2D9E5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2）提供虚假的财务状况或者业绩；</w:t>
      </w:r>
    </w:p>
    <w:p w14:paraId="5A3C67A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3）提供虚假的项目负责人或者主要技术人员简历、劳动关系证明；</w:t>
      </w:r>
    </w:p>
    <w:p w14:paraId="77C2D7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4）提供虚假的信用状况；</w:t>
      </w:r>
    </w:p>
    <w:p w14:paraId="0906C0E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5）其他弄虚作假的行为。</w:t>
      </w:r>
    </w:p>
    <w:p w14:paraId="4BAC7E20">
      <w:pPr>
        <w:adjustRightInd w:val="0"/>
        <w:snapToGrid w:val="0"/>
        <w:spacing w:line="560" w:lineRule="exact"/>
        <w:ind w:firstLine="640" w:firstLineChars="200"/>
        <w:rPr>
          <w:rFonts w:ascii="仿宋" w:hAnsi="仿宋" w:eastAsia="仿宋" w:cs="仿宋"/>
          <w:color w:val="auto"/>
          <w:sz w:val="32"/>
          <w:szCs w:val="32"/>
          <w:highlight w:val="none"/>
        </w:rPr>
      </w:pPr>
      <w:bookmarkStart w:id="31" w:name="_Toc22147"/>
      <w:bookmarkStart w:id="32" w:name="_Toc332979559"/>
      <w:r>
        <w:rPr>
          <w:rFonts w:hint="eastAsia" w:ascii="仿宋" w:hAnsi="仿宋" w:eastAsia="仿宋" w:cs="仿宋"/>
          <w:color w:val="auto"/>
          <w:sz w:val="32"/>
          <w:szCs w:val="32"/>
          <w:highlight w:val="none"/>
        </w:rPr>
        <w:t>五、废标</w:t>
      </w:r>
      <w:bookmarkEnd w:id="30"/>
      <w:bookmarkEnd w:id="31"/>
      <w:bookmarkEnd w:id="32"/>
    </w:p>
    <w:p w14:paraId="2282C3D2">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在招标采购中，出现下列情形之一的，应予废标：</w:t>
      </w:r>
    </w:p>
    <w:p w14:paraId="7745AA12">
      <w:pPr>
        <w:adjustRightInd w:val="0"/>
        <w:snapToGrid w:val="0"/>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1.符合专业条件的供应商或者对磋商文件作实质响应的供应商不足三家的；</w:t>
      </w:r>
    </w:p>
    <w:p w14:paraId="070AD1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2.出现影响采购公正的违法、违规行为的；</w:t>
      </w:r>
    </w:p>
    <w:p w14:paraId="27F5221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3.供应商的报价均超过了预算金额（备注：设定最高限价的，本项内容改为最高限价），招标人不能支付的；</w:t>
      </w:r>
    </w:p>
    <w:p w14:paraId="369E42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4.因重大变故，采购任务取消的；</w:t>
      </w:r>
    </w:p>
    <w:p w14:paraId="75C2297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BE2E8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0C6EDC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7.供应商（投标人）之间存在关联关系采购人有权根据学校采购有关规定取消其投标（或取消其提交响应文件），由此产生的一切后果均由相关供应商（投标人）承担。</w:t>
      </w:r>
    </w:p>
    <w:p w14:paraId="1B7FE59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8.法律、法规规定的其他情况。</w:t>
      </w:r>
    </w:p>
    <w:p w14:paraId="2487D121">
      <w:pPr>
        <w:adjustRightInd w:val="0"/>
        <w:snapToGrid w:val="0"/>
        <w:spacing w:line="560" w:lineRule="exact"/>
        <w:ind w:firstLine="640" w:firstLineChars="200"/>
        <w:rPr>
          <w:rFonts w:ascii="仿宋" w:hAnsi="仿宋" w:eastAsia="仿宋" w:cs="仿宋"/>
          <w:color w:val="auto"/>
          <w:sz w:val="32"/>
          <w:szCs w:val="32"/>
          <w:highlight w:val="none"/>
        </w:rPr>
      </w:pPr>
      <w:bookmarkStart w:id="33" w:name="_Toc332979560"/>
      <w:bookmarkStart w:id="34" w:name="_Toc3341"/>
      <w:bookmarkStart w:id="35" w:name="_Toc325620719"/>
      <w:r>
        <w:rPr>
          <w:rFonts w:hint="eastAsia" w:ascii="仿宋" w:hAnsi="仿宋" w:eastAsia="仿宋" w:cs="仿宋"/>
          <w:color w:val="auto"/>
          <w:sz w:val="32"/>
          <w:szCs w:val="32"/>
          <w:highlight w:val="none"/>
        </w:rPr>
        <w:t>六、中标通知书</w:t>
      </w:r>
      <w:bookmarkEnd w:id="33"/>
      <w:bookmarkEnd w:id="34"/>
      <w:bookmarkEnd w:id="35"/>
    </w:p>
    <w:p w14:paraId="34EFCE2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1.评标结束后，由采购人即日向中标人签发《中标通知书》。</w:t>
      </w:r>
    </w:p>
    <w:p w14:paraId="7C19F1E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2.中标人收到中标通知书后，应于指定的时间、地点与招标人签订采购合同。</w:t>
      </w:r>
    </w:p>
    <w:p w14:paraId="46D0F2C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3.磋商文件及其补充、中标人的报价文件及澄清文件等，均为签订合同的依据。</w:t>
      </w:r>
    </w:p>
    <w:p w14:paraId="45C3BEBD">
      <w:pPr>
        <w:adjustRightInd w:val="0"/>
        <w:snapToGrid w:val="0"/>
        <w:spacing w:line="560" w:lineRule="exact"/>
        <w:ind w:firstLine="640" w:firstLineChars="200"/>
        <w:rPr>
          <w:rFonts w:ascii="仿宋" w:hAnsi="仿宋" w:eastAsia="仿宋" w:cs="仿宋"/>
          <w:color w:val="auto"/>
          <w:sz w:val="32"/>
          <w:szCs w:val="32"/>
          <w:highlight w:val="none"/>
        </w:rPr>
      </w:pPr>
      <w:bookmarkStart w:id="36" w:name="_Toc332979561"/>
      <w:bookmarkStart w:id="37" w:name="_Toc18290"/>
      <w:r>
        <w:rPr>
          <w:rFonts w:hint="eastAsia" w:ascii="仿宋" w:hAnsi="仿宋" w:eastAsia="仿宋" w:cs="仿宋"/>
          <w:color w:val="auto"/>
          <w:sz w:val="32"/>
          <w:szCs w:val="32"/>
          <w:highlight w:val="none"/>
        </w:rPr>
        <w:t>七、初步评审</w:t>
      </w:r>
    </w:p>
    <w:p w14:paraId="34C413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35A1E70">
      <w:pPr>
        <w:adjustRightInd w:val="0"/>
        <w:snapToGrid w:val="0"/>
        <w:spacing w:line="560" w:lineRule="exact"/>
        <w:ind w:firstLine="640" w:firstLineChars="200"/>
        <w:rPr>
          <w:rFonts w:hint="eastAsia" w:ascii="仿宋" w:hAnsi="仿宋" w:eastAsia="仿宋" w:cs="仿宋"/>
          <w:color w:val="auto"/>
          <w:sz w:val="32"/>
          <w:szCs w:val="32"/>
          <w:highlight w:val="none"/>
        </w:rPr>
      </w:pPr>
    </w:p>
    <w:p w14:paraId="3E09505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八、决标办法</w:t>
      </w:r>
    </w:p>
    <w:p w14:paraId="3BBE5768">
      <w:pPr>
        <w:pStyle w:val="13"/>
        <w:spacing w:line="560" w:lineRule="exact"/>
        <w:ind w:firstLine="559"/>
        <w:rPr>
          <w:color w:val="auto"/>
          <w:sz w:val="32"/>
          <w:szCs w:val="32"/>
          <w:highlight w:val="none"/>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color w:val="auto"/>
          <w:szCs w:val="32"/>
          <w:highlight w:val="none"/>
          <w:lang w:val="en-US" w:eastAsia="zh-CN"/>
        </w:rPr>
        <w:t>1.</w:t>
      </w:r>
      <w:r>
        <w:rPr>
          <w:rFonts w:hint="eastAsia" w:ascii="仿宋" w:hAnsi="仿宋" w:eastAsia="仿宋" w:cs="仿宋"/>
          <w:color w:val="auto"/>
          <w:szCs w:val="32"/>
          <w:highlight w:val="none"/>
        </w:rPr>
        <w:t>本项目为磋商项目，由磋商小组采用综合评分法对所有服务商的响应文件进行综合评分，综合得分最高的供应商为第一成交候选供应商，综合得分次高的供应商为第二成交候选供应商，以此类推。</w:t>
      </w:r>
    </w:p>
    <w:p w14:paraId="48D34EAE">
      <w:pPr>
        <w:pStyle w:val="2"/>
        <w:adjustRightInd w:val="0"/>
        <w:snapToGrid w:val="0"/>
        <w:spacing w:line="560" w:lineRule="exact"/>
        <w:jc w:val="center"/>
        <w:rPr>
          <w:rFonts w:ascii="仿宋" w:hAnsi="仿宋" w:eastAsia="仿宋" w:cs="仿宋"/>
          <w:color w:val="auto"/>
          <w:sz w:val="44"/>
          <w:highlight w:val="none"/>
        </w:rPr>
      </w:pPr>
      <w:bookmarkStart w:id="38" w:name="_Toc19325"/>
      <w:bookmarkStart w:id="39" w:name="_Toc137754580"/>
      <w:r>
        <w:rPr>
          <w:rFonts w:hint="eastAsia" w:ascii="仿宋" w:hAnsi="仿宋" w:eastAsia="仿宋" w:cs="仿宋"/>
          <w:color w:val="auto"/>
          <w:sz w:val="44"/>
          <w:highlight w:val="none"/>
        </w:rPr>
        <w:t>第三部分 评审办法</w:t>
      </w:r>
      <w:bookmarkEnd w:id="38"/>
      <w:bookmarkEnd w:id="39"/>
    </w:p>
    <w:p w14:paraId="07568A9F">
      <w:pPr>
        <w:rPr>
          <w:color w:val="auto"/>
          <w:sz w:val="24"/>
          <w:szCs w:val="22"/>
          <w:highlight w:val="none"/>
        </w:rPr>
      </w:pPr>
    </w:p>
    <w:p w14:paraId="2F31E70B">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一、初步评审</w:t>
      </w:r>
    </w:p>
    <w:p w14:paraId="7802B1B8">
      <w:pPr>
        <w:adjustRightInd w:val="0"/>
        <w:snapToGrid w:val="0"/>
        <w:spacing w:line="56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11D4449">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二、详细评审</w:t>
      </w:r>
    </w:p>
    <w:p w14:paraId="2C2ED42B">
      <w:pPr>
        <w:pStyle w:val="13"/>
        <w:adjustRightInd w:val="0"/>
        <w:snapToGrid w:val="0"/>
        <w:spacing w:line="560" w:lineRule="exact"/>
        <w:ind w:firstLine="559"/>
        <w:rPr>
          <w:rFonts w:ascii="仿宋" w:hAnsi="仿宋" w:eastAsia="仿宋" w:cs="仿宋"/>
          <w:color w:val="auto"/>
          <w:szCs w:val="32"/>
          <w:highlight w:val="none"/>
        </w:rPr>
      </w:pPr>
      <w:r>
        <w:rPr>
          <w:rFonts w:hint="eastAsia" w:ascii="仿宋" w:hAnsi="仿宋" w:eastAsia="仿宋" w:cs="仿宋"/>
          <w:color w:val="auto"/>
          <w:spacing w:val="2"/>
          <w:szCs w:val="32"/>
          <w:highlight w:val="none"/>
        </w:rPr>
        <w:t>（一）评标委员会根据评审办法对通过初步评审的响应文件进行详细评</w:t>
      </w:r>
      <w:r>
        <w:rPr>
          <w:rFonts w:hint="eastAsia" w:ascii="仿宋" w:hAnsi="仿宋" w:eastAsia="仿宋" w:cs="仿宋"/>
          <w:color w:val="auto"/>
          <w:spacing w:val="24"/>
          <w:szCs w:val="32"/>
          <w:highlight w:val="none"/>
        </w:rPr>
        <w:t xml:space="preserve"> </w:t>
      </w:r>
      <w:r>
        <w:rPr>
          <w:rFonts w:hint="eastAsia" w:ascii="仿宋" w:hAnsi="仿宋" w:eastAsia="仿宋" w:cs="仿宋"/>
          <w:color w:val="auto"/>
          <w:spacing w:val="-2"/>
          <w:szCs w:val="32"/>
          <w:highlight w:val="none"/>
        </w:rPr>
        <w:t>审，并进行技术和商务的评审打分。</w:t>
      </w:r>
    </w:p>
    <w:p w14:paraId="6862382B">
      <w:pPr>
        <w:pStyle w:val="13"/>
        <w:adjustRightInd w:val="0"/>
        <w:snapToGrid w:val="0"/>
        <w:spacing w:line="560" w:lineRule="exact"/>
        <w:ind w:firstLine="632" w:firstLineChars="200"/>
        <w:jc w:val="left"/>
        <w:rPr>
          <w:rFonts w:ascii="仿宋" w:hAnsi="仿宋" w:eastAsia="仿宋" w:cs="仿宋"/>
          <w:color w:val="auto"/>
          <w:spacing w:val="-1"/>
          <w:szCs w:val="32"/>
          <w:highlight w:val="none"/>
        </w:rPr>
      </w:pPr>
      <w:r>
        <w:rPr>
          <w:rFonts w:hint="eastAsia" w:ascii="仿宋" w:hAnsi="仿宋" w:eastAsia="仿宋" w:cs="仿宋"/>
          <w:color w:val="auto"/>
          <w:spacing w:val="-2"/>
          <w:szCs w:val="32"/>
          <w:highlight w:val="none"/>
        </w:rPr>
        <w:t>（二）技术、商务评分：具体评审的内容详见（附表</w:t>
      </w:r>
      <w:r>
        <w:rPr>
          <w:rFonts w:hint="eastAsia" w:ascii="仿宋" w:hAnsi="仿宋" w:eastAsia="仿宋" w:cs="仿宋"/>
          <w:color w:val="auto"/>
          <w:spacing w:val="-71"/>
          <w:szCs w:val="32"/>
          <w:highlight w:val="none"/>
        </w:rPr>
        <w:t xml:space="preserve"> </w:t>
      </w:r>
      <w:r>
        <w:rPr>
          <w:rFonts w:hint="eastAsia" w:ascii="仿宋" w:hAnsi="仿宋" w:eastAsia="仿宋" w:cs="仿宋"/>
          <w:color w:val="auto"/>
          <w:spacing w:val="-1"/>
          <w:szCs w:val="32"/>
          <w:highlight w:val="none"/>
        </w:rPr>
        <w:t>2）；</w:t>
      </w:r>
    </w:p>
    <w:p w14:paraId="3D887FC6">
      <w:pPr>
        <w:pStyle w:val="13"/>
        <w:adjustRightInd w:val="0"/>
        <w:snapToGrid w:val="0"/>
        <w:spacing w:line="560" w:lineRule="exact"/>
        <w:ind w:firstLine="380" w:firstLineChars="100"/>
        <w:jc w:val="left"/>
        <w:rPr>
          <w:rFonts w:ascii="仿宋" w:hAnsi="仿宋" w:eastAsia="仿宋" w:cs="仿宋"/>
          <w:color w:val="auto"/>
          <w:szCs w:val="32"/>
          <w:highlight w:val="none"/>
        </w:rPr>
      </w:pPr>
      <w:r>
        <w:rPr>
          <w:rFonts w:hint="eastAsia" w:ascii="仿宋" w:hAnsi="仿宋" w:eastAsia="仿宋" w:cs="仿宋"/>
          <w:color w:val="auto"/>
          <w:spacing w:val="30"/>
          <w:szCs w:val="32"/>
          <w:highlight w:val="none"/>
        </w:rPr>
        <w:t xml:space="preserve"> </w:t>
      </w:r>
      <w:r>
        <w:rPr>
          <w:rFonts w:hint="eastAsia" w:ascii="仿宋" w:hAnsi="仿宋" w:eastAsia="仿宋" w:cs="仿宋"/>
          <w:color w:val="auto"/>
          <w:spacing w:val="2"/>
          <w:szCs w:val="32"/>
          <w:highlight w:val="none"/>
        </w:rPr>
        <w:t>（三）价格分统一采用低价优先法计算，将通过初步评审的所有供应商的投标价格，即满足竞争性磋商文件要求且价格最低的投标价为基准价，</w:t>
      </w:r>
      <w:r>
        <w:rPr>
          <w:rFonts w:hint="eastAsia" w:ascii="仿宋" w:hAnsi="仿宋" w:eastAsia="仿宋" w:cs="仿宋"/>
          <w:color w:val="auto"/>
          <w:spacing w:val="-2"/>
          <w:szCs w:val="32"/>
          <w:highlight w:val="none"/>
        </w:rPr>
        <w:t>其价格分为满分。其他供应商的价格分统一按照下列公式计算：</w:t>
      </w:r>
    </w:p>
    <w:p w14:paraId="13C7B752">
      <w:pPr>
        <w:adjustRightInd w:val="0"/>
        <w:snapToGrid w:val="0"/>
        <w:spacing w:line="560" w:lineRule="exact"/>
        <w:jc w:val="left"/>
        <w:rPr>
          <w:rFonts w:ascii="仿宋" w:hAnsi="仿宋" w:eastAsia="仿宋" w:cs="仿宋"/>
          <w:b/>
          <w:color w:val="auto"/>
          <w:spacing w:val="35"/>
          <w:w w:val="99"/>
          <w:sz w:val="32"/>
          <w:szCs w:val="32"/>
          <w:highlight w:val="none"/>
        </w:rPr>
      </w:pPr>
      <w:r>
        <w:rPr>
          <w:rFonts w:hint="eastAsia" w:ascii="仿宋" w:hAnsi="仿宋" w:eastAsia="仿宋" w:cs="仿宋"/>
          <w:b/>
          <w:color w:val="auto"/>
          <w:spacing w:val="-1"/>
          <w:sz w:val="32"/>
          <w:szCs w:val="32"/>
          <w:highlight w:val="none"/>
        </w:rPr>
        <w:t>磋商报价得分=(基准价／最终报价)×价格权值×100</w:t>
      </w:r>
      <w:r>
        <w:rPr>
          <w:rFonts w:hint="eastAsia" w:ascii="仿宋" w:hAnsi="仿宋" w:eastAsia="仿宋" w:cs="仿宋"/>
          <w:b/>
          <w:color w:val="auto"/>
          <w:spacing w:val="35"/>
          <w:w w:val="99"/>
          <w:sz w:val="32"/>
          <w:szCs w:val="32"/>
          <w:highlight w:val="none"/>
        </w:rPr>
        <w:t xml:space="preserve"> </w:t>
      </w:r>
    </w:p>
    <w:p w14:paraId="05A23BB3">
      <w:pPr>
        <w:adjustRightInd w:val="0"/>
        <w:snapToGrid w:val="0"/>
        <w:spacing w:line="560" w:lineRule="exact"/>
        <w:ind w:firstLine="632" w:firstLineChars="200"/>
        <w:jc w:val="left"/>
        <w:rPr>
          <w:rFonts w:ascii="黑体" w:hAnsi="黑体" w:eastAsia="黑体" w:cs="黑体"/>
          <w:color w:val="auto"/>
          <w:sz w:val="32"/>
          <w:szCs w:val="32"/>
          <w:highlight w:val="none"/>
        </w:rPr>
      </w:pPr>
      <w:r>
        <w:rPr>
          <w:rFonts w:hint="eastAsia" w:ascii="黑体" w:hAnsi="黑体" w:eastAsia="黑体" w:cs="黑体"/>
          <w:color w:val="auto"/>
          <w:spacing w:val="-2"/>
          <w:sz w:val="32"/>
          <w:szCs w:val="32"/>
          <w:highlight w:val="none"/>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2F5A905">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D03B282">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评分项目</w:t>
            </w:r>
          </w:p>
        </w:tc>
        <w:tc>
          <w:tcPr>
            <w:tcW w:w="3660" w:type="dxa"/>
            <w:tcBorders>
              <w:top w:val="single" w:color="000000" w:sz="4" w:space="0"/>
              <w:left w:val="single" w:color="000000" w:sz="4" w:space="0"/>
              <w:bottom w:val="single" w:color="000000" w:sz="4" w:space="0"/>
              <w:right w:val="single" w:color="000000" w:sz="4" w:space="0"/>
            </w:tcBorders>
          </w:tcPr>
          <w:p w14:paraId="25C8AAF7">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4F060480">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价格项</w:t>
            </w:r>
          </w:p>
        </w:tc>
      </w:tr>
      <w:tr w14:paraId="0720DF35">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4E108189">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权值</w:t>
            </w:r>
          </w:p>
        </w:tc>
        <w:tc>
          <w:tcPr>
            <w:tcW w:w="3660" w:type="dxa"/>
            <w:tcBorders>
              <w:top w:val="single" w:color="000000" w:sz="4" w:space="0"/>
              <w:left w:val="single" w:color="000000" w:sz="4" w:space="0"/>
              <w:bottom w:val="single" w:color="000000" w:sz="4" w:space="0"/>
              <w:right w:val="single" w:color="000000" w:sz="4" w:space="0"/>
            </w:tcBorders>
          </w:tcPr>
          <w:p w14:paraId="75D882F8">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w:t>
            </w:r>
          </w:p>
        </w:tc>
        <w:tc>
          <w:tcPr>
            <w:tcW w:w="2925" w:type="dxa"/>
            <w:tcBorders>
              <w:top w:val="single" w:color="000000" w:sz="4" w:space="0"/>
              <w:left w:val="single" w:color="000000" w:sz="4" w:space="0"/>
              <w:bottom w:val="single" w:color="000000" w:sz="4" w:space="0"/>
              <w:right w:val="single" w:color="000000" w:sz="4" w:space="0"/>
            </w:tcBorders>
          </w:tcPr>
          <w:p w14:paraId="6314512A">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rPr>
              <w:t>0%</w:t>
            </w:r>
          </w:p>
        </w:tc>
      </w:tr>
    </w:tbl>
    <w:p w14:paraId="62D2A216">
      <w:pPr>
        <w:pStyle w:val="13"/>
        <w:adjustRightInd w:val="0"/>
        <w:snapToGrid w:val="0"/>
        <w:spacing w:line="560" w:lineRule="exact"/>
        <w:ind w:firstLine="648" w:firstLineChars="200"/>
        <w:rPr>
          <w:rFonts w:ascii="仿宋" w:hAnsi="仿宋" w:eastAsia="仿宋" w:cs="仿宋"/>
          <w:color w:val="auto"/>
          <w:szCs w:val="32"/>
          <w:highlight w:val="none"/>
        </w:rPr>
      </w:pPr>
      <w:r>
        <w:rPr>
          <w:rFonts w:hint="eastAsia" w:ascii="黑体" w:hAnsi="黑体" w:eastAsia="黑体" w:cs="黑体"/>
          <w:color w:val="auto"/>
          <w:spacing w:val="2"/>
          <w:szCs w:val="32"/>
          <w:highlight w:val="none"/>
        </w:rPr>
        <w:t>四、综合评分及其统计：</w:t>
      </w:r>
      <w:r>
        <w:rPr>
          <w:rFonts w:hint="eastAsia" w:ascii="仿宋" w:hAnsi="仿宋" w:eastAsia="仿宋" w:cs="仿宋"/>
          <w:color w:val="auto"/>
          <w:spacing w:val="2"/>
          <w:szCs w:val="32"/>
          <w:highlight w:val="none"/>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color w:val="auto"/>
          <w:spacing w:val="-2"/>
          <w:szCs w:val="32"/>
          <w:highlight w:val="none"/>
        </w:rPr>
        <w:t>商，综合得分次高的供应商为第二成交候选供应商，以此类推。</w:t>
      </w:r>
    </w:p>
    <w:p w14:paraId="03C112F0">
      <w:pPr>
        <w:spacing w:line="356" w:lineRule="auto"/>
        <w:rPr>
          <w:color w:val="auto"/>
          <w:highlight w:val="none"/>
        </w:rPr>
      </w:pPr>
    </w:p>
    <w:p w14:paraId="5597898E">
      <w:pPr>
        <w:jc w:val="center"/>
        <w:rPr>
          <w:color w:val="auto"/>
          <w:sz w:val="32"/>
          <w:highlight w:val="none"/>
        </w:rPr>
      </w:pPr>
    </w:p>
    <w:p w14:paraId="49768D28">
      <w:pPr>
        <w:jc w:val="center"/>
        <w:rPr>
          <w:color w:val="auto"/>
          <w:sz w:val="32"/>
          <w:highlight w:val="none"/>
        </w:rPr>
      </w:pPr>
    </w:p>
    <w:p w14:paraId="24F8C506">
      <w:pPr>
        <w:jc w:val="center"/>
        <w:rPr>
          <w:color w:val="auto"/>
          <w:sz w:val="32"/>
          <w:highlight w:val="none"/>
        </w:rPr>
      </w:pPr>
    </w:p>
    <w:p w14:paraId="6262D38C">
      <w:pPr>
        <w:jc w:val="center"/>
        <w:rPr>
          <w:color w:val="auto"/>
          <w:sz w:val="32"/>
          <w:highlight w:val="none"/>
        </w:rPr>
      </w:pPr>
    </w:p>
    <w:p w14:paraId="6AA5E571">
      <w:pPr>
        <w:jc w:val="center"/>
        <w:rPr>
          <w:color w:val="auto"/>
          <w:sz w:val="32"/>
          <w:highlight w:val="none"/>
        </w:rPr>
      </w:pPr>
    </w:p>
    <w:p w14:paraId="0ECF819A">
      <w:pPr>
        <w:jc w:val="center"/>
        <w:rPr>
          <w:color w:val="auto"/>
          <w:sz w:val="32"/>
          <w:highlight w:val="none"/>
        </w:rPr>
      </w:pPr>
    </w:p>
    <w:p w14:paraId="0C366E72">
      <w:pPr>
        <w:jc w:val="center"/>
        <w:rPr>
          <w:color w:val="auto"/>
          <w:sz w:val="32"/>
          <w:highlight w:val="none"/>
        </w:rPr>
      </w:pPr>
    </w:p>
    <w:p w14:paraId="48A59E31">
      <w:pPr>
        <w:jc w:val="center"/>
        <w:rPr>
          <w:color w:val="auto"/>
          <w:sz w:val="32"/>
          <w:highlight w:val="none"/>
        </w:rPr>
      </w:pPr>
    </w:p>
    <w:p w14:paraId="5F949D31">
      <w:pPr>
        <w:jc w:val="center"/>
        <w:rPr>
          <w:color w:val="auto"/>
          <w:sz w:val="32"/>
          <w:highlight w:val="none"/>
        </w:rPr>
      </w:pPr>
    </w:p>
    <w:p w14:paraId="12680043">
      <w:pPr>
        <w:jc w:val="center"/>
        <w:rPr>
          <w:color w:val="auto"/>
          <w:sz w:val="32"/>
          <w:highlight w:val="none"/>
        </w:rPr>
      </w:pPr>
    </w:p>
    <w:p w14:paraId="72359C88">
      <w:pPr>
        <w:jc w:val="center"/>
        <w:rPr>
          <w:color w:val="auto"/>
          <w:sz w:val="32"/>
          <w:highlight w:val="none"/>
        </w:rPr>
      </w:pPr>
    </w:p>
    <w:p w14:paraId="0395C96E">
      <w:pPr>
        <w:jc w:val="center"/>
        <w:rPr>
          <w:color w:val="auto"/>
          <w:sz w:val="32"/>
          <w:highlight w:val="none"/>
        </w:rPr>
      </w:pPr>
    </w:p>
    <w:p w14:paraId="08039112">
      <w:pPr>
        <w:jc w:val="center"/>
        <w:rPr>
          <w:color w:val="auto"/>
          <w:sz w:val="32"/>
          <w:highlight w:val="none"/>
        </w:rPr>
      </w:pPr>
    </w:p>
    <w:p w14:paraId="4F31C23C">
      <w:pPr>
        <w:jc w:val="center"/>
        <w:rPr>
          <w:color w:val="auto"/>
          <w:sz w:val="32"/>
          <w:highlight w:val="none"/>
        </w:rPr>
      </w:pPr>
    </w:p>
    <w:p w14:paraId="287D1EC3">
      <w:pPr>
        <w:jc w:val="center"/>
        <w:rPr>
          <w:color w:val="auto"/>
          <w:sz w:val="32"/>
          <w:highlight w:val="none"/>
        </w:rPr>
      </w:pPr>
    </w:p>
    <w:p w14:paraId="3450DEC8">
      <w:pPr>
        <w:jc w:val="center"/>
        <w:rPr>
          <w:color w:val="auto"/>
          <w:sz w:val="32"/>
          <w:highlight w:val="none"/>
        </w:rPr>
      </w:pPr>
    </w:p>
    <w:p w14:paraId="6B7F2ECB">
      <w:pPr>
        <w:jc w:val="center"/>
        <w:rPr>
          <w:color w:val="auto"/>
          <w:sz w:val="32"/>
          <w:highlight w:val="none"/>
        </w:rPr>
      </w:pPr>
    </w:p>
    <w:p w14:paraId="60687CD9">
      <w:pPr>
        <w:jc w:val="center"/>
        <w:rPr>
          <w:color w:val="auto"/>
          <w:sz w:val="32"/>
          <w:highlight w:val="none"/>
        </w:rPr>
      </w:pPr>
    </w:p>
    <w:p w14:paraId="3DC34541">
      <w:pPr>
        <w:jc w:val="center"/>
        <w:rPr>
          <w:color w:val="auto"/>
          <w:sz w:val="32"/>
          <w:highlight w:val="none"/>
        </w:rPr>
      </w:pPr>
    </w:p>
    <w:p w14:paraId="5767D54D">
      <w:pPr>
        <w:jc w:val="center"/>
        <w:rPr>
          <w:color w:val="auto"/>
          <w:sz w:val="32"/>
          <w:highlight w:val="none"/>
        </w:rPr>
      </w:pPr>
    </w:p>
    <w:p w14:paraId="68595B41">
      <w:pPr>
        <w:jc w:val="center"/>
        <w:rPr>
          <w:color w:val="auto"/>
          <w:sz w:val="32"/>
          <w:highlight w:val="none"/>
        </w:rPr>
      </w:pPr>
    </w:p>
    <w:p w14:paraId="057A938C">
      <w:pPr>
        <w:jc w:val="center"/>
        <w:rPr>
          <w:color w:val="auto"/>
          <w:sz w:val="32"/>
          <w:highlight w:val="none"/>
        </w:rPr>
      </w:pPr>
    </w:p>
    <w:p w14:paraId="75DCC611">
      <w:pPr>
        <w:jc w:val="center"/>
        <w:rPr>
          <w:color w:val="auto"/>
          <w:sz w:val="32"/>
          <w:highlight w:val="none"/>
        </w:rPr>
      </w:pPr>
    </w:p>
    <w:p w14:paraId="6528E11F">
      <w:pPr>
        <w:jc w:val="center"/>
        <w:rPr>
          <w:color w:val="auto"/>
          <w:sz w:val="32"/>
          <w:highlight w:val="none"/>
        </w:rPr>
      </w:pPr>
    </w:p>
    <w:p w14:paraId="24BA8E02">
      <w:pPr>
        <w:jc w:val="center"/>
        <w:rPr>
          <w:rFonts w:hint="eastAsia"/>
          <w:color w:val="auto"/>
          <w:sz w:val="32"/>
          <w:highlight w:val="none"/>
          <w:lang w:val="en-US" w:eastAsia="zh-CN"/>
        </w:rPr>
      </w:pPr>
    </w:p>
    <w:p w14:paraId="6BCEBCAA">
      <w:pPr>
        <w:jc w:val="center"/>
        <w:rPr>
          <w:rFonts w:hint="eastAsia"/>
          <w:color w:val="auto"/>
          <w:sz w:val="32"/>
          <w:highlight w:val="none"/>
          <w:lang w:val="en-US" w:eastAsia="zh-CN"/>
        </w:rPr>
      </w:pPr>
    </w:p>
    <w:p w14:paraId="0385CCFC">
      <w:pPr>
        <w:jc w:val="both"/>
        <w:rPr>
          <w:color w:val="auto"/>
          <w:sz w:val="32"/>
          <w:highlight w:val="none"/>
        </w:rPr>
      </w:pPr>
    </w:p>
    <w:p w14:paraId="4A6B938B">
      <w:pPr>
        <w:jc w:val="center"/>
        <w:rPr>
          <w:rFonts w:ascii="仿宋" w:hAnsi="仿宋" w:eastAsia="仿宋" w:cs="仿宋"/>
          <w:color w:val="auto"/>
          <w:sz w:val="32"/>
          <w:szCs w:val="32"/>
          <w:highlight w:val="none"/>
        </w:rPr>
      </w:pPr>
      <w:r>
        <w:rPr>
          <w:rFonts w:hint="eastAsia"/>
          <w:color w:val="auto"/>
          <w:sz w:val="32"/>
          <w:highlight w:val="none"/>
        </w:rPr>
        <w:t>附表1：</w:t>
      </w:r>
      <w:r>
        <w:rPr>
          <w:color w:val="auto"/>
          <w:sz w:val="32"/>
          <w:highlight w:val="none"/>
        </w:rPr>
        <w:t>初步审查表</w:t>
      </w:r>
    </w:p>
    <w:p w14:paraId="09F6E8D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2026年学生消防应急疏散与灭火演练项目（二次招标）</w:t>
      </w:r>
    </w:p>
    <w:p w14:paraId="24387D0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w:t>
      </w:r>
      <w:r>
        <w:rPr>
          <w:rFonts w:hint="eastAsia" w:ascii="仿宋" w:hAnsi="仿宋" w:eastAsia="仿宋" w:cs="仿宋"/>
          <w:color w:val="auto"/>
          <w:sz w:val="32"/>
          <w:szCs w:val="32"/>
          <w:highlight w:val="none"/>
        </w:rPr>
        <w:t>编号：HNWJY-FW202600</w:t>
      </w:r>
      <w:r>
        <w:rPr>
          <w:rFonts w:hint="eastAsia" w:ascii="仿宋" w:hAnsi="仿宋" w:eastAsia="仿宋" w:cs="仿宋"/>
          <w:color w:val="auto"/>
          <w:sz w:val="32"/>
          <w:szCs w:val="32"/>
          <w:highlight w:val="none"/>
          <w:lang w:val="en-US" w:eastAsia="zh-CN"/>
        </w:rPr>
        <w:t>5</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310D495">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05A19F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76906F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1265ACC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00406B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67C6CA3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724EAA2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服务商3</w:t>
            </w:r>
          </w:p>
        </w:tc>
      </w:tr>
      <w:tr w14:paraId="754BABEA">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D6D820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47355C3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6A98DAE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095CFD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DF9D48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45B182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C062F08">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8FA700E">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B3D1F12">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0DF4955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01FC662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00B53E1C">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B086CE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6F0A007">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47C17B1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2127" w:type="dxa"/>
            <w:tcBorders>
              <w:top w:val="single" w:color="000000" w:sz="4" w:space="0"/>
              <w:left w:val="single" w:color="000000" w:sz="4" w:space="0"/>
              <w:bottom w:val="single" w:color="000000" w:sz="4" w:space="0"/>
              <w:right w:val="single" w:color="000000" w:sz="4" w:space="0"/>
            </w:tcBorders>
          </w:tcPr>
          <w:p w14:paraId="1182B73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C7B928C">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2665E74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D449CF">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2994F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9B6B377">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1760A37A">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2127" w:type="dxa"/>
            <w:tcBorders>
              <w:top w:val="single" w:color="000000" w:sz="4" w:space="0"/>
              <w:left w:val="single" w:color="000000" w:sz="4" w:space="0"/>
              <w:bottom w:val="single" w:color="000000" w:sz="4" w:space="0"/>
              <w:right w:val="single" w:color="000000" w:sz="4" w:space="0"/>
            </w:tcBorders>
          </w:tcPr>
          <w:p w14:paraId="5534FA5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083C210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1DA966F7">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A357A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1BFAC8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C7CFA40">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011FF3E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2127" w:type="dxa"/>
            <w:tcBorders>
              <w:top w:val="single" w:color="000000" w:sz="4" w:space="0"/>
              <w:left w:val="single" w:color="000000" w:sz="4" w:space="0"/>
              <w:bottom w:val="single" w:color="000000" w:sz="4" w:space="0"/>
              <w:right w:val="single" w:color="000000" w:sz="4" w:space="0"/>
            </w:tcBorders>
          </w:tcPr>
          <w:p w14:paraId="32B7354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其它</w:t>
            </w:r>
          </w:p>
        </w:tc>
        <w:tc>
          <w:tcPr>
            <w:tcW w:w="3827" w:type="dxa"/>
            <w:tcBorders>
              <w:top w:val="single" w:color="000000" w:sz="4" w:space="0"/>
              <w:left w:val="single" w:color="000000" w:sz="4" w:space="0"/>
              <w:bottom w:val="single" w:color="000000" w:sz="4" w:space="0"/>
              <w:right w:val="single" w:color="000000" w:sz="4" w:space="0"/>
            </w:tcBorders>
          </w:tcPr>
          <w:p w14:paraId="383E2C82">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22C7477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70119D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39D61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2CD38436">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46151A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5954" w:type="dxa"/>
            <w:gridSpan w:val="2"/>
            <w:tcBorders>
              <w:top w:val="single" w:color="000000" w:sz="4" w:space="0"/>
              <w:left w:val="nil"/>
              <w:bottom w:val="single" w:color="000000" w:sz="4" w:space="0"/>
              <w:right w:val="single" w:color="000000" w:sz="4" w:space="0"/>
            </w:tcBorders>
            <w:vAlign w:val="center"/>
          </w:tcPr>
          <w:p w14:paraId="250736EF">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结</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论</w:t>
            </w:r>
          </w:p>
        </w:tc>
        <w:tc>
          <w:tcPr>
            <w:tcW w:w="1134" w:type="dxa"/>
            <w:tcBorders>
              <w:top w:val="single" w:color="000000" w:sz="4" w:space="0"/>
              <w:left w:val="single" w:color="000000" w:sz="4" w:space="0"/>
              <w:bottom w:val="single" w:color="000000" w:sz="4" w:space="0"/>
              <w:right w:val="single" w:color="000000" w:sz="4" w:space="0"/>
            </w:tcBorders>
          </w:tcPr>
          <w:p w14:paraId="01855511">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BC487B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0FF91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bl>
    <w:p w14:paraId="360FF31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1.表中只需填写“√/通过”或“×/不通过”。</w:t>
      </w:r>
    </w:p>
    <w:p w14:paraId="457FB40F">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2.在结论中按“一项否决”的原则，只有全部是√/通过的，填写“合格”；只要其中有一项是×/不通过的，填写“不合格”。</w:t>
      </w:r>
    </w:p>
    <w:p w14:paraId="59DF003B">
      <w:pPr>
        <w:spacing w:line="360" w:lineRule="auto"/>
        <w:ind w:left="13" w:hanging="12" w:hangingChars="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3.结论是合格的，才能进入下一轮；不合格的被淘汰。</w:t>
      </w:r>
    </w:p>
    <w:p w14:paraId="49FA250C">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404C302">
      <w:pPr>
        <w:spacing w:line="276" w:lineRule="auto"/>
        <w:jc w:val="center"/>
        <w:rPr>
          <w:rFonts w:ascii="仿宋" w:hAnsi="仿宋" w:eastAsia="仿宋" w:cs="仿宋"/>
          <w:color w:val="auto"/>
          <w:kern w:val="2"/>
          <w:sz w:val="32"/>
          <w:szCs w:val="32"/>
          <w:highlight w:val="none"/>
        </w:rPr>
      </w:pPr>
      <w:r>
        <w:rPr>
          <w:rFonts w:hint="eastAsia" w:ascii="仿宋" w:hAnsi="仿宋" w:eastAsia="仿宋" w:cs="仿宋"/>
          <w:b/>
          <w:color w:val="auto"/>
          <w:position w:val="2"/>
          <w:sz w:val="32"/>
          <w:szCs w:val="32"/>
          <w:highlight w:val="none"/>
        </w:rPr>
        <w:t>附表2：评分细则表</w:t>
      </w:r>
    </w:p>
    <w:p w14:paraId="240330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kern w:val="2"/>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2026年学生消防应急疏散与灭火演练项目（二次招标）</w:t>
      </w:r>
    </w:p>
    <w:p w14:paraId="0977027B">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w:t>
      </w:r>
      <w:r>
        <w:rPr>
          <w:rFonts w:hint="eastAsia" w:ascii="仿宋" w:hAnsi="仿宋" w:eastAsia="仿宋" w:cs="仿宋"/>
          <w:bCs/>
          <w:color w:val="auto"/>
          <w:kern w:val="0"/>
          <w:sz w:val="32"/>
          <w:szCs w:val="32"/>
          <w:highlight w:val="none"/>
          <w:lang w:val="en-US" w:eastAsia="zh-CN" w:bidi="ar-SA"/>
        </w:rPr>
        <w:t>号：</w:t>
      </w:r>
      <w:r>
        <w:rPr>
          <w:rFonts w:hint="eastAsia" w:ascii="仿宋" w:hAnsi="仿宋" w:eastAsia="仿宋" w:cs="仿宋"/>
          <w:color w:val="auto"/>
          <w:sz w:val="32"/>
          <w:szCs w:val="32"/>
          <w:highlight w:val="none"/>
        </w:rPr>
        <w:t>HNWJY-FW202600</w:t>
      </w:r>
      <w:r>
        <w:rPr>
          <w:rFonts w:hint="eastAsia" w:ascii="仿宋" w:hAnsi="仿宋" w:eastAsia="仿宋" w:cs="仿宋"/>
          <w:color w:val="auto"/>
          <w:sz w:val="32"/>
          <w:szCs w:val="32"/>
          <w:highlight w:val="none"/>
          <w:lang w:val="en-US" w:eastAsia="zh-CN"/>
        </w:rPr>
        <w:t>5</w:t>
      </w:r>
    </w:p>
    <w:tbl>
      <w:tblPr>
        <w:tblStyle w:val="25"/>
        <w:tblW w:w="5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81"/>
        <w:gridCol w:w="6956"/>
        <w:gridCol w:w="1080"/>
      </w:tblGrid>
      <w:tr w14:paraId="67F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63" w:type="pct"/>
            <w:noWrap w:val="0"/>
            <w:tcMar>
              <w:top w:w="15" w:type="dxa"/>
              <w:left w:w="15" w:type="dxa"/>
              <w:right w:w="15" w:type="dxa"/>
            </w:tcMar>
            <w:vAlign w:val="center"/>
          </w:tcPr>
          <w:p w14:paraId="3C428D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序号</w:t>
            </w:r>
          </w:p>
        </w:tc>
        <w:tc>
          <w:tcPr>
            <w:tcW w:w="679" w:type="pct"/>
            <w:noWrap w:val="0"/>
            <w:tcMar>
              <w:top w:w="15" w:type="dxa"/>
              <w:left w:w="15" w:type="dxa"/>
              <w:right w:w="15" w:type="dxa"/>
            </w:tcMar>
            <w:vAlign w:val="center"/>
          </w:tcPr>
          <w:p w14:paraId="73A0E7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评分因素</w:t>
            </w:r>
          </w:p>
        </w:tc>
        <w:tc>
          <w:tcPr>
            <w:tcW w:w="3424" w:type="pct"/>
            <w:noWrap w:val="0"/>
            <w:tcMar>
              <w:top w:w="15" w:type="dxa"/>
              <w:left w:w="15" w:type="dxa"/>
              <w:right w:w="15" w:type="dxa"/>
            </w:tcMar>
            <w:vAlign w:val="center"/>
          </w:tcPr>
          <w:p w14:paraId="113DD0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评审标准</w:t>
            </w:r>
          </w:p>
        </w:tc>
        <w:tc>
          <w:tcPr>
            <w:tcW w:w="531" w:type="pct"/>
            <w:noWrap w:val="0"/>
            <w:tcMar>
              <w:top w:w="15" w:type="dxa"/>
              <w:left w:w="15" w:type="dxa"/>
              <w:right w:w="15" w:type="dxa"/>
            </w:tcMar>
            <w:vAlign w:val="center"/>
          </w:tcPr>
          <w:p w14:paraId="5EF71D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分数</w:t>
            </w:r>
          </w:p>
        </w:tc>
      </w:tr>
      <w:tr w14:paraId="3158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jc w:val="center"/>
        </w:trPr>
        <w:tc>
          <w:tcPr>
            <w:tcW w:w="363" w:type="pct"/>
            <w:noWrap w:val="0"/>
            <w:tcMar>
              <w:top w:w="15" w:type="dxa"/>
              <w:left w:w="15" w:type="dxa"/>
              <w:right w:w="15" w:type="dxa"/>
            </w:tcMar>
            <w:vAlign w:val="center"/>
          </w:tcPr>
          <w:p w14:paraId="2054AA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p>
        </w:tc>
        <w:tc>
          <w:tcPr>
            <w:tcW w:w="679" w:type="pct"/>
            <w:noWrap w:val="0"/>
            <w:tcMar>
              <w:top w:w="15" w:type="dxa"/>
              <w:left w:w="15" w:type="dxa"/>
              <w:right w:w="15" w:type="dxa"/>
            </w:tcMar>
            <w:vAlign w:val="center"/>
          </w:tcPr>
          <w:p w14:paraId="29ED36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投标报价</w:t>
            </w:r>
          </w:p>
          <w:p w14:paraId="723B1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313B6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综合评分法中的价格分统一采用低价优先法计算，即满足磋商文件要求且最后报价最低的供应商的价格为磋商基准价，其价格分为满分10分。其他供应商的价格分统一按照下列公式计算：磋商报价得分=磋商报价得分=(基准价／最终报价)×价格权值×100 </w:t>
            </w:r>
          </w:p>
        </w:tc>
        <w:tc>
          <w:tcPr>
            <w:tcW w:w="531" w:type="pct"/>
            <w:noWrap w:val="0"/>
            <w:tcMar>
              <w:top w:w="15" w:type="dxa"/>
              <w:left w:w="15" w:type="dxa"/>
              <w:right w:w="15" w:type="dxa"/>
            </w:tcMar>
            <w:vAlign w:val="center"/>
          </w:tcPr>
          <w:p w14:paraId="03895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5425E390"/>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5425E390"/>
                        </w:txbxContent>
                      </v:textbox>
                    </v:shape>
                  </w:pict>
                </mc:Fallback>
              </mc:AlternateContent>
            </w:r>
            <w:r>
              <w:rPr>
                <w:rFonts w:hint="eastAsia" w:ascii="仿宋" w:hAnsi="仿宋" w:eastAsia="仿宋" w:cs="仿宋"/>
                <w:color w:val="auto"/>
                <w:kern w:val="0"/>
                <w:sz w:val="32"/>
                <w:szCs w:val="32"/>
                <w:highlight w:val="none"/>
                <w:lang w:val="en-US" w:eastAsia="zh-CN"/>
              </w:rPr>
              <w:t>20</w:t>
            </w:r>
          </w:p>
        </w:tc>
      </w:tr>
      <w:tr w14:paraId="00D5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63" w:type="pct"/>
            <w:noWrap w:val="0"/>
            <w:tcMar>
              <w:top w:w="15" w:type="dxa"/>
              <w:left w:w="15" w:type="dxa"/>
              <w:right w:w="15" w:type="dxa"/>
            </w:tcMar>
            <w:vAlign w:val="center"/>
          </w:tcPr>
          <w:p w14:paraId="7C83ED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w:t>
            </w:r>
          </w:p>
        </w:tc>
        <w:tc>
          <w:tcPr>
            <w:tcW w:w="679" w:type="pct"/>
            <w:noWrap w:val="0"/>
            <w:tcMar>
              <w:top w:w="15" w:type="dxa"/>
              <w:left w:w="15" w:type="dxa"/>
              <w:right w:w="15" w:type="dxa"/>
            </w:tcMar>
            <w:vAlign w:val="center"/>
          </w:tcPr>
          <w:p w14:paraId="0E850C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业绩</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满分20分）</w:t>
            </w:r>
          </w:p>
        </w:tc>
        <w:tc>
          <w:tcPr>
            <w:tcW w:w="3424" w:type="pct"/>
            <w:noWrap w:val="0"/>
            <w:tcMar>
              <w:top w:w="15" w:type="dxa"/>
              <w:left w:w="15" w:type="dxa"/>
              <w:right w:w="15" w:type="dxa"/>
            </w:tcMar>
            <w:vAlign w:val="center"/>
          </w:tcPr>
          <w:p w14:paraId="556B61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供应商提供近三年内（2023年1月1日至今）学校类消防演练或消防安全培训项目案例合同，每提供一个得</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分，满分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0分。（需提供合同复印件并加盖公章，否则不得分）</w:t>
            </w:r>
          </w:p>
        </w:tc>
        <w:tc>
          <w:tcPr>
            <w:tcW w:w="531" w:type="pct"/>
            <w:noWrap w:val="0"/>
            <w:tcMar>
              <w:top w:w="15" w:type="dxa"/>
              <w:left w:w="15" w:type="dxa"/>
              <w:right w:w="15" w:type="dxa"/>
            </w:tcMar>
            <w:vAlign w:val="center"/>
          </w:tcPr>
          <w:p w14:paraId="71B3F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w:t>
            </w:r>
          </w:p>
        </w:tc>
      </w:tr>
      <w:tr w14:paraId="45B5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363" w:type="pct"/>
            <w:vMerge w:val="restart"/>
            <w:noWrap w:val="0"/>
            <w:tcMar>
              <w:top w:w="15" w:type="dxa"/>
              <w:left w:w="15" w:type="dxa"/>
              <w:right w:w="15" w:type="dxa"/>
            </w:tcMar>
            <w:vAlign w:val="center"/>
          </w:tcPr>
          <w:p w14:paraId="24C4F1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w:t>
            </w:r>
          </w:p>
        </w:tc>
        <w:tc>
          <w:tcPr>
            <w:tcW w:w="679" w:type="pct"/>
            <w:vMerge w:val="restart"/>
            <w:noWrap w:val="0"/>
            <w:tcMar>
              <w:top w:w="15" w:type="dxa"/>
              <w:left w:w="15" w:type="dxa"/>
              <w:right w:w="15" w:type="dxa"/>
            </w:tcMar>
            <w:vAlign w:val="center"/>
          </w:tcPr>
          <w:p w14:paraId="051C20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技术分</w:t>
            </w:r>
          </w:p>
          <w:p w14:paraId="62A3F4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49BF86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（1）演练活动策划方案（</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根据供应商提供的学生消防应急疏散与灭火演练策划方案的完整性、科学性、可操作性进行综合评价：</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方案内容全面（含演练目的、组织架构、情景设置、疏散路线、集合区域、流程设计、安全保障、评估标准等）、流程科学合理、情景设计逼真、针对性强得</w:t>
            </w:r>
            <w:r>
              <w:rPr>
                <w:rFonts w:hint="eastAsia" w:ascii="仿宋" w:hAnsi="仿宋" w:eastAsia="仿宋" w:cs="仿宋"/>
                <w:color w:val="auto"/>
                <w:kern w:val="0"/>
                <w:sz w:val="32"/>
                <w:szCs w:val="32"/>
                <w:highlight w:val="none"/>
                <w:lang w:val="en-US" w:eastAsia="zh-CN"/>
              </w:rPr>
              <w:t>20</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方案较为完整、有一定的针对性和可操作性得1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方案简单、缺乏针对性、可操作性差得</w:t>
            </w:r>
            <w:r>
              <w:rPr>
                <w:rFonts w:hint="eastAsia" w:ascii="仿宋" w:hAnsi="仿宋" w:eastAsia="仿宋" w:cs="仿宋"/>
                <w:color w:val="auto"/>
                <w:kern w:val="0"/>
                <w:sz w:val="32"/>
                <w:szCs w:val="32"/>
                <w:highlight w:val="none"/>
                <w:lang w:val="en-US" w:eastAsia="zh-CN"/>
              </w:rPr>
              <w:t>7</w:t>
            </w:r>
            <w:r>
              <w:rPr>
                <w:rFonts w:hint="default" w:ascii="仿宋" w:hAnsi="仿宋" w:eastAsia="仿宋" w:cs="仿宋"/>
                <w:color w:val="auto"/>
                <w:kern w:val="0"/>
                <w:sz w:val="32"/>
                <w:szCs w:val="32"/>
                <w:highlight w:val="none"/>
              </w:rPr>
              <w:t>分。</w:t>
            </w:r>
          </w:p>
        </w:tc>
        <w:tc>
          <w:tcPr>
            <w:tcW w:w="531" w:type="pct"/>
            <w:noWrap w:val="0"/>
            <w:tcMar>
              <w:top w:w="15" w:type="dxa"/>
              <w:left w:w="15" w:type="dxa"/>
              <w:right w:w="15" w:type="dxa"/>
            </w:tcMar>
            <w:vAlign w:val="center"/>
          </w:tcPr>
          <w:p w14:paraId="5DF27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349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363" w:type="pct"/>
            <w:vMerge w:val="continue"/>
            <w:noWrap w:val="0"/>
            <w:tcMar>
              <w:top w:w="15" w:type="dxa"/>
              <w:left w:w="15" w:type="dxa"/>
              <w:right w:w="15" w:type="dxa"/>
            </w:tcMar>
            <w:vAlign w:val="center"/>
          </w:tcPr>
          <w:p w14:paraId="6C9376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37A6CB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797338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（2）执行团队配置与专业能力（</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65E7C5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根据项目团队配置、成员资质及经验进行综合评价。</w:t>
            </w:r>
          </w:p>
          <w:p w14:paraId="13B019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资质要求包括但不限于：注册消防工程师、消防设施操作员</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团队中须配备至少1名具备专业影像采集能力的成员（如摄影师/摄像师），并提供相关作品或从业证明，负责演练全过程的多机位拍摄及后期素材制作。团队配置齐全、分工明确（有专人分别负责策划统筹、现场执行、疏散引导、灭火实操指导、医疗急救保障、影像素材采集）、专业人员资质高、演练组织经验丰富得</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2F769C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团队配置基本合理、具备基本资质和经验得</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分；</w:t>
            </w:r>
          </w:p>
          <w:p w14:paraId="26C651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团队配置薄弱、资质或经验不足得5分。</w:t>
            </w:r>
          </w:p>
          <w:p w14:paraId="2E9F61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（需提供相关人员证书复印件及近三个月社保证明，未提供不得分）</w:t>
            </w:r>
          </w:p>
        </w:tc>
        <w:tc>
          <w:tcPr>
            <w:tcW w:w="531" w:type="pct"/>
            <w:noWrap w:val="0"/>
            <w:tcMar>
              <w:top w:w="15" w:type="dxa"/>
              <w:left w:w="15" w:type="dxa"/>
              <w:right w:w="15" w:type="dxa"/>
            </w:tcMar>
            <w:vAlign w:val="center"/>
          </w:tcPr>
          <w:p w14:paraId="21CBDA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0832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026B8D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3E926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05F0AF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（3）应急安全保障与物资保障方案（10分）</w:t>
            </w:r>
          </w:p>
          <w:p w14:paraId="347110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供应商提供的演练现场安全保障措施、应急预案（含人员受伤、意外火灾扩大等突发情况处置）、演练所需各类物资（如烟雾发生器、模拟火盆、灭火器材、应急广播/扩音设备、对讲机、医疗急救包、模拟担架等）的配置清单及保障方案进行综合评价：</w:t>
            </w:r>
          </w:p>
          <w:p w14:paraId="5EBE3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安全保障措施完善、应急预案详实可行、物资配置充足且品牌/规格明确得10分；</w:t>
            </w:r>
          </w:p>
          <w:p w14:paraId="1E532D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保障措施基本可行、物资配置尚可得7分；</w:t>
            </w:r>
          </w:p>
          <w:p w14:paraId="4067F1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保障措施不完善、物资配置不足得3分。</w:t>
            </w:r>
          </w:p>
        </w:tc>
        <w:tc>
          <w:tcPr>
            <w:tcW w:w="531" w:type="pct"/>
            <w:noWrap w:val="0"/>
            <w:tcMar>
              <w:top w:w="15" w:type="dxa"/>
              <w:left w:w="15" w:type="dxa"/>
              <w:right w:w="15" w:type="dxa"/>
            </w:tcMar>
            <w:vAlign w:val="center"/>
          </w:tcPr>
          <w:p w14:paraId="3DC05A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p>
          <w:p w14:paraId="5A5594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r>
      <w:tr w14:paraId="233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7D51C4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07C80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4F8894C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default" w:ascii="仿宋" w:hAnsi="仿宋" w:eastAsia="仿宋" w:cs="仿宋"/>
                <w:color w:val="auto"/>
                <w:kern w:val="0"/>
                <w:sz w:val="32"/>
                <w:szCs w:val="32"/>
                <w:highlight w:val="none"/>
              </w:rPr>
            </w:pPr>
            <w:r>
              <w:rPr>
                <w:rFonts w:hint="default" w:ascii="仿宋" w:hAnsi="仿宋" w:eastAsia="仿宋" w:cs="仿宋"/>
                <w:bCs/>
                <w:color w:val="auto"/>
                <w:kern w:val="0"/>
                <w:sz w:val="32"/>
                <w:szCs w:val="32"/>
                <w:lang w:val="en-US" w:eastAsia="zh-CN" w:bidi="ar-SA"/>
              </w:rPr>
              <w:t>（</w:t>
            </w:r>
            <w:r>
              <w:rPr>
                <w:rFonts w:hint="eastAsia" w:ascii="仿宋" w:hAnsi="仿宋" w:eastAsia="仿宋" w:cs="仿宋"/>
                <w:bCs/>
                <w:color w:val="auto"/>
                <w:kern w:val="0"/>
                <w:sz w:val="32"/>
                <w:szCs w:val="32"/>
                <w:lang w:val="en-US" w:eastAsia="zh-CN" w:bidi="ar-SA"/>
              </w:rPr>
              <w:t>4</w:t>
            </w:r>
            <w:r>
              <w:rPr>
                <w:rFonts w:hint="default" w:ascii="仿宋" w:hAnsi="仿宋" w:eastAsia="仿宋" w:cs="仿宋"/>
                <w:bCs/>
                <w:color w:val="auto"/>
                <w:kern w:val="0"/>
                <w:sz w:val="32"/>
                <w:szCs w:val="32"/>
                <w:lang w:val="en-US" w:eastAsia="zh-CN" w:bidi="ar-SA"/>
              </w:rPr>
              <w:t>）</w:t>
            </w:r>
            <w:r>
              <w:rPr>
                <w:rFonts w:hint="eastAsia" w:ascii="仿宋" w:hAnsi="仿宋" w:eastAsia="仿宋" w:cs="仿宋"/>
                <w:color w:val="auto"/>
                <w:kern w:val="0"/>
                <w:sz w:val="32"/>
                <w:szCs w:val="32"/>
                <w:highlight w:val="none"/>
              </w:rPr>
              <w:t>成果交付与素材制作能力（</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0分）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a.交付物完整性（</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承诺交付符合验收标准的全套演练成果，包括但不限于：</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不少于3分钟的演练全流程高清纪实剪辑视频（含字幕、配乐、解说）；</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不少于20张高像素现场精修图片（涵盖组织指挥、疏散、灭火、急救、培训等关键环节）；</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演练方案、培训课件、签到表、评估报告等纸质及电子档案汇编。</w:t>
            </w:r>
            <w:r>
              <w:rPr>
                <w:rFonts w:hint="default" w:ascii="仿宋" w:hAnsi="仿宋" w:eastAsia="仿宋" w:cs="仿宋"/>
                <w:color w:val="auto"/>
                <w:kern w:val="0"/>
                <w:sz w:val="32"/>
                <w:szCs w:val="32"/>
                <w:highlight w:val="none"/>
              </w:rPr>
              <w:br w:type="textWrapping"/>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rPr>
              <w:t>交付物清单完整、规格标准清晰得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p>
          <w:p w14:paraId="728A0F4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清单基本完整得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p>
          <w:p w14:paraId="6154642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未提供不得分。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b.视频与宣传素材制作方案（</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根据供应商提出的视频及图文素材制作方案综合评审：</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明确提出多机位（如无人机航拍、游机跟拍、固定机位全景）拍摄计划的，视频输出分辨率不低于1080P，成片具备校园消防安全教育宣传片水准，且充分考虑了前期宣传预热（如制作活动预告短视频/海报）及后期剪辑包装的，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仅承诺简易设备拍摄，成品为简单活动记录，仅满足基本存档需求得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无具体方案的不得分。</w:t>
            </w:r>
          </w:p>
        </w:tc>
        <w:tc>
          <w:tcPr>
            <w:tcW w:w="531" w:type="pct"/>
            <w:noWrap w:val="0"/>
            <w:tcMar>
              <w:top w:w="15" w:type="dxa"/>
              <w:left w:w="15" w:type="dxa"/>
              <w:right w:w="15" w:type="dxa"/>
            </w:tcMar>
            <w:vAlign w:val="center"/>
          </w:tcPr>
          <w:p w14:paraId="21EC1F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w:t>
            </w:r>
          </w:p>
        </w:tc>
      </w:tr>
      <w:tr w14:paraId="6D26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4468" w:type="pct"/>
            <w:gridSpan w:val="3"/>
            <w:noWrap w:val="0"/>
            <w:tcMar>
              <w:top w:w="15" w:type="dxa"/>
              <w:left w:w="15" w:type="dxa"/>
              <w:right w:w="15" w:type="dxa"/>
            </w:tcMar>
            <w:vAlign w:val="center"/>
          </w:tcPr>
          <w:p w14:paraId="356586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合计</w:t>
            </w:r>
          </w:p>
        </w:tc>
        <w:tc>
          <w:tcPr>
            <w:tcW w:w="531" w:type="pct"/>
            <w:noWrap w:val="0"/>
            <w:tcMar>
              <w:top w:w="15" w:type="dxa"/>
              <w:left w:w="15" w:type="dxa"/>
              <w:right w:w="15" w:type="dxa"/>
            </w:tcMar>
            <w:vAlign w:val="center"/>
          </w:tcPr>
          <w:p w14:paraId="712D0B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100</w:t>
            </w:r>
          </w:p>
        </w:tc>
      </w:tr>
    </w:tbl>
    <w:p w14:paraId="039FBF71">
      <w:pPr>
        <w:rPr>
          <w:b/>
          <w:color w:val="auto"/>
          <w:position w:val="2"/>
          <w:sz w:val="32"/>
          <w:szCs w:val="32"/>
          <w:highlight w:val="none"/>
        </w:rPr>
      </w:pPr>
      <w:r>
        <w:rPr>
          <w:rFonts w:hint="eastAsia" w:ascii="仿宋" w:hAnsi="仿宋" w:eastAsia="仿宋" w:cs="仿宋"/>
          <w:color w:val="auto"/>
          <w:szCs w:val="28"/>
          <w:highlight w:val="none"/>
        </w:rPr>
        <w:br w:type="page"/>
      </w:r>
    </w:p>
    <w:p w14:paraId="5F32596D">
      <w:pPr>
        <w:pStyle w:val="2"/>
        <w:adjustRightInd w:val="0"/>
        <w:snapToGrid w:val="0"/>
        <w:spacing w:line="560" w:lineRule="exact"/>
        <w:rPr>
          <w:rFonts w:hint="eastAsia" w:ascii="仿宋" w:hAnsi="仿宋" w:eastAsia="仿宋" w:cs="仿宋"/>
          <w:color w:val="auto"/>
          <w:sz w:val="44"/>
          <w:highlight w:val="none"/>
          <w:lang w:eastAsia="zh-CN"/>
        </w:rPr>
      </w:pPr>
      <w:bookmarkStart w:id="40" w:name="_Toc22407"/>
      <w:r>
        <w:rPr>
          <w:rFonts w:hint="eastAsia" w:ascii="仿宋" w:hAnsi="仿宋" w:eastAsia="仿宋" w:cs="仿宋"/>
          <w:color w:val="auto"/>
          <w:sz w:val="44"/>
          <w:highlight w:val="none"/>
        </w:rPr>
        <w:t>第四部分 授予合同</w:t>
      </w:r>
      <w:bookmarkEnd w:id="36"/>
      <w:bookmarkEnd w:id="37"/>
      <w:bookmarkEnd w:id="40"/>
      <w:r>
        <w:rPr>
          <w:rFonts w:hint="eastAsia" w:ascii="仿宋" w:hAnsi="仿宋" w:eastAsia="仿宋" w:cs="仿宋"/>
          <w:color w:val="auto"/>
          <w:sz w:val="44"/>
          <w:highlight w:val="none"/>
          <w:lang w:eastAsia="zh-CN"/>
        </w:rPr>
        <w:t>（</w:t>
      </w:r>
      <w:r>
        <w:rPr>
          <w:rFonts w:hint="eastAsia" w:ascii="仿宋" w:hAnsi="仿宋" w:eastAsia="仿宋" w:cs="仿宋"/>
          <w:color w:val="auto"/>
          <w:sz w:val="44"/>
          <w:highlight w:val="none"/>
          <w:lang w:val="en-US" w:eastAsia="zh-CN"/>
        </w:rPr>
        <w:t>参考模版</w:t>
      </w:r>
      <w:r>
        <w:rPr>
          <w:rFonts w:hint="eastAsia" w:ascii="仿宋" w:hAnsi="仿宋" w:eastAsia="仿宋" w:cs="仿宋"/>
          <w:color w:val="auto"/>
          <w:sz w:val="44"/>
          <w:highlight w:val="none"/>
          <w:lang w:eastAsia="zh-CN"/>
        </w:rPr>
        <w:t>）</w:t>
      </w:r>
    </w:p>
    <w:p w14:paraId="6C2B9388">
      <w:pPr>
        <w:adjustRightInd w:val="0"/>
        <w:snapToGrid w:val="0"/>
        <w:spacing w:line="560" w:lineRule="exact"/>
        <w:ind w:firstLine="640" w:firstLineChars="200"/>
        <w:rPr>
          <w:rFonts w:ascii="仿宋" w:hAnsi="仿宋" w:eastAsia="仿宋" w:cs="仿宋"/>
          <w:color w:val="auto"/>
          <w:sz w:val="32"/>
          <w:szCs w:val="32"/>
          <w:highlight w:val="none"/>
        </w:rPr>
      </w:pPr>
      <w:bookmarkStart w:id="41" w:name="_Toc8997"/>
      <w:bookmarkStart w:id="42" w:name="_Toc325620721"/>
      <w:bookmarkStart w:id="43" w:name="_Toc332979562"/>
    </w:p>
    <w:p w14:paraId="1C099EE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一、签订合同</w:t>
      </w:r>
      <w:bookmarkEnd w:id="41"/>
      <w:bookmarkEnd w:id="42"/>
      <w:bookmarkEnd w:id="43"/>
    </w:p>
    <w:p w14:paraId="77E27F7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1.评审工作结束后，采购人向成交供应商签发《中标通知书》，在7个工作日内，由采购人和成交供应商签订合同。合同签订的内容不能超出磋商文件和响应文件的实质性内容。</w:t>
      </w:r>
    </w:p>
    <w:p w14:paraId="6154A8B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2.磋商文件、采购人的报价文件及评审过程中有关澄清文件等均可为合同附件。</w:t>
      </w:r>
    </w:p>
    <w:p w14:paraId="7DDAEB02">
      <w:pPr>
        <w:adjustRightInd w:val="0"/>
        <w:snapToGrid w:val="0"/>
        <w:spacing w:line="560" w:lineRule="exact"/>
        <w:ind w:firstLine="640" w:firstLineChars="200"/>
        <w:rPr>
          <w:rFonts w:hint="eastAsia" w:ascii="仿宋" w:hAnsi="仿宋" w:eastAsia="仿宋" w:cs="仿宋"/>
          <w:color w:val="auto"/>
          <w:sz w:val="32"/>
          <w:szCs w:val="32"/>
          <w:highlight w:val="none"/>
        </w:rPr>
      </w:pPr>
      <w:bookmarkStart w:id="44" w:name="_Toc16534"/>
      <w:bookmarkStart w:id="45" w:name="_Toc325620722"/>
      <w:bookmarkStart w:id="46" w:name="_Toc332979563"/>
      <w:r>
        <w:rPr>
          <w:rFonts w:hint="eastAsia" w:ascii="仿宋" w:hAnsi="仿宋" w:eastAsia="仿宋" w:cs="仿宋"/>
          <w:color w:val="auto"/>
          <w:sz w:val="32"/>
          <w:szCs w:val="32"/>
          <w:highlight w:val="none"/>
        </w:rPr>
        <w:t>二、合同格式</w:t>
      </w:r>
      <w:bookmarkEnd w:id="11"/>
      <w:bookmarkEnd w:id="12"/>
      <w:bookmarkEnd w:id="13"/>
      <w:bookmarkEnd w:id="14"/>
      <w:bookmarkEnd w:id="15"/>
      <w:bookmarkEnd w:id="16"/>
      <w:bookmarkEnd w:id="44"/>
      <w:bookmarkEnd w:id="45"/>
      <w:bookmarkEnd w:id="46"/>
      <w:bookmarkStart w:id="47" w:name="_Toc325620723"/>
      <w:bookmarkStart w:id="48" w:name="_Toc356490388"/>
      <w:bookmarkStart w:id="49" w:name="_Toc356491327"/>
      <w:bookmarkStart w:id="50" w:name="_Toc905"/>
      <w:bookmarkStart w:id="51" w:name="_Toc40089798"/>
    </w:p>
    <w:p w14:paraId="16A302B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(以下简称甲方)</w:t>
      </w:r>
    </w:p>
    <w:p w14:paraId="62FB7A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(以下简称乙方)</w:t>
      </w:r>
    </w:p>
    <w:p w14:paraId="790756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乙双方根据《海南卫生健康职业学院2026年学生消防应急疏散与灭火演练项目》竞争性磋商采购结果，依据《中华人民共和国民法典》及相关法律法规，在平等、自愿、公平和诚实信用的基础上，就乙方为甲方提供学生消防应急疏散与灭火演练服务事宜达成一致，订立本合同。</w:t>
      </w:r>
    </w:p>
    <w:p w14:paraId="511842B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lang w:eastAsia="zh-CN"/>
        </w:rPr>
        <w:t>）合同内容</w:t>
      </w:r>
    </w:p>
    <w:p w14:paraId="2A39BA6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第一条服务地点及期限</w:t>
      </w:r>
    </w:p>
    <w:p w14:paraId="08BA8B6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1.服务地点：海南卫生健康职业学院校内，包括：</w:t>
      </w:r>
    </w:p>
    <w:p w14:paraId="18998C9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（1）海口市秀英区秀华路32号；</w:t>
      </w:r>
    </w:p>
    <w:p w14:paraId="5E269E7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（2）海口市龙华区白水塘路48号。</w:t>
      </w:r>
    </w:p>
    <w:p w14:paraId="6951AE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2.服务期限：合同签订之日起至2026年12月31日止（全部演练及成果交付工作须在此期限内完成）</w:t>
      </w:r>
    </w:p>
    <w:p w14:paraId="52D316D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第二条服务内容及要求</w:t>
      </w:r>
    </w:p>
    <w:p w14:paraId="2698D15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1.演练方案策划与编制：</w:t>
      </w:r>
    </w:p>
    <w:p w14:paraId="4297ED9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须在合同签订后10个工作日内，根据两校区建筑布局、学生分布及专业特点，编制详细的《消防应急疏散与灭火演练实施方案》提交甲方审核。方案应包括但不限于：演练目的、时间、地点、参演人员范围及人数、组织架构与职责分工、情景设置（如某宿舍楼/教学楼突发火情）、疏散路线与集合区域平面图、演练具体流程与时间节点、各环节实操内容（含报警、疏散、搜救、灭火器及消火栓实操、模拟伤情急救等）、安全保障措施、意外情况应急预案、演练物资与设备清单、活动宣传预热方案、演练评估标准等。方案经甲方书面确认后方可实施。</w:t>
      </w:r>
    </w:p>
    <w:p w14:paraId="4104B7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31C1AF3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实施前，乙方应安排具备相应资质的专业讲师，对参演师生代表、辅导员、宿管人员、安保人员及相关部门工作人员进行消防知识及演练流程培训，培训总时长不少于2学时。培训内容应至少涵盖：校园火灾风险与预防、初期火灾扑救方法、应急疏散逃生要领（含高层建筑及夜间疏散注意事项）、灭火器及室内消火栓实操训练、演练流程推演及人员职责明确等。</w:t>
      </w:r>
    </w:p>
    <w:p w14:paraId="06CE93E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3.演练组织实施：</w:t>
      </w:r>
    </w:p>
    <w:p w14:paraId="6224EE0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（1）乙方负责演练现场的全程组织、指挥与调度（在甲方总指挥领导下），确保各环节按方案安全、有序进行。</w:t>
      </w:r>
    </w:p>
    <w:p w14:paraId="0D9BC44E">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（2）现场须设置明显的演练标识、安全警戒线，并配备足量的安全保障人员及医疗急救物资。</w:t>
      </w:r>
    </w:p>
    <w:p w14:paraId="036CF9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（3）演练中应设置烟雾环境模拟、模拟火源、模拟被困/受伤人员等逼真场景，提升实战感。</w:t>
      </w:r>
    </w:p>
    <w:p w14:paraId="79B5B49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（4）乙方需指派专业人员现场讲解及示范灭火器使用、消火栓操作、心肺复苏及创伤包扎等急救技能，并组织学生代表实操体验。</w:t>
      </w:r>
    </w:p>
    <w:p w14:paraId="6AF0950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4.演练评估与总结：</w:t>
      </w:r>
    </w:p>
    <w:p w14:paraId="754ED18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演练结束后，乙方现场进行简要讲评；并于5个工作日内向甲方提交详细的书面《演练评估报告》，内容包括演练过程记录、参与人数统计、各环节用时分析、暴露问题与改进建议等。</w:t>
      </w:r>
    </w:p>
    <w:p w14:paraId="3C9B119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5.成果交付：</w:t>
      </w:r>
    </w:p>
    <w:p w14:paraId="58F31C6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本项目演练活动拟于2026年6月及9月两个校区共组织四次，乙方须在每次演练活动结束后7个工作日内，分别向甲方交付以下成果资料，每次交付均包含纸质成册文件壹套及电子文件壹份（存储于U盘或移动硬盘）。</w:t>
      </w:r>
    </w:p>
    <w:p w14:paraId="7042CE1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（1）纸质成册文件壹套，内容包括：</w:t>
      </w:r>
    </w:p>
    <w:p w14:paraId="460D4C7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经甲方审核确认的当次演练方案（定稿版）、培训课件、参演人员签到表、演练评估报告等档案资料，按类别整理并胶装成册，封面、目录及页码清晰完整；</w:t>
      </w:r>
    </w:p>
    <w:p w14:paraId="6DE6EB1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高像素现场精修图片不少于20张（彩色打印），内容涵盖当次演练的组织指挥、疏散逃生、灭火实操、急救演练、培训教育等关键环节，图片下方附简明图注，单张图片对应电子原图分辨率不低于300dpi。</w:t>
      </w:r>
    </w:p>
    <w:p w14:paraId="47BF214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所有纸质文件须统一装帧，封面注明项目名称、演练场次（6月场/9月场）。</w:t>
      </w:r>
    </w:p>
    <w:p w14:paraId="0D4A900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（2）电子文件壹份（存入U盘或移动硬盘），内容包括：</w:t>
      </w:r>
    </w:p>
    <w:p w14:paraId="52F264D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当次演练全流程高清纪实剪辑视频4部：其中时长不少于3分钟的完整版2部，时长1分钟以内的精简版2部，分辨率均不低于1080P，包含字幕、配乐及解说，适合作为校园安全教育宣传片使用；</w:t>
      </w:r>
    </w:p>
    <w:p w14:paraId="10AAB3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上述纸质成册文件中全部内容的电子扫描件（PDF格式）；</w:t>
      </w:r>
    </w:p>
    <w:p w14:paraId="64829BA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 高像素现场精修图片电子原图不少于20张，内容同上；</w:t>
      </w:r>
    </w:p>
    <w:p w14:paraId="0692718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 当次演练全程拍摄的原始视频素材及原始照片文件，按机位/环节分类整理后一并存入。</w:t>
      </w:r>
    </w:p>
    <w:p w14:paraId="0B45452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6.知识产权归属：</w:t>
      </w:r>
    </w:p>
    <w:p w14:paraId="737F64B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在履行本合同过程中形成的所有演练方案、培训课件、照片、视频资料及其他任何形式的成果，其知识产权（包括但不限于著作权）均归甲方所有。乙方须将上述成果完整交付甲方，未经甲方书面许可，不得以任何形式留存、使用、公开或向第三方提供。</w:t>
      </w:r>
    </w:p>
    <w:p w14:paraId="795C3A9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7.人员资质要求：</w:t>
      </w:r>
    </w:p>
    <w:p w14:paraId="0C238FB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乙方为本项目配置的执行团队须满足以下要求：</w:t>
      </w:r>
    </w:p>
    <w:p w14:paraId="59E5158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（1）项目总负责人1人，须持有有效的一级注册消防工程师资格证书；</w:t>
      </w:r>
    </w:p>
    <w:p w14:paraId="7AF0E8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（2）现场执行及技术人员不少于4人，其中至少1人为专业影像采集人员（需提供相关摄影/摄像作品或从业经历证明），其余人员持有消防设施操作员（中级及以上）或相关消防安全专业资质证书。</w:t>
      </w:r>
    </w:p>
    <w:p w14:paraId="52916FF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（上述人员名单及有效证书复印件须作为合同附件。）</w:t>
      </w:r>
    </w:p>
    <w:p w14:paraId="108E623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第三条 双方权利与义务</w:t>
      </w:r>
    </w:p>
    <w:p w14:paraId="307584B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1.甲方有权对乙方的演练方案、培训内容及现场组织实施进行监督、检查，并提出修改意见，乙方应在合理期限内予以响应和调整。</w:t>
      </w:r>
    </w:p>
    <w:p w14:paraId="39114F3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2.甲方负责协调落实演练场地，组织参演师生及相关人员按时到场，为演练实施提供必要的后勤支持（如电源、场地清场等）。</w:t>
      </w:r>
    </w:p>
    <w:p w14:paraId="06AD12F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3.乙方应严格按照经甲方确认的方案组织实施，确保活动安全。因乙方组织不当、安全措施不到位或设备操作失误造成的人员伤亡或财产损失，由乙方承担全部法律责任及经济赔偿。</w:t>
      </w:r>
    </w:p>
    <w:p w14:paraId="6F2261A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4.乙方自行配备演练所需的全部专业设备、器材、道具及个人防护用品，并保证其性能完好、安全可靠。</w:t>
      </w:r>
    </w:p>
    <w:p w14:paraId="2E4E156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5.未经甲方书面同意，乙方不得将本合同项下任何义务转包或分包给第三方。</w:t>
      </w:r>
    </w:p>
    <w:p w14:paraId="2EAE51E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en-US" w:eastAsia="zh-CN" w:bidi="zh-CN"/>
        </w:rPr>
        <w:t>二、</w:t>
      </w:r>
      <w:r>
        <w:rPr>
          <w:rFonts w:hint="eastAsia" w:ascii="仿宋" w:hAnsi="仿宋" w:eastAsia="仿宋" w:cs="仿宋"/>
          <w:b w:val="0"/>
          <w:bCs w:val="0"/>
          <w:color w:val="auto"/>
          <w:kern w:val="2"/>
          <w:sz w:val="32"/>
          <w:szCs w:val="32"/>
          <w:highlight w:val="none"/>
          <w:lang w:val="zh-CN" w:eastAsia="zh-CN" w:bidi="zh-CN"/>
        </w:rPr>
        <w:t>合同费用</w:t>
      </w:r>
    </w:p>
    <w:p w14:paraId="63D1AD3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1.本项目服务总费用为</w:t>
      </w:r>
      <w:r>
        <w:rPr>
          <w:rFonts w:hint="default" w:ascii="仿宋" w:hAnsi="仿宋" w:eastAsia="仿宋" w:cs="仿宋"/>
          <w:color w:val="auto"/>
          <w:sz w:val="32"/>
          <w:szCs w:val="32"/>
          <w:highlight w:val="none"/>
          <w:lang w:val="en-US" w:eastAsia="zh-CN"/>
        </w:rPr>
        <w:t> ￥ （大写： 整）（含税）</w:t>
      </w:r>
      <w:r>
        <w:rPr>
          <w:rFonts w:hint="eastAsia" w:ascii="仿宋" w:hAnsi="仿宋" w:eastAsia="仿宋" w:cs="仿宋"/>
          <w:color w:val="auto"/>
          <w:sz w:val="32"/>
          <w:szCs w:val="32"/>
          <w:highlight w:val="none"/>
          <w:lang w:val="en-US" w:eastAsia="zh-CN"/>
        </w:rPr>
        <w:t>。</w:t>
      </w:r>
    </w:p>
    <w:p w14:paraId="2B55E9F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2.支付方式：</w:t>
      </w:r>
    </w:p>
    <w:p w14:paraId="4F0082A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全部演练活动实施完毕，乙方交付全部成果资料经甲方验收合格后开具合法发票，甲方收到发票3个工作日内向乙方支付合同总费用的100%。</w:t>
      </w:r>
    </w:p>
    <w:p w14:paraId="6845FB7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3.乙方账户</w:t>
      </w:r>
    </w:p>
    <w:p w14:paraId="3733B94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单位名称：</w:t>
      </w:r>
    </w:p>
    <w:p w14:paraId="2638BD2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开户银行：</w:t>
      </w:r>
    </w:p>
    <w:p w14:paraId="2C8A41E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账号：</w:t>
      </w:r>
    </w:p>
    <w:p w14:paraId="0569DB5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zh-CN" w:eastAsia="zh-CN" w:bidi="zh-CN"/>
        </w:rPr>
        <w:t>三、违约责任</w:t>
      </w:r>
    </w:p>
    <w:p w14:paraId="7A8CF82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自本合同签定之日起，双方应严格遵守并认真执行，任何一方出现违约情况，应承担违约责任，守约方有权要求违约方在做出损失赔偿后继续履行其责任；也可在违约方根据法律规定或协商议定做出赔偿后，要求终止本合同。</w:t>
      </w:r>
    </w:p>
    <w:p w14:paraId="591EE78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四、争讼条款</w:t>
      </w:r>
    </w:p>
    <w:p w14:paraId="5336621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因执行本合同所发生的一切争议，双方应本着宽容、热诚、互助和体谅的精神协同解决。如经协商不能达成一致，由甲方所在地人民法院处理。</w:t>
      </w:r>
    </w:p>
    <w:p w14:paraId="58B078D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五、其他事项</w:t>
      </w:r>
    </w:p>
    <w:p w14:paraId="78085B8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1.本合同自双方签字、盖章之日起生效。合同履行完毕即自行失效。</w:t>
      </w:r>
    </w:p>
    <w:p w14:paraId="237452A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2.本合同履行期间，双方不得随意变更和解除合同，合同如有未尽事宜，由双方共同协商，作出补充规定。补充规定双方签章确认后，与本合同的其他条款具有同等的法律效力。</w:t>
      </w:r>
    </w:p>
    <w:p w14:paraId="43AE4D6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3.本合同的解释和执行，适用中华人民共和国法律。</w:t>
      </w:r>
    </w:p>
    <w:p w14:paraId="6A6098A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4.本合同正本一式</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份，甲方执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份，乙方执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w:t>
      </w:r>
    </w:p>
    <w:p w14:paraId="6D8028E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3B34C847">
      <w:pPr>
        <w:pStyle w:val="13"/>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434FB5D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甲方(盖章):                   乙方(盖章):</w:t>
      </w:r>
    </w:p>
    <w:p w14:paraId="3E12AF2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5A7EF64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代表签名:                     代表签名:</w:t>
      </w:r>
    </w:p>
    <w:p w14:paraId="48E797E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4264458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日期:    年  月  日          日期:   年  月  日</w:t>
      </w:r>
    </w:p>
    <w:p w14:paraId="6C772C3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69280B6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3529E932">
      <w:pPr>
        <w:rPr>
          <w:rFonts w:hint="eastAsia" w:ascii="仿宋" w:hAnsi="仿宋" w:eastAsia="仿宋" w:cs="仿宋"/>
          <w:color w:val="auto"/>
          <w:highlight w:val="none"/>
          <w:lang w:val="en-US" w:eastAsia="zh-CN"/>
        </w:rPr>
      </w:pPr>
    </w:p>
    <w:p w14:paraId="70A8123C">
      <w:pPr>
        <w:pStyle w:val="2"/>
        <w:adjustRightInd w:val="0"/>
        <w:snapToGrid w:val="0"/>
        <w:spacing w:line="560" w:lineRule="exact"/>
        <w:jc w:val="center"/>
        <w:rPr>
          <w:rFonts w:hint="eastAsia" w:asciiTheme="majorEastAsia" w:hAnsiTheme="majorEastAsia" w:eastAsiaTheme="majorEastAsia" w:cstheme="majorEastAsia"/>
          <w:color w:val="auto"/>
          <w:sz w:val="44"/>
          <w:highlight w:val="none"/>
        </w:rPr>
      </w:pPr>
      <w:bookmarkStart w:id="52" w:name="_Toc11038"/>
      <w:r>
        <w:rPr>
          <w:rFonts w:hint="eastAsia" w:asciiTheme="majorEastAsia" w:hAnsiTheme="majorEastAsia" w:eastAsiaTheme="majorEastAsia" w:cstheme="majorEastAsia"/>
          <w:color w:val="auto"/>
          <w:sz w:val="44"/>
          <w:highlight w:val="none"/>
        </w:rPr>
        <w:t xml:space="preserve">第五部分 </w:t>
      </w:r>
      <w:bookmarkEnd w:id="47"/>
      <w:bookmarkEnd w:id="48"/>
      <w:bookmarkEnd w:id="49"/>
      <w:r>
        <w:rPr>
          <w:rFonts w:hint="eastAsia" w:asciiTheme="majorEastAsia" w:hAnsiTheme="majorEastAsia" w:eastAsiaTheme="majorEastAsia" w:cstheme="majorEastAsia"/>
          <w:color w:val="auto"/>
          <w:sz w:val="44"/>
          <w:highlight w:val="none"/>
        </w:rPr>
        <w:t>项目需求</w:t>
      </w:r>
      <w:bookmarkEnd w:id="50"/>
      <w:bookmarkEnd w:id="51"/>
      <w:bookmarkEnd w:id="52"/>
    </w:p>
    <w:p w14:paraId="54988445">
      <w:pPr>
        <w:adjustRightInd w:val="0"/>
        <w:snapToGrid w:val="0"/>
        <w:spacing w:line="560" w:lineRule="exact"/>
        <w:ind w:firstLine="640" w:firstLineChars="200"/>
        <w:rPr>
          <w:rFonts w:ascii="仿宋" w:hAnsi="仿宋" w:eastAsia="仿宋" w:cs="仿宋"/>
          <w:color w:val="auto"/>
          <w:sz w:val="32"/>
          <w:szCs w:val="32"/>
          <w:highlight w:val="none"/>
        </w:rPr>
      </w:pPr>
      <w:bookmarkStart w:id="53" w:name="_Toc425948677"/>
    </w:p>
    <w:p w14:paraId="491E797C">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0FBCB7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采购项目名称：</w:t>
      </w:r>
      <w:r>
        <w:rPr>
          <w:rFonts w:hint="eastAsia" w:ascii="仿宋" w:hAnsi="仿宋" w:eastAsia="仿宋" w:cs="仿宋"/>
          <w:b w:val="0"/>
          <w:bCs/>
          <w:color w:val="auto"/>
          <w:sz w:val="32"/>
          <w:szCs w:val="32"/>
          <w:highlight w:val="none"/>
          <w:lang w:val="en-US" w:eastAsia="zh-CN"/>
        </w:rPr>
        <w:t>2026年学生消防应急疏散与灭火演练项目（二次招标）</w:t>
      </w:r>
    </w:p>
    <w:p w14:paraId="26757A84">
      <w:pPr>
        <w:adjustRightInd w:val="0"/>
        <w:snapToGrid w:val="0"/>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采购项目编号：HNWJY-FW202600</w:t>
      </w:r>
      <w:r>
        <w:rPr>
          <w:rFonts w:hint="eastAsia" w:ascii="仿宋" w:hAnsi="仿宋" w:eastAsia="仿宋" w:cs="仿宋"/>
          <w:color w:val="auto"/>
          <w:sz w:val="32"/>
          <w:szCs w:val="32"/>
          <w:highlight w:val="none"/>
          <w:lang w:val="en-US" w:eastAsia="zh-CN"/>
        </w:rPr>
        <w:t>5</w:t>
      </w:r>
    </w:p>
    <w:p w14:paraId="5D0D1913">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项目预算：</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p w14:paraId="5A797E66">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商务需求</w:t>
      </w:r>
    </w:p>
    <w:p w14:paraId="6EABE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1.供应商营业执照载明的经营范围应能覆盖本项目的主要采购/服务内容。（提供承诺函）</w:t>
      </w:r>
    </w:p>
    <w:p w14:paraId="18C11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bookmarkStart w:id="54" w:name="_Toc40089799"/>
      <w:bookmarkStart w:id="55" w:name="_Toc21799"/>
      <w:bookmarkStart w:id="56" w:name="_Toc12517"/>
      <w:r>
        <w:rPr>
          <w:rFonts w:hint="eastAsia" w:ascii="仿宋" w:hAnsi="仿宋" w:eastAsia="仿宋" w:cs="仿宋"/>
          <w:color w:val="auto"/>
          <w:sz w:val="32"/>
          <w:szCs w:val="32"/>
          <w:highlight w:val="none"/>
          <w:lang w:val="en-US" w:eastAsia="zh-CN"/>
        </w:rPr>
        <w:t>2.合同履行期限：合同签订之日起至全部演练活动及成果交付完成，具体演练日期由双方协商确定，所有工作须在2026年12月31日前完成。</w:t>
      </w:r>
    </w:p>
    <w:p w14:paraId="3D09B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3.报价要求：供应商报价须为一次性包干总价，包含方案策划、培训师资、现场组织、设备使用、物资耗材、影像摄制与后期制作、资料汇编、交通、人员劳务、保险、税费等全部费用。</w:t>
      </w:r>
    </w:p>
    <w:p w14:paraId="37C0D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4.业绩要求：近三年内（2023年1月1日至今）具有至少1项学校类消防演练或大型消防安全培训活动承办经验，需提供合同复印件及甲方出具的满意度评价或验收证明。</w:t>
      </w:r>
    </w:p>
    <w:p w14:paraId="593A4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5.人员要求：</w:t>
      </w:r>
    </w:p>
    <w:p w14:paraId="760BAA9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（1）项目总负责人1人，具有一级注册消防工程师资格，负责项目整体统筹与方案审核；</w:t>
      </w:r>
    </w:p>
    <w:p w14:paraId="63E915F0">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（2）现场执行人员不少于4人，其中须包含：</w:t>
      </w:r>
    </w:p>
    <w:p w14:paraId="723AAD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具备消防设施操作员（中级及以上）或同等消防资质的技术骨干不少于1人；</w:t>
      </w:r>
    </w:p>
    <w:p w14:paraId="6DABA3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负责影像采集与素材制作的专业人员不少于1人（需提供相关摄影/摄像作品或从业经历证明）。</w:t>
      </w:r>
    </w:p>
    <w:p w14:paraId="406BEB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（须提供上述相关人员有效资质证书复印件及近三个月社保证明，原件备查）</w:t>
      </w:r>
    </w:p>
    <w:p w14:paraId="7EAB48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6.支付方式：全部演练活动实施完毕，乙方交付全部成果资料经甲方验收合格后3个工作日内，甲方向乙方支付合同总费用的100%。</w:t>
      </w:r>
    </w:p>
    <w:p w14:paraId="5EBDC2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7.验收标准：</w:t>
      </w:r>
    </w:p>
    <w:p w14:paraId="52CE05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（1）演练实施方案经甲方审核通过；</w:t>
      </w:r>
    </w:p>
    <w:p w14:paraId="5774E5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（2）按方案完成全部培训及演练环节，过程安全有序；</w:t>
      </w:r>
    </w:p>
    <w:p w14:paraId="0931BB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（3）交付的全套成果资料（视频、图片、档案汇编）完整、清晰、规范，符合合同约定标准；</w:t>
      </w:r>
    </w:p>
    <w:p w14:paraId="1E8149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（4）提交《演练评估报告》内容详实。</w:t>
      </w:r>
    </w:p>
    <w:p w14:paraId="73275E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（供应商须提供承诺函，承诺满足以上验收要求，格式自拟）</w:t>
      </w:r>
    </w:p>
    <w:p w14:paraId="55F109C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2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三、技术需求</w:t>
      </w:r>
    </w:p>
    <w:p w14:paraId="72F59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（一）服务内容</w:t>
      </w:r>
    </w:p>
    <w:p w14:paraId="501417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w:t>
      </w:r>
    </w:p>
    <w:p w14:paraId="67286E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根据学校两校区（秀华路32号、白水塘路48号）实际建筑布局及学生规模，策划覆盖全体在校学生的4场消防应急疏散与灭火演练。方案应详细、科学，具有可操作性。</w:t>
      </w:r>
    </w:p>
    <w:p w14:paraId="3C0E9F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25ED0B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对相关人员进行不少于2学时的消防知识与技能培训，内容须涵盖消防法规常识、火灾隐患排查、疏散逃生技巧、灭火器及消火栓使用、急救知识等。</w:t>
      </w:r>
    </w:p>
    <w:p w14:paraId="69C104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3.演练实施（至少包含以下核心环节）：</w:t>
      </w:r>
    </w:p>
    <w:p w14:paraId="472C5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（1）模拟火情触发与报警联动（使用烟雾发生器模拟真实烟雾效果）；</w:t>
      </w:r>
    </w:p>
    <w:p w14:paraId="631678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（2）应急广播与人员紧急疏散；</w:t>
      </w:r>
    </w:p>
    <w:p w14:paraId="45BA01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（3）义务消防队初期火灾扑救演示；</w:t>
      </w:r>
    </w:p>
    <w:p w14:paraId="69180C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（4）学生代表分组进行灭火器实操灭火；</w:t>
      </w:r>
    </w:p>
    <w:p w14:paraId="5B62F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（5）现场讲评与总结。</w:t>
      </w:r>
    </w:p>
    <w:p w14:paraId="7B7640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4.影像记录与成果制作：</w:t>
      </w:r>
    </w:p>
    <w:p w14:paraId="2FB7D6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全程多机位拍摄演练过程，制作符合安全教育宣传标准的高清视频成片及图片资料。</w:t>
      </w:r>
    </w:p>
    <w:p w14:paraId="5CCBAE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（二）物资与设备要求</w:t>
      </w:r>
    </w:p>
    <w:p w14:paraId="341E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供应商应自行准备演练所需各类物资及设备，清单应在响应文件中列明，包括但不限于：</w:t>
      </w:r>
    </w:p>
    <w:p w14:paraId="03B177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1.模拟火源设施（如模拟发烟装置、可控火盆等）；</w:t>
      </w:r>
    </w:p>
    <w:p w14:paraId="573483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2.灭火器材（演练用灭火器若干具，建议使用水基型或干粉型训练专用灭火器，并备足燃料）；</w:t>
      </w:r>
    </w:p>
    <w:p w14:paraId="1E03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3.消火栓实操演示设备；</w:t>
      </w:r>
    </w:p>
    <w:p w14:paraId="7F925F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4.疏散引导标识、对讲机、手持扩音器；</w:t>
      </w:r>
    </w:p>
    <w:p w14:paraId="068447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5.影像拍摄设备（高清摄像机不少于2台、无人机不少于1架、单反相机不少于1台等）；</w:t>
      </w:r>
    </w:p>
    <w:p w14:paraId="45FE42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6.个人防护用品（安全帽、反光背心、手套等），按执行团队及参演保障人员数量配齐。</w:t>
      </w:r>
    </w:p>
    <w:p w14:paraId="68CD49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（三）演练规模参考</w:t>
      </w:r>
    </w:p>
    <w:p w14:paraId="0079E0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宋体"/>
          <w:color w:val="auto"/>
          <w:highlight w:val="none"/>
          <w:lang w:val="en-US" w:eastAsia="zh-CN"/>
        </w:rPr>
      </w:pPr>
      <w:r>
        <w:rPr>
          <w:rFonts w:hint="eastAsia" w:ascii="仿宋" w:hAnsi="仿宋" w:eastAsia="仿宋" w:cs="仿宋"/>
          <w:color w:val="auto"/>
          <w:sz w:val="32"/>
          <w:szCs w:val="32"/>
          <w:highlight w:val="none"/>
          <w:lang w:val="en-US" w:eastAsia="zh-CN"/>
        </w:rPr>
        <w:t>我校在校学生总数约6000人。本次演练拟定参与疏散人数具体以甲方最终确定为准。供应商应据此合理规划演练方案及物资、人力配置。</w:t>
      </w:r>
    </w:p>
    <w:p w14:paraId="7DE1B909">
      <w:pPr>
        <w:bidi w:val="0"/>
        <w:rPr>
          <w:rFonts w:hint="eastAsia" w:eastAsia="宋体"/>
          <w:color w:val="auto"/>
          <w:highlight w:val="none"/>
          <w:lang w:eastAsia="zh-CN"/>
        </w:rPr>
      </w:pPr>
    </w:p>
    <w:p w14:paraId="1FF4308A">
      <w:pPr>
        <w:pStyle w:val="2"/>
        <w:adjustRightInd w:val="0"/>
        <w:snapToGrid w:val="0"/>
        <w:spacing w:line="560" w:lineRule="exact"/>
        <w:rPr>
          <w:rFonts w:hint="eastAsia" w:asciiTheme="majorEastAsia" w:hAnsiTheme="majorEastAsia" w:eastAsiaTheme="majorEastAsia" w:cstheme="majorEastAsia"/>
          <w:color w:val="auto"/>
          <w:sz w:val="44"/>
          <w:highlight w:val="none"/>
          <w:lang w:val="en-US" w:eastAsia="zh-CN"/>
        </w:rPr>
      </w:pPr>
      <w:r>
        <w:rPr>
          <w:rFonts w:hint="eastAsia" w:asciiTheme="majorEastAsia" w:hAnsiTheme="majorEastAsia" w:eastAsiaTheme="majorEastAsia" w:cstheme="majorEastAsia"/>
          <w:color w:val="auto"/>
          <w:sz w:val="44"/>
          <w:highlight w:val="none"/>
          <w:lang w:val="en-US" w:eastAsia="zh-CN"/>
        </w:rPr>
        <w:t>第六部分 报价文件格式</w:t>
      </w:r>
      <w:bookmarkEnd w:id="53"/>
      <w:bookmarkEnd w:id="54"/>
      <w:bookmarkEnd w:id="55"/>
      <w:bookmarkEnd w:id="56"/>
    </w:p>
    <w:p w14:paraId="3E357EEA">
      <w:pPr>
        <w:adjustRightInd w:val="0"/>
        <w:snapToGrid w:val="0"/>
        <w:spacing w:line="560" w:lineRule="exact"/>
        <w:ind w:left="638" w:leftChars="228"/>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14D856F1">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响应承诺函</w:t>
      </w:r>
      <w:r>
        <w:rPr>
          <w:rFonts w:hint="eastAsia" w:ascii="仿宋" w:hAnsi="仿宋" w:eastAsia="仿宋" w:cs="仿宋"/>
          <w:color w:val="auto"/>
          <w:sz w:val="32"/>
          <w:szCs w:val="32"/>
          <w:highlight w:val="none"/>
        </w:rPr>
        <w:t>（详见附件1）</w:t>
      </w:r>
    </w:p>
    <w:p w14:paraId="6BEAD3B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2.★如为授权代表签字，提供法定代表人授权书（详见附件2）</w:t>
      </w:r>
    </w:p>
    <w:p w14:paraId="010ABCDA">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3.★近三年内，在经营活动中没有重大违法记录的声明（详见附件3）</w:t>
      </w:r>
    </w:p>
    <w:p w14:paraId="587A4162">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4.★商务响应表（详见附件4）</w:t>
      </w:r>
    </w:p>
    <w:p w14:paraId="24C9F26B">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53AD61AB">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1.★提供投标人资格要求里的证明材料复印件</w:t>
      </w:r>
    </w:p>
    <w:p w14:paraId="0FB53FA5">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6416264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1.对本项目的技术服务类总体要求的理解（如有）</w:t>
      </w:r>
    </w:p>
    <w:p w14:paraId="0EC7FA98">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2.项目总体架构及技术解决方案、技术保证措施、供货方案等（如有）</w:t>
      </w:r>
    </w:p>
    <w:p w14:paraId="0A7CBC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3.★技术响应表（详见附件5）</w:t>
      </w:r>
    </w:p>
    <w:p w14:paraId="778192F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4.投标货物产品图片等证明货物的合格性和符合磋商文件规定的技术资料。（如有）</w:t>
      </w:r>
    </w:p>
    <w:p w14:paraId="0037A71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5.供应商或制造商在采购人所属地区的售后服务维修机构数量及分布情况（如有）。</w:t>
      </w:r>
    </w:p>
    <w:p w14:paraId="64D7ECC3">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6.技术服务、技术培训、售后服务的内容和措施（如有）。</w:t>
      </w:r>
    </w:p>
    <w:p w14:paraId="73CEC44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7.供应商同类项目实施情况一览表并提供能证明其业绩属实的合同复印件（如有）。</w:t>
      </w:r>
    </w:p>
    <w:p w14:paraId="299BB18C">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8.选配件、专用耗材、售后服务优惠表（如有）。</w:t>
      </w:r>
    </w:p>
    <w:p w14:paraId="40720EC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9.磋商文件规定或供应商认为其它应介绍或提交的资料和文件。</w:t>
      </w:r>
    </w:p>
    <w:p w14:paraId="113E5726">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3B10ED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★报价一览表（详见附件6）</w:t>
      </w:r>
    </w:p>
    <w:p w14:paraId="67BCA99A">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6BE7F07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以上格式中标注“★”的，供应商必须提供，未提供或未按要求提供的，一律为无效投标。</w:t>
      </w:r>
    </w:p>
    <w:p w14:paraId="31A0D019">
      <w:pPr>
        <w:adjustRightInd w:val="0"/>
        <w:snapToGri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E577799">
      <w:pPr>
        <w:rPr>
          <w:rFonts w:ascii="方正公文黑体" w:hAnsi="方正公文黑体" w:eastAsia="方正公文黑体" w:cs="方正公文黑体"/>
          <w:color w:val="auto"/>
          <w:sz w:val="36"/>
          <w:szCs w:val="36"/>
          <w:highlight w:val="none"/>
        </w:rPr>
      </w:pPr>
      <w:bookmarkStart w:id="57" w:name="_Toc40089800"/>
      <w:bookmarkStart w:id="58" w:name="_Toc14759"/>
      <w:bookmarkStart w:id="59" w:name="_Toc356491342"/>
      <w:bookmarkStart w:id="60" w:name="_Toc356490394"/>
      <w:r>
        <w:rPr>
          <w:rFonts w:hint="eastAsia" w:ascii="方正公文黑体" w:hAnsi="方正公文黑体" w:eastAsia="方正公文黑体" w:cs="方正公文黑体"/>
          <w:color w:val="auto"/>
          <w:sz w:val="36"/>
          <w:szCs w:val="36"/>
          <w:highlight w:val="none"/>
        </w:rPr>
        <w:t>附件</w:t>
      </w:r>
      <w:bookmarkEnd w:id="57"/>
      <w:bookmarkEnd w:id="58"/>
    </w:p>
    <w:p w14:paraId="4BFE6898">
      <w:pPr>
        <w:jc w:val="center"/>
        <w:rPr>
          <w:rFonts w:ascii="仿宋_GB2312" w:hAnsi="仿宋_GB2312" w:eastAsia="仿宋_GB2312" w:cs="仿宋_GB2312"/>
          <w:b/>
          <w:color w:val="auto"/>
          <w:highlight w:val="none"/>
        </w:rPr>
      </w:pPr>
    </w:p>
    <w:p w14:paraId="1F4AA67F">
      <w:pPr>
        <w:jc w:val="center"/>
        <w:rPr>
          <w:rFonts w:ascii="仿宋_GB2312" w:hAnsi="仿宋_GB2312" w:eastAsia="仿宋_GB2312" w:cs="仿宋_GB2312"/>
          <w:b/>
          <w:color w:val="auto"/>
          <w:highlight w:val="none"/>
        </w:rPr>
      </w:pPr>
    </w:p>
    <w:p w14:paraId="3F66C930">
      <w:pPr>
        <w:jc w:val="center"/>
        <w:rPr>
          <w:rFonts w:ascii="仿宋_GB2312" w:hAnsi="仿宋_GB2312" w:eastAsia="仿宋_GB2312" w:cs="仿宋_GB2312"/>
          <w:b/>
          <w:color w:val="auto"/>
          <w:highlight w:val="none"/>
        </w:rPr>
      </w:pPr>
    </w:p>
    <w:p w14:paraId="2769EC07">
      <w:pPr>
        <w:jc w:val="center"/>
        <w:rPr>
          <w:rFonts w:ascii="仿宋_GB2312" w:hAnsi="仿宋_GB2312" w:eastAsia="仿宋_GB2312" w:cs="仿宋_GB2312"/>
          <w:b/>
          <w:color w:val="auto"/>
          <w:highlight w:val="none"/>
        </w:rPr>
      </w:pPr>
    </w:p>
    <w:p w14:paraId="14EFBAAF">
      <w:pPr>
        <w:ind w:firstLine="2209" w:firstLineChars="500"/>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报价文件封面格式</w:t>
      </w:r>
    </w:p>
    <w:p w14:paraId="5E7148CD">
      <w:pPr>
        <w:jc w:val="right"/>
        <w:rPr>
          <w:rFonts w:ascii="仿宋_GB2312" w:hAnsi="仿宋_GB2312" w:eastAsia="仿宋_GB2312" w:cs="仿宋_GB2312"/>
          <w:b/>
          <w:bCs w:val="0"/>
          <w:color w:val="auto"/>
          <w:sz w:val="36"/>
          <w:szCs w:val="36"/>
          <w:highlight w:val="none"/>
        </w:rPr>
      </w:pPr>
      <w:bookmarkStart w:id="61" w:name="_Toc1227"/>
      <w:bookmarkStart w:id="62" w:name="_Toc40089801"/>
      <w:r>
        <w:rPr>
          <w:rFonts w:hint="eastAsia" w:ascii="仿宋_GB2312" w:hAnsi="仿宋_GB2312" w:eastAsia="仿宋_GB2312" w:cs="仿宋_GB2312"/>
          <w:b/>
          <w:bCs w:val="0"/>
          <w:color w:val="auto"/>
          <w:sz w:val="36"/>
          <w:szCs w:val="36"/>
          <w:highlight w:val="none"/>
        </w:rPr>
        <w:t>正本或副本</w:t>
      </w:r>
      <w:bookmarkEnd w:id="61"/>
      <w:bookmarkEnd w:id="62"/>
    </w:p>
    <w:p w14:paraId="2304AED4">
      <w:pPr>
        <w:ind w:firstLine="2168" w:firstLineChars="600"/>
        <w:rPr>
          <w:rFonts w:ascii="仿宋_GB2312" w:hAnsi="仿宋_GB2312" w:eastAsia="仿宋_GB2312" w:cs="仿宋_GB2312"/>
          <w:b/>
          <w:bCs w:val="0"/>
          <w:color w:val="auto"/>
          <w:sz w:val="36"/>
          <w:szCs w:val="36"/>
          <w:highlight w:val="none"/>
          <w:u w:val="single"/>
        </w:rPr>
      </w:pPr>
      <w:bookmarkStart w:id="63" w:name="_Toc40089802"/>
      <w:bookmarkStart w:id="64" w:name="_Toc27492"/>
      <w:r>
        <w:rPr>
          <w:rFonts w:hint="eastAsia" w:ascii="仿宋_GB2312" w:hAnsi="仿宋_GB2312" w:eastAsia="仿宋_GB2312" w:cs="仿宋_GB2312"/>
          <w:b/>
          <w:bCs w:val="0"/>
          <w:color w:val="auto"/>
          <w:sz w:val="36"/>
          <w:szCs w:val="36"/>
          <w:highlight w:val="none"/>
          <w:u w:val="single"/>
        </w:rPr>
        <w:t>（项目名称）</w:t>
      </w:r>
      <w:bookmarkEnd w:id="63"/>
      <w:bookmarkEnd w:id="64"/>
      <w:bookmarkStart w:id="65" w:name="_Toc40089803"/>
      <w:bookmarkStart w:id="66" w:name="_Toc2490"/>
      <w:r>
        <w:rPr>
          <w:rFonts w:hint="eastAsia" w:ascii="仿宋_GB2312" w:hAnsi="仿宋_GB2312" w:eastAsia="仿宋_GB2312" w:cs="仿宋_GB2312"/>
          <w:b/>
          <w:bCs w:val="0"/>
          <w:color w:val="auto"/>
          <w:sz w:val="36"/>
          <w:szCs w:val="36"/>
          <w:highlight w:val="none"/>
          <w:u w:val="single"/>
        </w:rPr>
        <w:t xml:space="preserve">             </w:t>
      </w:r>
    </w:p>
    <w:p w14:paraId="5C9A7C10">
      <w:pPr>
        <w:rPr>
          <w:rFonts w:ascii="仿宋_GB2312" w:hAnsi="仿宋_GB2312" w:eastAsia="仿宋_GB2312" w:cs="仿宋_GB2312"/>
          <w:color w:val="auto"/>
          <w:highlight w:val="none"/>
        </w:rPr>
      </w:pPr>
    </w:p>
    <w:p w14:paraId="03F687B6">
      <w:pPr>
        <w:ind w:firstLine="2168" w:firstLineChars="600"/>
        <w:rPr>
          <w:rFonts w:ascii="仿宋_GB2312" w:hAnsi="仿宋_GB2312" w:eastAsia="仿宋_GB2312" w:cs="仿宋_GB2312"/>
          <w:color w:val="auto"/>
          <w:highlight w:val="none"/>
        </w:rPr>
      </w:pPr>
      <w:r>
        <w:rPr>
          <w:rFonts w:hint="eastAsia" w:ascii="仿宋_GB2312" w:hAnsi="仿宋_GB2312" w:eastAsia="仿宋_GB2312" w:cs="仿宋_GB2312"/>
          <w:b/>
          <w:bCs w:val="0"/>
          <w:color w:val="auto"/>
          <w:sz w:val="36"/>
          <w:szCs w:val="36"/>
          <w:highlight w:val="none"/>
          <w:u w:val="single"/>
        </w:rPr>
        <w:t>（项目编号）</w:t>
      </w:r>
      <w:bookmarkEnd w:id="65"/>
      <w:bookmarkEnd w:id="66"/>
      <w:r>
        <w:rPr>
          <w:rFonts w:hint="eastAsia" w:ascii="仿宋_GB2312" w:hAnsi="仿宋_GB2312" w:eastAsia="仿宋_GB2312" w:cs="仿宋_GB2312"/>
          <w:b/>
          <w:bCs w:val="0"/>
          <w:color w:val="auto"/>
          <w:sz w:val="36"/>
          <w:szCs w:val="36"/>
          <w:highlight w:val="none"/>
          <w:u w:val="single"/>
        </w:rPr>
        <w:t xml:space="preserve">             </w:t>
      </w:r>
    </w:p>
    <w:p w14:paraId="11C52534">
      <w:pPr>
        <w:rPr>
          <w:rFonts w:ascii="仿宋_GB2312" w:hAnsi="仿宋_GB2312" w:eastAsia="仿宋_GB2312" w:cs="仿宋_GB2312"/>
          <w:color w:val="auto"/>
          <w:highlight w:val="none"/>
        </w:rPr>
      </w:pPr>
    </w:p>
    <w:p w14:paraId="5B17409F">
      <w:pPr>
        <w:rPr>
          <w:rFonts w:ascii="仿宋_GB2312" w:hAnsi="仿宋_GB2312" w:eastAsia="仿宋_GB2312" w:cs="仿宋_GB2312"/>
          <w:color w:val="auto"/>
          <w:highlight w:val="none"/>
        </w:rPr>
      </w:pPr>
    </w:p>
    <w:p w14:paraId="5DB417C3">
      <w:pPr>
        <w:jc w:val="center"/>
        <w:rPr>
          <w:rFonts w:ascii="仿宋_GB2312" w:hAnsi="仿宋_GB2312" w:eastAsia="仿宋_GB2312" w:cs="仿宋_GB2312"/>
          <w:b/>
          <w:bCs w:val="0"/>
          <w:color w:val="auto"/>
          <w:sz w:val="52"/>
          <w:szCs w:val="52"/>
          <w:highlight w:val="none"/>
        </w:rPr>
      </w:pPr>
      <w:bookmarkStart w:id="67" w:name="_Toc17456"/>
      <w:bookmarkStart w:id="68" w:name="_Toc40089805"/>
    </w:p>
    <w:p w14:paraId="06D9877D">
      <w:pPr>
        <w:jc w:val="center"/>
        <w:rPr>
          <w:rFonts w:ascii="仿宋_GB2312" w:hAnsi="仿宋_GB2312" w:eastAsia="仿宋_GB2312" w:cs="仿宋_GB2312"/>
          <w:b/>
          <w:bCs w:val="0"/>
          <w:color w:val="auto"/>
          <w:sz w:val="52"/>
          <w:szCs w:val="52"/>
          <w:highlight w:val="none"/>
        </w:rPr>
      </w:pPr>
      <w:r>
        <w:rPr>
          <w:rFonts w:hint="eastAsia" w:ascii="仿宋_GB2312" w:hAnsi="仿宋_GB2312" w:eastAsia="仿宋_GB2312" w:cs="仿宋_GB2312"/>
          <w:b/>
          <w:bCs w:val="0"/>
          <w:color w:val="auto"/>
          <w:sz w:val="52"/>
          <w:szCs w:val="52"/>
          <w:highlight w:val="none"/>
        </w:rPr>
        <w:t>报价文件</w:t>
      </w:r>
      <w:bookmarkEnd w:id="67"/>
      <w:bookmarkEnd w:id="68"/>
    </w:p>
    <w:p w14:paraId="221ABE58">
      <w:pPr>
        <w:rPr>
          <w:rFonts w:ascii="仿宋_GB2312" w:hAnsi="仿宋_GB2312" w:eastAsia="仿宋_GB2312" w:cs="仿宋_GB2312"/>
          <w:color w:val="auto"/>
          <w:highlight w:val="none"/>
        </w:rPr>
      </w:pPr>
    </w:p>
    <w:p w14:paraId="714D69EE">
      <w:pPr>
        <w:rPr>
          <w:rFonts w:ascii="仿宋_GB2312" w:hAnsi="仿宋_GB2312" w:eastAsia="仿宋_GB2312" w:cs="仿宋_GB2312"/>
          <w:color w:val="auto"/>
          <w:highlight w:val="none"/>
        </w:rPr>
      </w:pPr>
    </w:p>
    <w:p w14:paraId="3C864F98">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69" w:name="_Toc25141"/>
      <w:bookmarkStart w:id="70" w:name="_Toc40089806"/>
      <w:r>
        <w:rPr>
          <w:rFonts w:hint="eastAsia" w:ascii="仿宋_GB2312" w:hAnsi="仿宋_GB2312" w:eastAsia="仿宋_GB2312" w:cs="仿宋_GB2312"/>
          <w:b/>
          <w:bCs w:val="0"/>
          <w:color w:val="auto"/>
          <w:sz w:val="32"/>
          <w:szCs w:val="32"/>
          <w:highlight w:val="none"/>
        </w:rPr>
        <w:t>投标人名称：</w:t>
      </w:r>
      <w:r>
        <w:rPr>
          <w:rFonts w:hint="eastAsia" w:ascii="仿宋_GB2312" w:hAnsi="仿宋_GB2312" w:eastAsia="仿宋_GB2312" w:cs="仿宋_GB2312"/>
          <w:b/>
          <w:bCs w:val="0"/>
          <w:color w:val="auto"/>
          <w:sz w:val="32"/>
          <w:szCs w:val="32"/>
          <w:highlight w:val="none"/>
          <w:u w:val="single"/>
        </w:rPr>
        <w:t xml:space="preserve">            （盖单位公章）</w:t>
      </w:r>
      <w:bookmarkEnd w:id="69"/>
      <w:bookmarkEnd w:id="70"/>
    </w:p>
    <w:p w14:paraId="16E9ED8D">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71" w:name="_Toc40089807"/>
      <w:bookmarkStart w:id="72" w:name="_Toc27017"/>
      <w:r>
        <w:rPr>
          <w:rFonts w:hint="eastAsia" w:ascii="仿宋_GB2312" w:hAnsi="仿宋_GB2312" w:eastAsia="仿宋_GB2312" w:cs="仿宋_GB2312"/>
          <w:b/>
          <w:bCs w:val="0"/>
          <w:color w:val="auto"/>
          <w:sz w:val="32"/>
          <w:szCs w:val="32"/>
          <w:highlight w:val="none"/>
        </w:rPr>
        <w:t>法定代表人或其委托代理人</w:t>
      </w:r>
      <w:r>
        <w:rPr>
          <w:rFonts w:hint="eastAsia" w:ascii="仿宋_GB2312" w:hAnsi="仿宋_GB2312" w:eastAsia="仿宋_GB2312" w:cs="仿宋_GB2312"/>
          <w:b/>
          <w:bCs w:val="0"/>
          <w:color w:val="auto"/>
          <w:sz w:val="32"/>
          <w:szCs w:val="32"/>
          <w:highlight w:val="none"/>
          <w:u w:val="single"/>
        </w:rPr>
        <w:t xml:space="preserve">：       </w:t>
      </w:r>
      <w:bookmarkEnd w:id="71"/>
      <w:bookmarkEnd w:id="72"/>
      <w:r>
        <w:rPr>
          <w:rFonts w:hint="eastAsia" w:ascii="仿宋_GB2312" w:hAnsi="仿宋_GB2312" w:eastAsia="仿宋_GB2312" w:cs="仿宋_GB2312"/>
          <w:b/>
          <w:bCs w:val="0"/>
          <w:color w:val="auto"/>
          <w:sz w:val="32"/>
          <w:szCs w:val="32"/>
          <w:highlight w:val="none"/>
          <w:u w:val="single"/>
        </w:rPr>
        <w:t xml:space="preserve">       </w:t>
      </w:r>
    </w:p>
    <w:p w14:paraId="0E4501EE">
      <w:pPr>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地   址:</w:t>
      </w:r>
      <w:r>
        <w:rPr>
          <w:rFonts w:hint="eastAsia" w:ascii="仿宋_GB2312" w:hAnsi="仿宋_GB2312" w:eastAsia="仿宋_GB2312" w:cs="仿宋_GB2312"/>
          <w:color w:val="auto"/>
          <w:sz w:val="32"/>
          <w:szCs w:val="32"/>
          <w:highlight w:val="none"/>
          <w:u w:val="single"/>
        </w:rPr>
        <w:t xml:space="preserve">                                </w:t>
      </w:r>
    </w:p>
    <w:p w14:paraId="21A6FDC6">
      <w:pPr>
        <w:pStyle w:val="19"/>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电   话：</w:t>
      </w:r>
      <w:r>
        <w:rPr>
          <w:rFonts w:hint="eastAsia" w:ascii="仿宋_GB2312" w:hAnsi="仿宋_GB2312" w:eastAsia="仿宋_GB2312" w:cs="仿宋_GB2312"/>
          <w:color w:val="auto"/>
          <w:sz w:val="32"/>
          <w:szCs w:val="32"/>
          <w:highlight w:val="none"/>
          <w:u w:val="single"/>
        </w:rPr>
        <w:t xml:space="preserve">                                 </w:t>
      </w:r>
    </w:p>
    <w:p w14:paraId="156BAD03">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3009923C">
      <w:pPr>
        <w:pStyle w:val="2"/>
        <w:spacing w:line="240" w:lineRule="auto"/>
        <w:rPr>
          <w:rFonts w:ascii="仿宋_GB2312" w:hAnsi="仿宋_GB2312" w:eastAsia="仿宋_GB2312" w:cs="仿宋_GB2312"/>
          <w:color w:val="auto"/>
          <w:szCs w:val="36"/>
          <w:highlight w:val="none"/>
        </w:rPr>
      </w:pPr>
      <w:bookmarkStart w:id="73" w:name="_Toc9943"/>
      <w:bookmarkStart w:id="74" w:name="_Toc25558"/>
      <w:bookmarkStart w:id="75" w:name="_Toc40089808"/>
      <w:r>
        <w:rPr>
          <w:rFonts w:hint="eastAsia"/>
          <w:color w:val="auto"/>
          <w:highlight w:val="none"/>
        </w:rPr>
        <w:t>一、商务部分</w:t>
      </w:r>
      <w:bookmarkEnd w:id="73"/>
    </w:p>
    <w:bookmarkEnd w:id="59"/>
    <w:bookmarkEnd w:id="60"/>
    <w:bookmarkEnd w:id="74"/>
    <w:bookmarkEnd w:id="75"/>
    <w:p w14:paraId="72A564FA">
      <w:pPr>
        <w:pStyle w:val="21"/>
        <w:spacing w:line="360" w:lineRule="auto"/>
        <w:jc w:val="center"/>
        <w:rPr>
          <w:rFonts w:hint="eastAsia" w:ascii="仿宋_GB2312" w:hAnsi="仿宋_GB2312" w:eastAsia="仿宋_GB2312" w:cs="仿宋_GB2312"/>
          <w:b/>
          <w:bCs w:val="0"/>
          <w:sz w:val="36"/>
          <w:szCs w:val="36"/>
        </w:rPr>
      </w:pPr>
      <w:bookmarkStart w:id="76" w:name="_Toc40"/>
      <w:bookmarkStart w:id="77" w:name="_Toc7957"/>
      <w:bookmarkStart w:id="78" w:name="_Toc323129568"/>
      <w:bookmarkStart w:id="79" w:name="_Toc323130135"/>
      <w:bookmarkStart w:id="80" w:name="_Toc325620729"/>
      <w:bookmarkStart w:id="81" w:name="_Toc26307"/>
      <w:bookmarkStart w:id="82" w:name="_Toc356491343"/>
      <w:bookmarkStart w:id="83" w:name="_Toc40089809"/>
      <w:r>
        <w:rPr>
          <w:rFonts w:hint="eastAsia" w:ascii="仿宋_GB2312" w:hAnsi="仿宋_GB2312" w:eastAsia="仿宋_GB2312" w:cs="仿宋_GB2312"/>
          <w:b/>
          <w:bCs w:val="0"/>
          <w:sz w:val="36"/>
          <w:szCs w:val="36"/>
        </w:rPr>
        <w:t>响应承诺函</w:t>
      </w:r>
      <w:bookmarkEnd w:id="76"/>
      <w:bookmarkEnd w:id="77"/>
    </w:p>
    <w:p w14:paraId="4483C7E2">
      <w:pPr>
        <w:pStyle w:val="3"/>
        <w:spacing w:before="120"/>
        <w:rPr>
          <w:rFonts w:hint="eastAsia" w:ascii="仿宋_GB2312" w:hAnsi="仿宋_GB2312" w:eastAsia="仿宋_GB2312" w:cs="仿宋_GB2312"/>
          <w:lang w:val="en-US" w:eastAsia="zh-CN"/>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1</w:t>
      </w:r>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5A1918C">
      <w:pPr>
        <w:adjustRightInd w:val="0"/>
        <w:snapToGrid w:val="0"/>
        <w:spacing w:line="560" w:lineRule="exact"/>
        <w:rPr>
          <w:rFonts w:hint="eastAsia" w:ascii="方正公文黑体" w:hAnsi="方正公文黑体" w:eastAsia="方正公文黑体" w:cs="方正公文黑体"/>
          <w:color w:val="auto"/>
          <w:sz w:val="36"/>
          <w:szCs w:val="36"/>
          <w:highlight w:val="none"/>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p>
    <w:p w14:paraId="2F135201">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w:t>
      </w:r>
      <w:bookmarkEnd w:id="78"/>
      <w:bookmarkEnd w:id="79"/>
      <w:r>
        <w:rPr>
          <w:rFonts w:hint="eastAsia" w:ascii="仿宋_GB2312" w:hAnsi="仿宋_GB2312" w:eastAsia="仿宋_GB2312" w:cs="仿宋_GB2312"/>
        </w:rPr>
        <w:t>2</w:t>
      </w:r>
      <w:bookmarkEnd w:id="80"/>
      <w:bookmarkEnd w:id="81"/>
      <w:bookmarkEnd w:id="82"/>
      <w:bookmarkEnd w:id="83"/>
      <w:bookmarkStart w:id="84" w:name="_Toc356490395"/>
      <w:bookmarkStart w:id="85" w:name="_Toc356491344"/>
    </w:p>
    <w:p w14:paraId="103156EB">
      <w:pPr>
        <w:pStyle w:val="21"/>
        <w:spacing w:line="360" w:lineRule="auto"/>
        <w:jc w:val="center"/>
        <w:rPr>
          <w:rFonts w:hint="eastAsia" w:ascii="仿宋_GB2312" w:hAnsi="仿宋_GB2312" w:eastAsia="仿宋_GB2312" w:cs="仿宋_GB2312"/>
          <w:b/>
          <w:bCs w:val="0"/>
          <w:color w:val="auto"/>
          <w:sz w:val="36"/>
          <w:szCs w:val="36"/>
          <w:highlight w:val="none"/>
        </w:rPr>
      </w:pPr>
      <w:bookmarkStart w:id="86" w:name="_Toc23717"/>
      <w:bookmarkStart w:id="87" w:name="_Toc524016738"/>
      <w:bookmarkStart w:id="88" w:name="_Toc524016575"/>
      <w:bookmarkStart w:id="89" w:name="_Toc8229"/>
      <w:bookmarkStart w:id="90" w:name="_Toc14824"/>
      <w:bookmarkStart w:id="91" w:name="_Toc28196"/>
      <w:bookmarkStart w:id="92" w:name="_Toc3901"/>
      <w:bookmarkStart w:id="93" w:name="_Toc32320_WPSOffice_Level2"/>
      <w:bookmarkStart w:id="94" w:name="_Toc524016633"/>
      <w:bookmarkStart w:id="95" w:name="_Toc22979"/>
      <w:bookmarkStart w:id="96" w:name="_Toc16945"/>
    </w:p>
    <w:p w14:paraId="5EE7FE43">
      <w:pPr>
        <w:pStyle w:val="21"/>
        <w:spacing w:line="360" w:lineRule="auto"/>
        <w:jc w:val="center"/>
        <w:rPr>
          <w:rFonts w:hint="eastAsia"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法定代表人身份证明</w:t>
      </w:r>
      <w:bookmarkEnd w:id="86"/>
      <w:bookmarkEnd w:id="87"/>
      <w:bookmarkEnd w:id="88"/>
      <w:bookmarkEnd w:id="89"/>
      <w:bookmarkEnd w:id="90"/>
      <w:bookmarkEnd w:id="91"/>
      <w:bookmarkEnd w:id="92"/>
      <w:bookmarkEnd w:id="93"/>
      <w:bookmarkEnd w:id="94"/>
      <w:bookmarkEnd w:id="95"/>
      <w:bookmarkEnd w:id="96"/>
    </w:p>
    <w:p w14:paraId="1790BA9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供应商名称：</w:t>
      </w:r>
    </w:p>
    <w:p w14:paraId="2B28EF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单位性质：</w:t>
      </w:r>
    </w:p>
    <w:p w14:paraId="4148EBB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p>
    <w:p w14:paraId="4CAEEF3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成立时间：年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7B4AD4D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经营期限：</w:t>
      </w:r>
    </w:p>
    <w:p w14:paraId="5D2B6E8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 性别：年龄：职务：</w:t>
      </w:r>
    </w:p>
    <w:p w14:paraId="75CD6D4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系 （供应商名称）的法定代表人。</w:t>
      </w:r>
    </w:p>
    <w:p w14:paraId="3DAA524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特此证明。</w:t>
      </w:r>
    </w:p>
    <w:p w14:paraId="79CD43CE">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2D7609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（附法定代表人身份证明复印件）</w:t>
      </w:r>
    </w:p>
    <w:p w14:paraId="791FFDE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4CB619A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51D69B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供应商：（盖单位章）</w:t>
      </w:r>
    </w:p>
    <w:p w14:paraId="3245D5B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003369BA">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日    </w:t>
      </w:r>
    </w:p>
    <w:p w14:paraId="77950108">
      <w:pPr>
        <w:pStyle w:val="21"/>
        <w:spacing w:line="360" w:lineRule="auto"/>
        <w:jc w:val="center"/>
        <w:rPr>
          <w:rFonts w:hint="eastAsia" w:ascii="仿宋_GB2312" w:hAnsi="仿宋_GB2312" w:eastAsia="仿宋_GB2312" w:cs="仿宋_GB2312"/>
          <w:b/>
          <w:bCs w:val="0"/>
          <w:color w:val="auto"/>
          <w:sz w:val="36"/>
          <w:szCs w:val="36"/>
          <w:highlight w:val="none"/>
        </w:rPr>
      </w:pPr>
    </w:p>
    <w:p w14:paraId="626C1F19">
      <w:pPr>
        <w:pStyle w:val="21"/>
        <w:spacing w:line="360" w:lineRule="auto"/>
        <w:jc w:val="center"/>
        <w:rPr>
          <w:rFonts w:hint="eastAsia" w:ascii="仿宋_GB2312" w:hAnsi="仿宋_GB2312" w:eastAsia="仿宋_GB2312" w:cs="仿宋_GB2312"/>
          <w:b/>
          <w:bCs w:val="0"/>
          <w:color w:val="auto"/>
          <w:sz w:val="36"/>
          <w:szCs w:val="36"/>
          <w:highlight w:val="none"/>
        </w:rPr>
      </w:pPr>
    </w:p>
    <w:p w14:paraId="1B983CCD">
      <w:pPr>
        <w:pStyle w:val="21"/>
        <w:spacing w:line="360" w:lineRule="auto"/>
        <w:jc w:val="center"/>
        <w:rPr>
          <w:rFonts w:hint="eastAsia" w:ascii="仿宋_GB2312" w:hAnsi="仿宋_GB2312" w:eastAsia="仿宋_GB2312" w:cs="仿宋_GB2312"/>
          <w:b/>
          <w:bCs w:val="0"/>
          <w:color w:val="auto"/>
          <w:sz w:val="36"/>
          <w:szCs w:val="36"/>
          <w:highlight w:val="none"/>
        </w:rPr>
      </w:pPr>
    </w:p>
    <w:p w14:paraId="65BDE083">
      <w:pPr>
        <w:pStyle w:val="21"/>
        <w:spacing w:line="360" w:lineRule="auto"/>
        <w:jc w:val="center"/>
        <w:rPr>
          <w:rFonts w:hint="eastAsia" w:ascii="仿宋_GB2312" w:hAnsi="仿宋_GB2312" w:eastAsia="仿宋_GB2312" w:cs="仿宋_GB2312"/>
          <w:b/>
          <w:bCs w:val="0"/>
          <w:color w:val="auto"/>
          <w:sz w:val="36"/>
          <w:szCs w:val="36"/>
          <w:highlight w:val="none"/>
        </w:rPr>
      </w:pPr>
    </w:p>
    <w:p w14:paraId="32761F32">
      <w:pPr>
        <w:pStyle w:val="21"/>
        <w:spacing w:line="360" w:lineRule="auto"/>
        <w:jc w:val="center"/>
        <w:rPr>
          <w:rFonts w:hint="eastAsia" w:ascii="仿宋_GB2312" w:hAnsi="仿宋_GB2312" w:eastAsia="仿宋_GB2312" w:cs="仿宋_GB2312"/>
          <w:b/>
          <w:bCs w:val="0"/>
          <w:color w:val="auto"/>
          <w:sz w:val="36"/>
          <w:szCs w:val="36"/>
          <w:highlight w:val="none"/>
        </w:rPr>
      </w:pPr>
    </w:p>
    <w:p w14:paraId="75EF5414">
      <w:pPr>
        <w:pStyle w:val="21"/>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09E2AEA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海南卫生健康职业学院：</w:t>
      </w:r>
    </w:p>
    <w:p w14:paraId="01F7D1E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姓名）系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（投标人名称）法定代表人，现授权委托我公司的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（姓名、职务或职称）为我单位本次项目的全权代表，以本公司的名义参加海南卫生健康职业学院组织的                      （项目名称/项目编号）的招标，全权处理招标过程有关的一切事务。</w:t>
      </w:r>
    </w:p>
    <w:p w14:paraId="744916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被授权人在授权书有效期内</w:t>
      </w:r>
      <w:r>
        <w:rPr>
          <w:rFonts w:hint="eastAsia" w:ascii="仿宋_GB2312" w:hAnsi="仿宋_GB2312" w:eastAsia="仿宋_GB2312" w:cs="仿宋_GB2312"/>
          <w:color w:val="auto"/>
          <w:sz w:val="32"/>
          <w:szCs w:val="32"/>
          <w:highlight w:val="none"/>
          <w:u w:val="single"/>
        </w:rPr>
        <w:t xml:space="preserve">   年  月  日至  年  月  日</w:t>
      </w:r>
      <w:r>
        <w:rPr>
          <w:rFonts w:hint="eastAsia" w:ascii="仿宋_GB2312" w:hAnsi="仿宋_GB2312" w:eastAsia="仿宋_GB2312" w:cs="仿宋_GB2312"/>
          <w:color w:val="auto"/>
          <w:sz w:val="32"/>
          <w:szCs w:val="32"/>
          <w:highlight w:val="none"/>
        </w:rPr>
        <w:t>签署的所有文件不因授权的撤消而失效。</w:t>
      </w:r>
    </w:p>
    <w:p w14:paraId="55058B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全权代表无转委托权。特此委托。</w:t>
      </w:r>
    </w:p>
    <w:p w14:paraId="641F5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p>
    <w:p w14:paraId="0101EB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（附法定代表人、授权代理人身份证明复印件）</w:t>
      </w:r>
    </w:p>
    <w:p w14:paraId="756759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69AF7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56513E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7581B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5E4CF6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2F6F1A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w:t>
      </w:r>
    </w:p>
    <w:p w14:paraId="0D6698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1F782E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授权代理人：（签字）：</w:t>
      </w:r>
    </w:p>
    <w:p w14:paraId="59AF0E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6808D06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p w14:paraId="5C64530C">
      <w:pPr>
        <w:pStyle w:val="3"/>
        <w:spacing w:before="120"/>
        <w:rPr>
          <w:rFonts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br w:type="page"/>
      </w:r>
      <w:bookmarkStart w:id="97" w:name="_Toc513627405"/>
      <w:bookmarkStart w:id="98" w:name="_Toc40089810"/>
      <w:bookmarkStart w:id="99" w:name="_Toc24686"/>
      <w:r>
        <w:rPr>
          <w:rFonts w:hint="eastAsia" w:ascii="仿宋_GB2312" w:hAnsi="仿宋_GB2312" w:eastAsia="仿宋_GB2312" w:cs="仿宋_GB2312"/>
        </w:rPr>
        <w:t>附件3</w:t>
      </w:r>
    </w:p>
    <w:p w14:paraId="59C25F91">
      <w:pPr>
        <w:rPr>
          <w:rFonts w:ascii="仿宋_GB2312" w:hAnsi="仿宋_GB2312" w:eastAsia="仿宋_GB2312" w:cs="仿宋_GB2312"/>
          <w:color w:val="auto"/>
          <w:highlight w:val="none"/>
        </w:rPr>
      </w:pPr>
    </w:p>
    <w:p w14:paraId="7AFFE39C">
      <w:pPr>
        <w:pStyle w:val="21"/>
        <w:snapToGrid w:val="0"/>
        <w:spacing w:after="0" w:line="560" w:lineRule="exact"/>
        <w:jc w:val="center"/>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近三年内，在经营活动中没有重大违法记录的声明</w:t>
      </w:r>
      <w:bookmarkEnd w:id="97"/>
      <w:bookmarkEnd w:id="98"/>
      <w:bookmarkEnd w:id="99"/>
      <w:r>
        <w:rPr>
          <w:rFonts w:hint="eastAsia" w:ascii="仿宋_GB2312" w:hAnsi="仿宋_GB2312" w:eastAsia="仿宋_GB2312" w:cs="仿宋_GB2312"/>
          <w:b/>
          <w:bCs w:val="0"/>
          <w:color w:val="auto"/>
          <w:sz w:val="32"/>
          <w:szCs w:val="32"/>
          <w:highlight w:val="none"/>
        </w:rPr>
        <w:t>函</w:t>
      </w:r>
    </w:p>
    <w:p w14:paraId="59DAA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0D825091">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F59105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我单位近三年内在经营活动中没有重大违法记录，特此声明。</w:t>
      </w:r>
    </w:p>
    <w:p w14:paraId="5D6087C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若招标采购单位在本项目采购过程中，发现我单位近三年内在经营活动中有重大违法记录，我单位将无条件退出本项目的报价，并承担因此引起的一切后果。</w:t>
      </w:r>
    </w:p>
    <w:p w14:paraId="67E3596B">
      <w:pPr>
        <w:snapToGrid w:val="0"/>
        <w:spacing w:line="560" w:lineRule="exact"/>
        <w:ind w:firstLine="480"/>
        <w:rPr>
          <w:rFonts w:hint="eastAsia" w:ascii="仿宋" w:hAnsi="仿宋" w:eastAsia="仿宋" w:cs="仿宋"/>
          <w:color w:val="auto"/>
          <w:sz w:val="32"/>
          <w:szCs w:val="32"/>
          <w:highlight w:val="none"/>
        </w:rPr>
      </w:pPr>
    </w:p>
    <w:p w14:paraId="65799A16">
      <w:pPr>
        <w:snapToGrid w:val="0"/>
        <w:spacing w:line="560" w:lineRule="exact"/>
        <w:rPr>
          <w:rFonts w:hint="eastAsia" w:ascii="仿宋" w:hAnsi="仿宋" w:eastAsia="仿宋" w:cs="仿宋"/>
          <w:color w:val="auto"/>
          <w:sz w:val="32"/>
          <w:szCs w:val="32"/>
          <w:highlight w:val="none"/>
        </w:rPr>
      </w:pPr>
    </w:p>
    <w:p w14:paraId="64CD9445">
      <w:pPr>
        <w:snapToGrid w:val="0"/>
        <w:spacing w:line="560" w:lineRule="exact"/>
        <w:rPr>
          <w:rFonts w:hint="eastAsia" w:ascii="仿宋" w:hAnsi="仿宋" w:eastAsia="仿宋" w:cs="仿宋"/>
          <w:color w:val="auto"/>
          <w:sz w:val="32"/>
          <w:szCs w:val="32"/>
          <w:highlight w:val="none"/>
        </w:rPr>
      </w:pPr>
    </w:p>
    <w:p w14:paraId="630177C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03001006">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60F4600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37852AC0">
      <w:pPr>
        <w:snapToGrid w:val="0"/>
        <w:spacing w:line="560" w:lineRule="exact"/>
        <w:ind w:firstLine="4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E895A26">
      <w:pPr>
        <w:pStyle w:val="3"/>
        <w:spacing w:before="120"/>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color w:val="auto"/>
          <w:sz w:val="24"/>
          <w:highlight w:val="none"/>
        </w:rPr>
        <w:br w:type="page"/>
      </w:r>
      <w:bookmarkStart w:id="100" w:name="_Toc40089811"/>
      <w:bookmarkStart w:id="101" w:name="_Toc9292"/>
      <w:r>
        <w:rPr>
          <w:rFonts w:hint="eastAsia" w:ascii="仿宋_GB2312" w:hAnsi="仿宋_GB2312" w:eastAsia="仿宋_GB2312" w:cs="仿宋_GB2312"/>
        </w:rPr>
        <w:t>附件4</w:t>
      </w:r>
      <w:bookmarkEnd w:id="100"/>
      <w:bookmarkEnd w:id="101"/>
    </w:p>
    <w:p w14:paraId="37CB1739">
      <w:pPr>
        <w:pStyle w:val="10"/>
        <w:spacing w:before="0" w:after="0"/>
        <w:ind w:right="378" w:rightChars="135"/>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6"/>
          <w:szCs w:val="36"/>
          <w:highlight w:val="none"/>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019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45F73552">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3402" w:type="dxa"/>
            <w:vAlign w:val="center"/>
          </w:tcPr>
          <w:p w14:paraId="58B687E4">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磋商文件要求</w:t>
            </w:r>
          </w:p>
        </w:tc>
        <w:tc>
          <w:tcPr>
            <w:tcW w:w="1673" w:type="dxa"/>
            <w:vAlign w:val="center"/>
          </w:tcPr>
          <w:p w14:paraId="3655016D">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响应程度</w:t>
            </w:r>
          </w:p>
        </w:tc>
        <w:tc>
          <w:tcPr>
            <w:tcW w:w="2544" w:type="dxa"/>
            <w:vAlign w:val="center"/>
          </w:tcPr>
          <w:p w14:paraId="604BF166">
            <w:pPr>
              <w:keepNext w:val="0"/>
              <w:keepLines w:val="0"/>
              <w:suppressLineNumbers w:val="0"/>
              <w:adjustRightInd w:val="0"/>
              <w:spacing w:before="0" w:beforeAutospacing="0" w:after="0" w:afterAutospacing="0" w:line="500" w:lineRule="atLeast"/>
              <w:ind w:left="0" w:right="0"/>
              <w:jc w:val="center"/>
              <w:rPr>
                <w:rFonts w:hint="eastAsia" w:ascii="仿宋_GB2312" w:hAnsi="仿宋_GB2312" w:eastAsia="仿宋_GB2312" w:cs="仿宋_GB2312"/>
                <w:b/>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6BEB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35B1851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4AF2F17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58C6E88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049FBE1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2C7D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3A9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68254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620B87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58CF0BF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4964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5E9AF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184394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3F299FE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2730F0B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7861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4FA3E4F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w:t>
            </w:r>
          </w:p>
        </w:tc>
        <w:tc>
          <w:tcPr>
            <w:tcW w:w="3402" w:type="dxa"/>
            <w:vAlign w:val="center"/>
          </w:tcPr>
          <w:p w14:paraId="3A4D6A6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18EA60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131A02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bl>
    <w:p w14:paraId="719386F0">
      <w:pPr>
        <w:adjustRightInd w:val="0"/>
        <w:snapToGrid w:val="0"/>
        <w:spacing w:line="560" w:lineRule="exact"/>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注：1.按照磋商文件第五部分项目需求中的商务需求的顺序对应逐条应答，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0D3BA00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2.供应商必须据实填写，不得虚假填写，否则将取消其报价或中选。</w:t>
      </w:r>
    </w:p>
    <w:p w14:paraId="5283CF1B">
      <w:pPr>
        <w:spacing w:line="480" w:lineRule="auto"/>
        <w:rPr>
          <w:rFonts w:ascii="仿宋_GB2312" w:hAnsi="仿宋_GB2312" w:eastAsia="仿宋_GB2312" w:cs="仿宋_GB2312"/>
          <w:color w:val="auto"/>
          <w:sz w:val="24"/>
          <w:highlight w:val="none"/>
        </w:rPr>
      </w:pPr>
    </w:p>
    <w:p w14:paraId="38C5BC6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供应商（公章）：</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6BA0100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法人代表或其授权人（签字）：</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59D9115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color w:val="auto"/>
          <w:sz w:val="32"/>
          <w:szCs w:val="32"/>
          <w:highlight w:val="none"/>
          <w:u w:val="single"/>
        </w:rPr>
      </w:pPr>
      <w:r>
        <w:rPr>
          <w:rFonts w:hint="eastAsia" w:ascii="仿宋" w:hAnsi="仿宋" w:eastAsia="仿宋" w:cs="仿宋"/>
          <w:bCs w:val="0"/>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0C217BDC">
      <w:pPr>
        <w:rPr>
          <w:color w:val="auto"/>
          <w:highlight w:val="none"/>
        </w:rPr>
      </w:pPr>
      <w:r>
        <w:rPr>
          <w:rFonts w:hint="eastAsia"/>
          <w:color w:val="auto"/>
          <w:highlight w:val="none"/>
        </w:rPr>
        <w:br w:type="page"/>
      </w:r>
      <w:bookmarkStart w:id="102" w:name="_Toc23941"/>
      <w:bookmarkStart w:id="103" w:name="_Toc40089812"/>
    </w:p>
    <w:p w14:paraId="3BDCE4C4">
      <w:pPr>
        <w:pStyle w:val="2"/>
        <w:numPr>
          <w:ilvl w:val="0"/>
          <w:numId w:val="5"/>
        </w:numPr>
        <w:spacing w:line="240" w:lineRule="auto"/>
        <w:rPr>
          <w:color w:val="auto"/>
          <w:highlight w:val="none"/>
        </w:rPr>
      </w:pPr>
      <w:bookmarkStart w:id="104" w:name="_Toc21595"/>
      <w:r>
        <w:rPr>
          <w:rFonts w:hint="eastAsia"/>
          <w:color w:val="auto"/>
          <w:highlight w:val="none"/>
        </w:rPr>
        <w:t>资信部分</w:t>
      </w:r>
      <w:bookmarkEnd w:id="104"/>
    </w:p>
    <w:p w14:paraId="2B2C02D4">
      <w:pPr>
        <w:rPr>
          <w:rFonts w:ascii="仿宋_GB2312" w:hAnsi="仿宋_GB2312" w:eastAsia="仿宋_GB2312" w:cs="仿宋_GB2312"/>
          <w:color w:val="auto"/>
          <w:kern w:val="0"/>
          <w:sz w:val="32"/>
          <w:szCs w:val="32"/>
          <w:highlight w:val="none"/>
        </w:rPr>
      </w:pPr>
    </w:p>
    <w:p w14:paraId="0A8B137B">
      <w:pPr>
        <w:pStyle w:val="32"/>
        <w:widowControl/>
        <w:adjustRightInd w:val="0"/>
        <w:snapToGrid w:val="0"/>
        <w:spacing w:line="560" w:lineRule="exact"/>
        <w:ind w:firstLine="640"/>
        <w:jc w:val="left"/>
        <w:textAlignment w:val="center"/>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1.符合《中华人民共和国政府采购法》第二十二条规定，在中国境内注册的具有独立法人资格或个体户（提供营业执照）。</w:t>
      </w:r>
    </w:p>
    <w:p w14:paraId="2388A063">
      <w:pPr>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2.未被“信用中国”网站（www.creditchina.gov.cn）列入失信被执行人、重大税收违法案件当事人名单、政府采购严重失信行为记录名单（提供网上截图加盖公章）或信用报告。</w:t>
      </w:r>
    </w:p>
    <w:p w14:paraId="10A27DF3">
      <w:pPr>
        <w:pStyle w:val="21"/>
        <w:snapToGrid w:val="0"/>
        <w:spacing w:after="0"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.承诺函(样本)</w:t>
      </w:r>
    </w:p>
    <w:p w14:paraId="1A45FC8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1369EF3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承诺函</w:t>
      </w:r>
    </w:p>
    <w:p w14:paraId="4F5D24B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p>
    <w:p w14:paraId="2FDD624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5FDADC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w:t>
      </w:r>
      <w:r>
        <w:rPr>
          <w:rFonts w:hint="eastAsia" w:ascii="仿宋" w:hAnsi="仿宋" w:eastAsia="仿宋" w:cs="仿宋"/>
          <w:color w:val="auto"/>
          <w:kern w:val="0"/>
          <w:sz w:val="32"/>
          <w:szCs w:val="32"/>
          <w:highlight w:val="none"/>
        </w:rPr>
        <w:t>不是联合体参与报价，我单位承诺成交后不转包、不分包</w:t>
      </w:r>
      <w:r>
        <w:rPr>
          <w:rFonts w:hint="eastAsia" w:ascii="仿宋" w:hAnsi="仿宋" w:eastAsia="仿宋" w:cs="仿宋"/>
          <w:color w:val="auto"/>
          <w:sz w:val="32"/>
          <w:szCs w:val="32"/>
          <w:highlight w:val="none"/>
        </w:rPr>
        <w:t>，并承担因此引起的一切后果。</w:t>
      </w:r>
    </w:p>
    <w:p w14:paraId="461254F4">
      <w:pPr>
        <w:snapToGrid w:val="0"/>
        <w:spacing w:line="560" w:lineRule="exact"/>
        <w:rPr>
          <w:rFonts w:hint="eastAsia" w:ascii="仿宋" w:hAnsi="仿宋" w:eastAsia="仿宋" w:cs="仿宋"/>
          <w:color w:val="auto"/>
          <w:sz w:val="32"/>
          <w:szCs w:val="32"/>
          <w:highlight w:val="none"/>
        </w:rPr>
      </w:pPr>
    </w:p>
    <w:p w14:paraId="7DCCE6FF">
      <w:pPr>
        <w:snapToGrid w:val="0"/>
        <w:spacing w:line="560" w:lineRule="exact"/>
        <w:rPr>
          <w:rFonts w:hint="eastAsia" w:ascii="仿宋" w:hAnsi="仿宋" w:eastAsia="仿宋" w:cs="仿宋"/>
          <w:color w:val="auto"/>
          <w:sz w:val="32"/>
          <w:szCs w:val="32"/>
          <w:highlight w:val="none"/>
        </w:rPr>
      </w:pPr>
    </w:p>
    <w:p w14:paraId="50996CD0">
      <w:pPr>
        <w:snapToGrid w:val="0"/>
        <w:spacing w:line="560" w:lineRule="exact"/>
        <w:rPr>
          <w:rFonts w:hint="eastAsia" w:ascii="仿宋" w:hAnsi="仿宋" w:eastAsia="仿宋" w:cs="仿宋"/>
          <w:color w:val="auto"/>
          <w:sz w:val="32"/>
          <w:szCs w:val="32"/>
          <w:highlight w:val="none"/>
        </w:rPr>
      </w:pPr>
    </w:p>
    <w:p w14:paraId="7FBE872A">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3AE2121B">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079C250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12F22E16">
      <w:pPr>
        <w:rPr>
          <w:rFonts w:hint="eastAsia" w:ascii="仿宋" w:hAnsi="仿宋" w:eastAsia="仿宋" w:cs="仿宋"/>
          <w:color w:val="auto"/>
          <w:highlight w:val="none"/>
        </w:rPr>
      </w:pPr>
    </w:p>
    <w:p w14:paraId="24B51EDC">
      <w:pPr>
        <w:rPr>
          <w:rFonts w:hint="eastAsia" w:ascii="仿宋" w:hAnsi="仿宋" w:eastAsia="仿宋" w:cs="仿宋"/>
          <w:color w:val="auto"/>
          <w:kern w:val="0"/>
          <w:sz w:val="32"/>
          <w:szCs w:val="32"/>
          <w:highlight w:val="none"/>
        </w:rPr>
      </w:pPr>
    </w:p>
    <w:p w14:paraId="6EB9DC95">
      <w:pPr>
        <w:rPr>
          <w:rFonts w:hint="eastAsia" w:ascii="仿宋" w:hAnsi="仿宋" w:eastAsia="仿宋" w:cs="仿宋"/>
          <w:color w:val="auto"/>
          <w:highlight w:val="none"/>
        </w:rPr>
      </w:pPr>
    </w:p>
    <w:p w14:paraId="1E6A64A2">
      <w:pPr>
        <w:rPr>
          <w:rFonts w:hint="eastAsia" w:ascii="仿宋" w:hAnsi="仿宋" w:eastAsia="仿宋" w:cs="仿宋"/>
          <w:color w:val="auto"/>
          <w:highlight w:val="none"/>
        </w:rPr>
      </w:pPr>
    </w:p>
    <w:p w14:paraId="6C008EB5">
      <w:pPr>
        <w:rPr>
          <w:rFonts w:hint="eastAsia" w:ascii="仿宋" w:hAnsi="仿宋" w:eastAsia="仿宋" w:cs="仿宋"/>
          <w:color w:val="auto"/>
          <w:highlight w:val="none"/>
        </w:rPr>
      </w:pPr>
    </w:p>
    <w:p w14:paraId="15E3B058">
      <w:pPr>
        <w:rPr>
          <w:color w:val="auto"/>
          <w:highlight w:val="none"/>
        </w:rPr>
      </w:pPr>
    </w:p>
    <w:p w14:paraId="33D9F1BC">
      <w:pPr>
        <w:rPr>
          <w:color w:val="auto"/>
          <w:highlight w:val="none"/>
        </w:rPr>
      </w:pPr>
    </w:p>
    <w:p w14:paraId="02BCF606">
      <w:pPr>
        <w:rPr>
          <w:color w:val="auto"/>
          <w:highlight w:val="none"/>
        </w:rPr>
      </w:pPr>
    </w:p>
    <w:p w14:paraId="09375EC2">
      <w:pPr>
        <w:rPr>
          <w:color w:val="auto"/>
          <w:highlight w:val="none"/>
        </w:rPr>
      </w:pPr>
    </w:p>
    <w:p w14:paraId="7962DE05">
      <w:pPr>
        <w:pStyle w:val="2"/>
        <w:numPr>
          <w:ilvl w:val="0"/>
          <w:numId w:val="5"/>
        </w:numPr>
        <w:spacing w:line="240" w:lineRule="auto"/>
        <w:rPr>
          <w:color w:val="auto"/>
          <w:highlight w:val="none"/>
        </w:rPr>
      </w:pPr>
      <w:bookmarkStart w:id="105" w:name="_Toc28212"/>
      <w:r>
        <w:rPr>
          <w:rFonts w:hint="eastAsia"/>
          <w:color w:val="auto"/>
          <w:highlight w:val="none"/>
        </w:rPr>
        <w:t>技术部分</w:t>
      </w:r>
      <w:bookmarkEnd w:id="105"/>
    </w:p>
    <w:p w14:paraId="0ECC9848">
      <w:pPr>
        <w:rPr>
          <w:rFonts w:ascii="仿宋_GB2312" w:hAnsi="仿宋_GB2312" w:eastAsia="仿宋_GB2312" w:cs="仿宋_GB2312"/>
          <w:b/>
          <w:color w:val="auto"/>
          <w:kern w:val="0"/>
          <w:sz w:val="36"/>
          <w:szCs w:val="36"/>
          <w:highlight w:val="none"/>
        </w:rPr>
      </w:pPr>
      <w:bookmarkStart w:id="106" w:name="_Toc248"/>
    </w:p>
    <w:bookmarkEnd w:id="106"/>
    <w:p w14:paraId="7A6D4A59">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附件5</w:t>
      </w:r>
    </w:p>
    <w:p w14:paraId="7CBC6977">
      <w:pPr>
        <w:pStyle w:val="10"/>
        <w:spacing w:before="0" w:after="0"/>
        <w:ind w:right="378" w:rightChars="135"/>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技术响应</w:t>
      </w:r>
      <w:r>
        <w:rPr>
          <w:rFonts w:hint="eastAsia" w:ascii="仿宋" w:hAnsi="仿宋" w:eastAsia="仿宋" w:cs="仿宋"/>
          <w:b/>
          <w:color w:val="auto"/>
          <w:sz w:val="36"/>
          <w:szCs w:val="36"/>
          <w:highlight w:val="none"/>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C7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443CB1C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项目</w:t>
            </w:r>
          </w:p>
        </w:tc>
        <w:tc>
          <w:tcPr>
            <w:tcW w:w="2208" w:type="dxa"/>
            <w:vAlign w:val="center"/>
          </w:tcPr>
          <w:p w14:paraId="5D11641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磋商文件要求</w:t>
            </w:r>
          </w:p>
        </w:tc>
        <w:tc>
          <w:tcPr>
            <w:tcW w:w="2181" w:type="dxa"/>
            <w:vAlign w:val="center"/>
          </w:tcPr>
          <w:p w14:paraId="79B5E32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报价文件响应情况</w:t>
            </w:r>
          </w:p>
        </w:tc>
        <w:tc>
          <w:tcPr>
            <w:tcW w:w="1565" w:type="dxa"/>
            <w:vAlign w:val="center"/>
          </w:tcPr>
          <w:p w14:paraId="4B3D0AD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响应程度</w:t>
            </w:r>
          </w:p>
        </w:tc>
        <w:tc>
          <w:tcPr>
            <w:tcW w:w="1850" w:type="dxa"/>
            <w:vAlign w:val="center"/>
          </w:tcPr>
          <w:p w14:paraId="616470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b/>
                <w:bCs w:val="0"/>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4A9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C461C69">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4FABBDA5">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color w:val="auto"/>
                <w:sz w:val="32"/>
                <w:szCs w:val="32"/>
                <w:highlight w:val="none"/>
                <w:lang w:val="en-US" w:eastAsia="zh-CN"/>
              </w:rPr>
            </w:pPr>
          </w:p>
        </w:tc>
        <w:tc>
          <w:tcPr>
            <w:tcW w:w="2181" w:type="dxa"/>
            <w:vAlign w:val="center"/>
          </w:tcPr>
          <w:p w14:paraId="1B29904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04172E5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75579AB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34F2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65D1583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216DB59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181" w:type="dxa"/>
            <w:vAlign w:val="center"/>
          </w:tcPr>
          <w:p w14:paraId="50AC8CC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54A7141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2473DFB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6A3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BE6FA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7103539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398C5C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2B70BE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62C16E4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26D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3997C6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6386331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2131AD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8DDEB1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1EAD385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4E6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8E2941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40EFAC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1FBD7A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D398F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05A825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bl>
    <w:p w14:paraId="2B30C9B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注：</w:t>
      </w:r>
    </w:p>
    <w:p w14:paraId="4FA581AD">
      <w:pPr>
        <w:adjustRightInd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1.按照磋商文件第五部分项目需求</w:t>
      </w:r>
      <w:r>
        <w:rPr>
          <w:rFonts w:hint="eastAsia" w:ascii="仿宋" w:hAnsi="仿宋" w:eastAsia="仿宋" w:cs="仿宋"/>
          <w:color w:val="auto"/>
          <w:sz w:val="32"/>
          <w:szCs w:val="32"/>
          <w:highlight w:val="none"/>
          <w:lang w:eastAsia="zh-CN"/>
        </w:rPr>
        <w:t>中的技术需求</w:t>
      </w:r>
      <w:r>
        <w:rPr>
          <w:rFonts w:hint="eastAsia" w:ascii="仿宋" w:hAnsi="仿宋" w:eastAsia="仿宋" w:cs="仿宋"/>
          <w:color w:val="auto"/>
          <w:sz w:val="32"/>
          <w:szCs w:val="32"/>
          <w:highlight w:val="none"/>
        </w:rPr>
        <w:t>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61C672C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2.不填写对应指标，而只填写响应情况或弄虚作假、前后不一致的，其报价文件有可能被拒绝。</w:t>
      </w:r>
    </w:p>
    <w:p w14:paraId="0B2DA03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4D9E9482">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34FFECFF">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675DAA43">
      <w:pPr>
        <w:spacing w:line="480" w:lineRule="auto"/>
        <w:ind w:firstLine="480"/>
        <w:rPr>
          <w:rFonts w:ascii="仿宋_GB2312" w:hAnsi="仿宋_GB2312" w:eastAsia="仿宋_GB2312" w:cs="仿宋_GB2312"/>
          <w:color w:val="auto"/>
          <w:sz w:val="24"/>
          <w:highlight w:val="none"/>
        </w:rPr>
      </w:pPr>
    </w:p>
    <w:p w14:paraId="16ACC280">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75C670E0">
      <w:pPr>
        <w:jc w:val="center"/>
        <w:rPr>
          <w:rFonts w:hint="eastAsia" w:ascii="仿宋" w:hAnsi="仿宋" w:eastAsia="仿宋" w:cs="仿宋"/>
          <w:color w:val="auto"/>
          <w:sz w:val="44"/>
          <w:szCs w:val="44"/>
          <w:highlight w:val="none"/>
        </w:rPr>
      </w:pPr>
      <w:bookmarkStart w:id="107" w:name="_Toc25388"/>
      <w:r>
        <w:rPr>
          <w:rFonts w:hint="eastAsia" w:ascii="仿宋" w:hAnsi="仿宋" w:eastAsia="仿宋" w:cs="仿宋"/>
          <w:color w:val="auto"/>
          <w:sz w:val="44"/>
          <w:szCs w:val="44"/>
          <w:highlight w:val="none"/>
        </w:rPr>
        <w:t>商务及技术证明材料</w:t>
      </w:r>
    </w:p>
    <w:p w14:paraId="18531EED">
      <w:pPr>
        <w:pStyle w:val="13"/>
        <w:spacing w:before="84"/>
        <w:jc w:val="left"/>
        <w:rPr>
          <w:rFonts w:hint="eastAsia" w:ascii="仿宋" w:hAnsi="仿宋" w:eastAsia="仿宋" w:cs="仿宋"/>
          <w:color w:val="auto"/>
          <w:spacing w:val="-2"/>
          <w:sz w:val="32"/>
          <w:szCs w:val="32"/>
          <w:highlight w:val="none"/>
        </w:rPr>
      </w:pPr>
    </w:p>
    <w:p w14:paraId="4CC248DA">
      <w:pPr>
        <w:pStyle w:val="13"/>
        <w:spacing w:before="8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（供应商根据竞争性磋商文件第三部分附表 2评分细则表中的要求提供，格式自拟）</w:t>
      </w:r>
    </w:p>
    <w:p w14:paraId="4312DF3E">
      <w:pPr>
        <w:rPr>
          <w:rFonts w:hint="eastAsia" w:ascii="仿宋" w:hAnsi="仿宋" w:eastAsia="仿宋" w:cs="仿宋"/>
          <w:color w:val="auto"/>
          <w:sz w:val="32"/>
          <w:szCs w:val="32"/>
          <w:highlight w:val="none"/>
        </w:rPr>
      </w:pPr>
    </w:p>
    <w:p w14:paraId="7091E8B0">
      <w:pPr>
        <w:rPr>
          <w:color w:val="auto"/>
          <w:highlight w:val="none"/>
        </w:rPr>
      </w:pPr>
    </w:p>
    <w:p w14:paraId="5932EEF8">
      <w:pPr>
        <w:rPr>
          <w:color w:val="auto"/>
          <w:highlight w:val="none"/>
        </w:rPr>
      </w:pPr>
    </w:p>
    <w:p w14:paraId="5468EE96">
      <w:pPr>
        <w:rPr>
          <w:color w:val="auto"/>
          <w:highlight w:val="none"/>
        </w:rPr>
      </w:pPr>
    </w:p>
    <w:p w14:paraId="264075D7">
      <w:pPr>
        <w:rPr>
          <w:color w:val="auto"/>
          <w:highlight w:val="none"/>
        </w:rPr>
      </w:pPr>
    </w:p>
    <w:p w14:paraId="3B9D50E8">
      <w:pPr>
        <w:rPr>
          <w:color w:val="auto"/>
          <w:highlight w:val="none"/>
        </w:rPr>
      </w:pPr>
    </w:p>
    <w:p w14:paraId="16B6318C">
      <w:pPr>
        <w:rPr>
          <w:color w:val="auto"/>
          <w:highlight w:val="none"/>
        </w:rPr>
      </w:pPr>
    </w:p>
    <w:p w14:paraId="06AEA25C">
      <w:pPr>
        <w:rPr>
          <w:color w:val="auto"/>
          <w:highlight w:val="none"/>
        </w:rPr>
      </w:pPr>
    </w:p>
    <w:p w14:paraId="4E48845F">
      <w:pPr>
        <w:rPr>
          <w:color w:val="auto"/>
          <w:highlight w:val="none"/>
        </w:rPr>
      </w:pPr>
    </w:p>
    <w:p w14:paraId="4FE755BF">
      <w:pPr>
        <w:rPr>
          <w:color w:val="auto"/>
          <w:highlight w:val="none"/>
        </w:rPr>
      </w:pPr>
    </w:p>
    <w:p w14:paraId="012CB657">
      <w:pPr>
        <w:rPr>
          <w:color w:val="auto"/>
          <w:highlight w:val="none"/>
        </w:rPr>
      </w:pPr>
    </w:p>
    <w:p w14:paraId="432B107D">
      <w:pPr>
        <w:rPr>
          <w:color w:val="auto"/>
          <w:highlight w:val="none"/>
        </w:rPr>
      </w:pPr>
    </w:p>
    <w:p w14:paraId="1B7EB743">
      <w:pPr>
        <w:rPr>
          <w:color w:val="auto"/>
          <w:highlight w:val="none"/>
        </w:rPr>
      </w:pPr>
    </w:p>
    <w:p w14:paraId="3BCA824C">
      <w:pPr>
        <w:rPr>
          <w:color w:val="auto"/>
          <w:highlight w:val="none"/>
        </w:rPr>
      </w:pPr>
    </w:p>
    <w:p w14:paraId="69CACE5C">
      <w:pPr>
        <w:rPr>
          <w:color w:val="auto"/>
          <w:highlight w:val="none"/>
        </w:rPr>
      </w:pPr>
    </w:p>
    <w:p w14:paraId="3B9C8069">
      <w:pPr>
        <w:rPr>
          <w:color w:val="auto"/>
          <w:highlight w:val="none"/>
        </w:rPr>
      </w:pPr>
    </w:p>
    <w:p w14:paraId="4B5AB90E">
      <w:pPr>
        <w:rPr>
          <w:color w:val="auto"/>
          <w:highlight w:val="none"/>
        </w:rPr>
      </w:pPr>
    </w:p>
    <w:p w14:paraId="63415EB7">
      <w:pPr>
        <w:rPr>
          <w:color w:val="auto"/>
          <w:highlight w:val="none"/>
        </w:rPr>
      </w:pPr>
    </w:p>
    <w:p w14:paraId="4DC8EF3C">
      <w:pPr>
        <w:rPr>
          <w:color w:val="auto"/>
          <w:highlight w:val="none"/>
        </w:rPr>
      </w:pPr>
    </w:p>
    <w:p w14:paraId="201BF785">
      <w:pPr>
        <w:rPr>
          <w:color w:val="auto"/>
          <w:highlight w:val="none"/>
        </w:rPr>
      </w:pPr>
    </w:p>
    <w:p w14:paraId="39D06A87">
      <w:pPr>
        <w:rPr>
          <w:color w:val="auto"/>
          <w:highlight w:val="none"/>
        </w:rPr>
      </w:pPr>
    </w:p>
    <w:p w14:paraId="6DEF1322">
      <w:pPr>
        <w:rPr>
          <w:color w:val="auto"/>
          <w:highlight w:val="none"/>
        </w:rPr>
      </w:pPr>
    </w:p>
    <w:p w14:paraId="7E63969A">
      <w:pPr>
        <w:rPr>
          <w:color w:val="auto"/>
          <w:highlight w:val="none"/>
        </w:rPr>
      </w:pPr>
    </w:p>
    <w:p w14:paraId="79E8CBC2">
      <w:pPr>
        <w:rPr>
          <w:color w:val="auto"/>
          <w:highlight w:val="none"/>
        </w:rPr>
      </w:pPr>
    </w:p>
    <w:p w14:paraId="55D9D5BB">
      <w:pPr>
        <w:rPr>
          <w:color w:val="auto"/>
          <w:highlight w:val="none"/>
        </w:rPr>
      </w:pPr>
    </w:p>
    <w:p w14:paraId="7BA6F9B2">
      <w:pPr>
        <w:rPr>
          <w:color w:val="auto"/>
          <w:highlight w:val="none"/>
        </w:rPr>
      </w:pPr>
    </w:p>
    <w:p w14:paraId="7EAC8434">
      <w:pPr>
        <w:rPr>
          <w:color w:val="auto"/>
          <w:highlight w:val="none"/>
        </w:rPr>
      </w:pPr>
    </w:p>
    <w:p w14:paraId="5FC33D96">
      <w:pPr>
        <w:rPr>
          <w:color w:val="auto"/>
          <w:highlight w:val="none"/>
        </w:rPr>
      </w:pPr>
    </w:p>
    <w:p w14:paraId="1B782A25">
      <w:pPr>
        <w:rPr>
          <w:color w:val="auto"/>
          <w:highlight w:val="none"/>
        </w:rPr>
      </w:pPr>
    </w:p>
    <w:p w14:paraId="1EC7525C">
      <w:pPr>
        <w:rPr>
          <w:color w:val="auto"/>
          <w:highlight w:val="none"/>
        </w:rPr>
      </w:pPr>
    </w:p>
    <w:p w14:paraId="05334C36">
      <w:pPr>
        <w:rPr>
          <w:color w:val="auto"/>
          <w:highlight w:val="none"/>
        </w:rPr>
      </w:pPr>
    </w:p>
    <w:p w14:paraId="0AB934D2">
      <w:pPr>
        <w:rPr>
          <w:color w:val="auto"/>
          <w:highlight w:val="none"/>
        </w:rPr>
      </w:pPr>
    </w:p>
    <w:p w14:paraId="77DB6DB6">
      <w:pPr>
        <w:pStyle w:val="2"/>
        <w:spacing w:line="240" w:lineRule="auto"/>
        <w:rPr>
          <w:color w:val="auto"/>
          <w:highlight w:val="none"/>
        </w:rPr>
      </w:pPr>
      <w:bookmarkStart w:id="108" w:name="_Toc2093"/>
      <w:r>
        <w:rPr>
          <w:rFonts w:hint="eastAsia"/>
          <w:color w:val="auto"/>
          <w:highlight w:val="none"/>
        </w:rPr>
        <w:t>四、报价部分</w:t>
      </w:r>
      <w:bookmarkEnd w:id="107"/>
      <w:bookmarkEnd w:id="108"/>
    </w:p>
    <w:p w14:paraId="015EB794">
      <w:pPr>
        <w:pStyle w:val="3"/>
        <w:spacing w:before="120"/>
        <w:rPr>
          <w:rFonts w:hint="eastAsia" w:ascii="仿宋_GB2312" w:hAnsi="仿宋_GB2312" w:eastAsia="仿宋_GB2312" w:cs="仿宋_GB2312"/>
        </w:rPr>
      </w:pPr>
      <w:bookmarkStart w:id="109" w:name="_Toc15965"/>
      <w:r>
        <w:rPr>
          <w:rFonts w:hint="eastAsia" w:ascii="仿宋_GB2312" w:hAnsi="仿宋_GB2312" w:eastAsia="仿宋_GB2312" w:cs="仿宋_GB2312"/>
        </w:rPr>
        <w:t>附件</w:t>
      </w:r>
      <w:bookmarkEnd w:id="109"/>
      <w:r>
        <w:rPr>
          <w:rFonts w:hint="eastAsia" w:ascii="仿宋_GB2312" w:hAnsi="仿宋_GB2312" w:eastAsia="仿宋_GB2312" w:cs="仿宋_GB2312"/>
        </w:rPr>
        <w:t>6</w:t>
      </w:r>
    </w:p>
    <w:p w14:paraId="1C0BB805">
      <w:pPr>
        <w:jc w:val="center"/>
        <w:rPr>
          <w:rFonts w:ascii="仿宋_GB2312" w:hAnsi="仿宋_GB2312" w:eastAsia="仿宋_GB2312" w:cs="仿宋_GB2312"/>
          <w:b/>
          <w:bCs w:val="0"/>
          <w:color w:val="auto"/>
          <w:sz w:val="36"/>
          <w:szCs w:val="36"/>
          <w:highlight w:val="none"/>
        </w:rPr>
      </w:pPr>
    </w:p>
    <w:p w14:paraId="4E1FA6EB">
      <w:pPr>
        <w:jc w:val="center"/>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报价一览表</w:t>
      </w:r>
    </w:p>
    <w:p w14:paraId="071C4BD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1D5606D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EAC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FD1DB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投标人名称</w:t>
            </w:r>
          </w:p>
        </w:tc>
        <w:tc>
          <w:tcPr>
            <w:tcW w:w="7141" w:type="dxa"/>
            <w:vAlign w:val="center"/>
          </w:tcPr>
          <w:p w14:paraId="4B912BC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129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5E8D6D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总报价</w:t>
            </w:r>
          </w:p>
          <w:p w14:paraId="50F4346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（人民币/元）</w:t>
            </w:r>
          </w:p>
        </w:tc>
        <w:tc>
          <w:tcPr>
            <w:tcW w:w="7141" w:type="dxa"/>
            <w:vAlign w:val="center"/>
          </w:tcPr>
          <w:p w14:paraId="4CF7999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33403C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小写：</w:t>
            </w:r>
            <w:r>
              <w:rPr>
                <w:rFonts w:hint="eastAsia" w:ascii="仿宋_GB2312" w:hAnsi="仿宋_GB2312" w:eastAsia="仿宋_GB2312" w:cs="仿宋_GB2312"/>
                <w:color w:val="auto"/>
                <w:sz w:val="32"/>
                <w:szCs w:val="32"/>
                <w:highlight w:val="none"/>
                <w:u w:val="single"/>
              </w:rPr>
              <w:t xml:space="preserve">                         </w:t>
            </w:r>
          </w:p>
        </w:tc>
      </w:tr>
      <w:tr w14:paraId="2448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4DDDB4D7">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项目完成期限</w:t>
            </w:r>
          </w:p>
        </w:tc>
        <w:tc>
          <w:tcPr>
            <w:tcW w:w="7141" w:type="dxa"/>
            <w:vAlign w:val="center"/>
          </w:tcPr>
          <w:p w14:paraId="39D08E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0DC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6F19D8C">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c>
          <w:tcPr>
            <w:tcW w:w="7141" w:type="dxa"/>
            <w:vAlign w:val="center"/>
          </w:tcPr>
          <w:p w14:paraId="771C87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bl>
    <w:p w14:paraId="306EB36D">
      <w:pPr>
        <w:adjustRightInd w:val="0"/>
        <w:snapToGrid w:val="0"/>
        <w:spacing w:line="560" w:lineRule="exact"/>
        <w:rPr>
          <w:rFonts w:ascii="仿宋_GB2312" w:hAnsi="仿宋_GB2312" w:eastAsia="仿宋_GB2312" w:cs="仿宋_GB2312"/>
          <w:bCs w:val="0"/>
          <w:color w:val="auto"/>
          <w:sz w:val="32"/>
          <w:szCs w:val="32"/>
          <w:highlight w:val="none"/>
        </w:rPr>
      </w:pPr>
    </w:p>
    <w:p w14:paraId="07B03D29">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p>
    <w:p w14:paraId="4647348A">
      <w:pPr>
        <w:adjustRightInd w:val="0"/>
        <w:snapToGrid w:val="0"/>
        <w:spacing w:line="560" w:lineRule="exact"/>
        <w:ind w:firstLine="320" w:firstLineChars="100"/>
        <w:rPr>
          <w:rFonts w:ascii="仿宋_GB2312" w:hAnsi="仿宋_GB2312" w:eastAsia="仿宋_GB2312" w:cs="仿宋_GB2312"/>
          <w:color w:val="auto"/>
          <w:sz w:val="32"/>
          <w:szCs w:val="32"/>
          <w:highlight w:val="none"/>
        </w:rPr>
      </w:pPr>
    </w:p>
    <w:p w14:paraId="4DCF17B1">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rPr>
        <w:t>法定代表人或授权代理人（签字）：</w:t>
      </w:r>
    </w:p>
    <w:p w14:paraId="73B8DB68">
      <w:pPr>
        <w:adjustRightInd w:val="0"/>
        <w:snapToGrid w:val="0"/>
        <w:spacing w:line="560" w:lineRule="exact"/>
        <w:ind w:firstLine="1600" w:firstLineChars="500"/>
        <w:rPr>
          <w:rFonts w:hint="eastAsia" w:ascii="仿宋_GB2312" w:hAnsi="仿宋_GB2312" w:eastAsia="仿宋_GB2312" w:cs="仿宋_GB2312"/>
          <w:color w:val="auto"/>
          <w:sz w:val="32"/>
          <w:szCs w:val="32"/>
          <w:highlight w:val="none"/>
        </w:rPr>
      </w:pPr>
    </w:p>
    <w:p w14:paraId="53570EF0">
      <w:pPr>
        <w:adjustRightInd w:val="0"/>
        <w:snapToGrid w:val="0"/>
        <w:spacing w:line="560" w:lineRule="exact"/>
        <w:ind w:firstLine="1600" w:firstLineChars="5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p>
    <w:p w14:paraId="00BBC6D5">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p w14:paraId="6FA3086F">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bookmarkEnd w:id="84"/>
    <w:bookmarkEnd w:id="85"/>
    <w:bookmarkEnd w:id="102"/>
    <w:bookmarkEnd w:id="103"/>
    <w:p w14:paraId="5C305AEE">
      <w:pPr>
        <w:pStyle w:val="2"/>
        <w:spacing w:line="240" w:lineRule="auto"/>
        <w:rPr>
          <w:color w:val="auto"/>
          <w:highlight w:val="none"/>
        </w:rPr>
      </w:pPr>
      <w:bookmarkStart w:id="110" w:name="_Toc22438"/>
      <w:bookmarkStart w:id="111" w:name="_Toc4812"/>
      <w:r>
        <w:rPr>
          <w:rFonts w:hint="eastAsia"/>
          <w:color w:val="auto"/>
          <w:highlight w:val="none"/>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079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676DF0EA">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p>
          <w:p w14:paraId="241DAA25">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color w:val="auto"/>
                <w:sz w:val="32"/>
                <w:szCs w:val="32"/>
                <w:highlight w:val="none"/>
              </w:rPr>
            </w:pPr>
          </w:p>
          <w:p w14:paraId="5D3BFEA6">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报价文件（正本/副本）</w:t>
            </w:r>
          </w:p>
          <w:p w14:paraId="4FEDEB8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0347DB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p w14:paraId="0DBA197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投标人名称（公章）：</w:t>
            </w:r>
          </w:p>
          <w:p w14:paraId="2601BFE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地址：</w:t>
            </w:r>
          </w:p>
          <w:p w14:paraId="21C3FC0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电话：</w:t>
            </w:r>
          </w:p>
          <w:p w14:paraId="7B9D80A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sz w:val="32"/>
                <w:szCs w:val="32"/>
                <w:highlight w:val="none"/>
              </w:rPr>
              <w:t>传真：</w:t>
            </w:r>
          </w:p>
        </w:tc>
      </w:tr>
    </w:tbl>
    <w:p w14:paraId="270122B4">
      <w:pPr>
        <w:adjustRightInd w:val="0"/>
        <w:snapToGrid w:val="0"/>
        <w:spacing w:line="560" w:lineRule="exact"/>
        <w:rPr>
          <w:rFonts w:ascii="仿宋_GB2312" w:hAnsi="仿宋_GB2312" w:eastAsia="仿宋_GB2312" w:cs="仿宋_GB2312"/>
          <w:vanish/>
          <w:color w:val="auto"/>
          <w:sz w:val="32"/>
          <w:szCs w:val="32"/>
          <w:highlight w:val="none"/>
        </w:rPr>
      </w:pPr>
    </w:p>
    <w:p w14:paraId="48CFC1EB">
      <w:pPr>
        <w:adjustRightInd w:val="0"/>
        <w:snapToGrid w:val="0"/>
        <w:spacing w:line="560" w:lineRule="exact"/>
        <w:rPr>
          <w:rFonts w:ascii="仿宋_GB2312" w:hAnsi="仿宋_GB2312" w:eastAsia="仿宋_GB2312" w:cs="仿宋_GB2312"/>
          <w:vanish/>
          <w:color w:val="auto"/>
          <w:sz w:val="32"/>
          <w:szCs w:val="32"/>
          <w:highlight w:val="none"/>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718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F2AD1E4">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时之前不准启封………</w:t>
            </w:r>
          </w:p>
        </w:tc>
      </w:tr>
    </w:tbl>
    <w:p w14:paraId="380E60A2">
      <w:pPr>
        <w:adjustRightInd w:val="0"/>
        <w:snapToGrid w:val="0"/>
        <w:spacing w:line="560" w:lineRule="exact"/>
        <w:rPr>
          <w:rFonts w:ascii="仿宋_GB2312" w:hAnsi="仿宋_GB2312" w:eastAsia="仿宋_GB2312" w:cs="仿宋_GB2312"/>
          <w:color w:val="auto"/>
          <w:sz w:val="32"/>
          <w:szCs w:val="32"/>
          <w:highlight w:val="none"/>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82D3C5-EE7C-4D41-AFF8-55B83BC17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60B05E0-93FA-4487-BE0F-B915603B01F5}"/>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0BC5CABA-107F-4C69-A595-826D59DD53D0}"/>
  </w:font>
  <w:font w:name="仿宋_GB2312">
    <w:altName w:val="仿宋"/>
    <w:panose1 w:val="02010609030101010101"/>
    <w:charset w:val="86"/>
    <w:family w:val="modern"/>
    <w:pitch w:val="default"/>
    <w:sig w:usb0="00000000" w:usb1="00000000" w:usb2="00000000" w:usb3="00000000" w:csb0="00040000" w:csb1="00000000"/>
    <w:embedRegular r:id="rId4" w:fontKey="{45A8D27B-862B-4122-ACC9-43EC00D5EC21}"/>
  </w:font>
  <w:font w:name="方正公文黑体">
    <w:altName w:val="黑体"/>
    <w:panose1 w:val="02000500000000000000"/>
    <w:charset w:val="86"/>
    <w:family w:val="auto"/>
    <w:pitch w:val="default"/>
    <w:sig w:usb0="00000000" w:usb1="00000000" w:usb2="00000016" w:usb3="00000000" w:csb0="00040001" w:csb1="00000000"/>
    <w:embedRegular r:id="rId5" w:fontKey="{805FAE3C-379E-4D53-A373-FC7B96E3230E}"/>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45F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DFF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B4DFF2">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DBE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C17A7">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EC17A7">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A512E5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3DB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0C5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120C5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87F6">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4E40B">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04E40B">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B540">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E492">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19E492">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0613">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00DD0878">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C679">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E039">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83EB">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D677">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BC13">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0A66">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798A"/>
    <w:multiLevelType w:val="singleLevel"/>
    <w:tmpl w:val="97EF798A"/>
    <w:lvl w:ilvl="0" w:tentative="0">
      <w:start w:val="1"/>
      <w:numFmt w:val="decimal"/>
      <w:lvlText w:val="%1."/>
      <w:lvlJc w:val="left"/>
      <w:pPr>
        <w:tabs>
          <w:tab w:val="left" w:pos="312"/>
        </w:tabs>
      </w:p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177F6A84"/>
    <w:multiLevelType w:val="singleLevel"/>
    <w:tmpl w:val="177F6A84"/>
    <w:lvl w:ilvl="0" w:tentative="0">
      <w:start w:val="2"/>
      <w:numFmt w:val="chineseCounting"/>
      <w:suff w:val="nothing"/>
      <w:lvlText w:val="%1、"/>
      <w:lvlJc w:val="left"/>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B1EB4"/>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190CB5"/>
    <w:rsid w:val="03215DBB"/>
    <w:rsid w:val="03912F41"/>
    <w:rsid w:val="03B92498"/>
    <w:rsid w:val="03BA4A14"/>
    <w:rsid w:val="03C03826"/>
    <w:rsid w:val="03E1761F"/>
    <w:rsid w:val="04210BBD"/>
    <w:rsid w:val="043A0EC2"/>
    <w:rsid w:val="048119FF"/>
    <w:rsid w:val="04BD1B14"/>
    <w:rsid w:val="04C21C5A"/>
    <w:rsid w:val="05080FE1"/>
    <w:rsid w:val="051536FE"/>
    <w:rsid w:val="0521245C"/>
    <w:rsid w:val="0524197F"/>
    <w:rsid w:val="0539563E"/>
    <w:rsid w:val="0569541C"/>
    <w:rsid w:val="05BF72F6"/>
    <w:rsid w:val="05E80E12"/>
    <w:rsid w:val="06220A34"/>
    <w:rsid w:val="063B0A20"/>
    <w:rsid w:val="063D115E"/>
    <w:rsid w:val="063D7F45"/>
    <w:rsid w:val="06515A71"/>
    <w:rsid w:val="06966A2B"/>
    <w:rsid w:val="06986394"/>
    <w:rsid w:val="069D2831"/>
    <w:rsid w:val="06B362BB"/>
    <w:rsid w:val="06CC1424"/>
    <w:rsid w:val="06E03B70"/>
    <w:rsid w:val="06E67100"/>
    <w:rsid w:val="06FF6413"/>
    <w:rsid w:val="07043A2A"/>
    <w:rsid w:val="07281BB4"/>
    <w:rsid w:val="07571DAC"/>
    <w:rsid w:val="07586296"/>
    <w:rsid w:val="076013B7"/>
    <w:rsid w:val="077417A0"/>
    <w:rsid w:val="077E558A"/>
    <w:rsid w:val="07854B6B"/>
    <w:rsid w:val="07943000"/>
    <w:rsid w:val="07AA637F"/>
    <w:rsid w:val="080203CE"/>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443652"/>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4B23B2"/>
    <w:rsid w:val="0D5648B3"/>
    <w:rsid w:val="0D5D3E94"/>
    <w:rsid w:val="0D761459"/>
    <w:rsid w:val="0D766D04"/>
    <w:rsid w:val="0E812BF3"/>
    <w:rsid w:val="0E8A515C"/>
    <w:rsid w:val="0E9733D5"/>
    <w:rsid w:val="0EB06E60"/>
    <w:rsid w:val="0EB10E23"/>
    <w:rsid w:val="0EF07055"/>
    <w:rsid w:val="0EFB1BB6"/>
    <w:rsid w:val="0F1A7048"/>
    <w:rsid w:val="0F312C7C"/>
    <w:rsid w:val="0F317386"/>
    <w:rsid w:val="0F5574D8"/>
    <w:rsid w:val="0F601A19"/>
    <w:rsid w:val="0F6C64AC"/>
    <w:rsid w:val="0F6E4136"/>
    <w:rsid w:val="0F77741D"/>
    <w:rsid w:val="0FA1275E"/>
    <w:rsid w:val="0FB76D11"/>
    <w:rsid w:val="0FD55F4E"/>
    <w:rsid w:val="0FE16FFE"/>
    <w:rsid w:val="0FE32D76"/>
    <w:rsid w:val="0FE33B06"/>
    <w:rsid w:val="0FF3288D"/>
    <w:rsid w:val="0FF705D0"/>
    <w:rsid w:val="10017FB3"/>
    <w:rsid w:val="10090BD7"/>
    <w:rsid w:val="10235B8D"/>
    <w:rsid w:val="10515328"/>
    <w:rsid w:val="1088396D"/>
    <w:rsid w:val="108B0D18"/>
    <w:rsid w:val="109567B4"/>
    <w:rsid w:val="10A73DA4"/>
    <w:rsid w:val="111700D2"/>
    <w:rsid w:val="11190C87"/>
    <w:rsid w:val="11B83D8F"/>
    <w:rsid w:val="11D67F1C"/>
    <w:rsid w:val="12270C7D"/>
    <w:rsid w:val="123A29F6"/>
    <w:rsid w:val="123E35CF"/>
    <w:rsid w:val="12450EE5"/>
    <w:rsid w:val="12490E8B"/>
    <w:rsid w:val="12724255"/>
    <w:rsid w:val="127546CF"/>
    <w:rsid w:val="12DE7825"/>
    <w:rsid w:val="12E070F9"/>
    <w:rsid w:val="12E952FB"/>
    <w:rsid w:val="13176A48"/>
    <w:rsid w:val="131821D8"/>
    <w:rsid w:val="132A2348"/>
    <w:rsid w:val="13347445"/>
    <w:rsid w:val="133C34EE"/>
    <w:rsid w:val="133F619B"/>
    <w:rsid w:val="13551D5C"/>
    <w:rsid w:val="136C3083"/>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6C18A3"/>
    <w:rsid w:val="17710C68"/>
    <w:rsid w:val="17B531B3"/>
    <w:rsid w:val="17C50FB3"/>
    <w:rsid w:val="17EE07BE"/>
    <w:rsid w:val="18883998"/>
    <w:rsid w:val="189D5A8C"/>
    <w:rsid w:val="18C2202E"/>
    <w:rsid w:val="18C33745"/>
    <w:rsid w:val="18F31AB7"/>
    <w:rsid w:val="1901426D"/>
    <w:rsid w:val="191C10A7"/>
    <w:rsid w:val="191C2DD1"/>
    <w:rsid w:val="1925050E"/>
    <w:rsid w:val="19322678"/>
    <w:rsid w:val="19397563"/>
    <w:rsid w:val="197B254B"/>
    <w:rsid w:val="19A46172"/>
    <w:rsid w:val="19AF0D41"/>
    <w:rsid w:val="19C46CD8"/>
    <w:rsid w:val="19C84D8B"/>
    <w:rsid w:val="19DE010A"/>
    <w:rsid w:val="19F245C4"/>
    <w:rsid w:val="1A014E15"/>
    <w:rsid w:val="1A0A7151"/>
    <w:rsid w:val="1A18186E"/>
    <w:rsid w:val="1A2B0002"/>
    <w:rsid w:val="1A2C531A"/>
    <w:rsid w:val="1A361CF4"/>
    <w:rsid w:val="1A5361CB"/>
    <w:rsid w:val="1A5D54D3"/>
    <w:rsid w:val="1A785A33"/>
    <w:rsid w:val="1AA2382E"/>
    <w:rsid w:val="1B3A4B9B"/>
    <w:rsid w:val="1B46065D"/>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491496"/>
    <w:rsid w:val="1F765554"/>
    <w:rsid w:val="1F845AC6"/>
    <w:rsid w:val="1F884CCF"/>
    <w:rsid w:val="1F9B949E"/>
    <w:rsid w:val="1F9F033C"/>
    <w:rsid w:val="1FEC25BF"/>
    <w:rsid w:val="1FEF6E6E"/>
    <w:rsid w:val="20193933"/>
    <w:rsid w:val="20350AB8"/>
    <w:rsid w:val="204607B7"/>
    <w:rsid w:val="209B0A84"/>
    <w:rsid w:val="20C0056A"/>
    <w:rsid w:val="210D14B1"/>
    <w:rsid w:val="21505D92"/>
    <w:rsid w:val="21887642"/>
    <w:rsid w:val="219407F2"/>
    <w:rsid w:val="219F2875"/>
    <w:rsid w:val="21DB2A55"/>
    <w:rsid w:val="21E87D78"/>
    <w:rsid w:val="220B1CB9"/>
    <w:rsid w:val="220F3557"/>
    <w:rsid w:val="22227D34"/>
    <w:rsid w:val="22250FCC"/>
    <w:rsid w:val="224E4F75"/>
    <w:rsid w:val="225E0B1F"/>
    <w:rsid w:val="22AD2D70"/>
    <w:rsid w:val="22B366F6"/>
    <w:rsid w:val="22B660C8"/>
    <w:rsid w:val="22E6561F"/>
    <w:rsid w:val="23005595"/>
    <w:rsid w:val="23294AEC"/>
    <w:rsid w:val="232E330C"/>
    <w:rsid w:val="2330729E"/>
    <w:rsid w:val="233139A1"/>
    <w:rsid w:val="23377EE9"/>
    <w:rsid w:val="23C2284B"/>
    <w:rsid w:val="23FE7B1E"/>
    <w:rsid w:val="2412563B"/>
    <w:rsid w:val="241412F8"/>
    <w:rsid w:val="243674C1"/>
    <w:rsid w:val="2443398C"/>
    <w:rsid w:val="24963C3A"/>
    <w:rsid w:val="24D77410"/>
    <w:rsid w:val="25903244"/>
    <w:rsid w:val="25C94365"/>
    <w:rsid w:val="25CD79B1"/>
    <w:rsid w:val="25F5597A"/>
    <w:rsid w:val="263E440B"/>
    <w:rsid w:val="26924756"/>
    <w:rsid w:val="269A09F7"/>
    <w:rsid w:val="2739601D"/>
    <w:rsid w:val="27433CA3"/>
    <w:rsid w:val="27706A7D"/>
    <w:rsid w:val="2771221C"/>
    <w:rsid w:val="278136ED"/>
    <w:rsid w:val="278E3045"/>
    <w:rsid w:val="279B0C50"/>
    <w:rsid w:val="279D270A"/>
    <w:rsid w:val="27A75FE0"/>
    <w:rsid w:val="27B626C7"/>
    <w:rsid w:val="27DA0163"/>
    <w:rsid w:val="288938C1"/>
    <w:rsid w:val="28924901"/>
    <w:rsid w:val="28B3769A"/>
    <w:rsid w:val="28DD71C8"/>
    <w:rsid w:val="290F795D"/>
    <w:rsid w:val="2976189C"/>
    <w:rsid w:val="29BD4AD2"/>
    <w:rsid w:val="29C410CB"/>
    <w:rsid w:val="29CD6601"/>
    <w:rsid w:val="29E9585C"/>
    <w:rsid w:val="29F758E8"/>
    <w:rsid w:val="2A307B20"/>
    <w:rsid w:val="2A566664"/>
    <w:rsid w:val="2A701253"/>
    <w:rsid w:val="2A8274CB"/>
    <w:rsid w:val="2A8D3BB3"/>
    <w:rsid w:val="2AAF03D5"/>
    <w:rsid w:val="2AC82E3D"/>
    <w:rsid w:val="2ADF07C0"/>
    <w:rsid w:val="2AF1729B"/>
    <w:rsid w:val="2BBA5F3F"/>
    <w:rsid w:val="2BD10AFE"/>
    <w:rsid w:val="2BD501A2"/>
    <w:rsid w:val="2C301C6E"/>
    <w:rsid w:val="2C6B57EF"/>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42A7D"/>
    <w:rsid w:val="3058256D"/>
    <w:rsid w:val="307F3D64"/>
    <w:rsid w:val="30E87D95"/>
    <w:rsid w:val="30F42AE5"/>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512320"/>
    <w:rsid w:val="33644F60"/>
    <w:rsid w:val="336B25B7"/>
    <w:rsid w:val="33D20888"/>
    <w:rsid w:val="33E41628"/>
    <w:rsid w:val="33EE0701"/>
    <w:rsid w:val="33FB7DDF"/>
    <w:rsid w:val="33FF6CF8"/>
    <w:rsid w:val="340C5B48"/>
    <w:rsid w:val="34131094"/>
    <w:rsid w:val="342033A2"/>
    <w:rsid w:val="343E372E"/>
    <w:rsid w:val="344828F8"/>
    <w:rsid w:val="3451508A"/>
    <w:rsid w:val="34520673"/>
    <w:rsid w:val="34607C42"/>
    <w:rsid w:val="34E268A9"/>
    <w:rsid w:val="34E44900"/>
    <w:rsid w:val="35176F31"/>
    <w:rsid w:val="351C625F"/>
    <w:rsid w:val="3529097C"/>
    <w:rsid w:val="35487054"/>
    <w:rsid w:val="356779FE"/>
    <w:rsid w:val="3579427A"/>
    <w:rsid w:val="359B6AF0"/>
    <w:rsid w:val="35B74975"/>
    <w:rsid w:val="35E52AF5"/>
    <w:rsid w:val="36405F7D"/>
    <w:rsid w:val="36591B2F"/>
    <w:rsid w:val="366A2FFA"/>
    <w:rsid w:val="3676199F"/>
    <w:rsid w:val="36A96651"/>
    <w:rsid w:val="36C42F0E"/>
    <w:rsid w:val="36D04C5A"/>
    <w:rsid w:val="36D22A64"/>
    <w:rsid w:val="36DC2DE1"/>
    <w:rsid w:val="3711707E"/>
    <w:rsid w:val="37647A49"/>
    <w:rsid w:val="379C71E3"/>
    <w:rsid w:val="37E312B6"/>
    <w:rsid w:val="37E56DDC"/>
    <w:rsid w:val="37F214F9"/>
    <w:rsid w:val="37FA5416"/>
    <w:rsid w:val="37FFE6AC"/>
    <w:rsid w:val="38691F82"/>
    <w:rsid w:val="38B13162"/>
    <w:rsid w:val="391D15F5"/>
    <w:rsid w:val="398475C6"/>
    <w:rsid w:val="3A410CD0"/>
    <w:rsid w:val="3A5F655A"/>
    <w:rsid w:val="3A7B57D6"/>
    <w:rsid w:val="3AAE7AE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C6723B"/>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F0A9A"/>
    <w:rsid w:val="42294664"/>
    <w:rsid w:val="42462B6D"/>
    <w:rsid w:val="428B4A24"/>
    <w:rsid w:val="429D17C3"/>
    <w:rsid w:val="42B40F7C"/>
    <w:rsid w:val="42B7058F"/>
    <w:rsid w:val="42F779C3"/>
    <w:rsid w:val="430B0B78"/>
    <w:rsid w:val="430F2450"/>
    <w:rsid w:val="43291B47"/>
    <w:rsid w:val="43344A35"/>
    <w:rsid w:val="437D25BE"/>
    <w:rsid w:val="438C45B0"/>
    <w:rsid w:val="43AB0A6B"/>
    <w:rsid w:val="43AF120B"/>
    <w:rsid w:val="43C81360"/>
    <w:rsid w:val="43F17F21"/>
    <w:rsid w:val="441A4EF4"/>
    <w:rsid w:val="444958B2"/>
    <w:rsid w:val="448B0D0B"/>
    <w:rsid w:val="448D4A83"/>
    <w:rsid w:val="44901E7E"/>
    <w:rsid w:val="44E64193"/>
    <w:rsid w:val="451F3201"/>
    <w:rsid w:val="45394A3E"/>
    <w:rsid w:val="456450B8"/>
    <w:rsid w:val="458012DF"/>
    <w:rsid w:val="45856265"/>
    <w:rsid w:val="45E060FE"/>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6A10AC"/>
    <w:rsid w:val="47B6FF77"/>
    <w:rsid w:val="47D93B3C"/>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C6087B"/>
    <w:rsid w:val="4C2966FC"/>
    <w:rsid w:val="4C51283A"/>
    <w:rsid w:val="4C581661"/>
    <w:rsid w:val="4C5E6D05"/>
    <w:rsid w:val="4C7F417C"/>
    <w:rsid w:val="4C875185"/>
    <w:rsid w:val="4C8F03ED"/>
    <w:rsid w:val="4CC3201B"/>
    <w:rsid w:val="4D4128AF"/>
    <w:rsid w:val="4D4E28D6"/>
    <w:rsid w:val="4D826A23"/>
    <w:rsid w:val="4D942C25"/>
    <w:rsid w:val="4DA91E14"/>
    <w:rsid w:val="4DA9F889"/>
    <w:rsid w:val="4E0B430A"/>
    <w:rsid w:val="4E20644E"/>
    <w:rsid w:val="4E740A62"/>
    <w:rsid w:val="4E875F10"/>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081BED"/>
    <w:rsid w:val="52131FB2"/>
    <w:rsid w:val="523D285F"/>
    <w:rsid w:val="524644C3"/>
    <w:rsid w:val="527A5F1B"/>
    <w:rsid w:val="528172AA"/>
    <w:rsid w:val="52927709"/>
    <w:rsid w:val="52990A97"/>
    <w:rsid w:val="529F7C3F"/>
    <w:rsid w:val="52A1781D"/>
    <w:rsid w:val="52A766E1"/>
    <w:rsid w:val="52CC7D2D"/>
    <w:rsid w:val="52E21FCD"/>
    <w:rsid w:val="535624F5"/>
    <w:rsid w:val="535C6BD8"/>
    <w:rsid w:val="53852DC9"/>
    <w:rsid w:val="53876B42"/>
    <w:rsid w:val="53DF2D8E"/>
    <w:rsid w:val="53F9269E"/>
    <w:rsid w:val="53FF2B7C"/>
    <w:rsid w:val="54065CB8"/>
    <w:rsid w:val="5437056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C35CCA"/>
    <w:rsid w:val="56CA3161"/>
    <w:rsid w:val="56D45B12"/>
    <w:rsid w:val="56EE60A5"/>
    <w:rsid w:val="56FC793A"/>
    <w:rsid w:val="57FA1966"/>
    <w:rsid w:val="583D0E0B"/>
    <w:rsid w:val="585D494D"/>
    <w:rsid w:val="586B6A32"/>
    <w:rsid w:val="58B935B5"/>
    <w:rsid w:val="58CB5722"/>
    <w:rsid w:val="58D85297"/>
    <w:rsid w:val="58EC5B9C"/>
    <w:rsid w:val="58EE5808"/>
    <w:rsid w:val="590757B1"/>
    <w:rsid w:val="59581206"/>
    <w:rsid w:val="59622E18"/>
    <w:rsid w:val="59BD32BD"/>
    <w:rsid w:val="59DC36CB"/>
    <w:rsid w:val="59E5440B"/>
    <w:rsid w:val="5A6C2FE9"/>
    <w:rsid w:val="5A8838A1"/>
    <w:rsid w:val="5AA82EA1"/>
    <w:rsid w:val="5AC91B3E"/>
    <w:rsid w:val="5AD809D1"/>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9E3287"/>
    <w:rsid w:val="5ED846F5"/>
    <w:rsid w:val="5F034C6F"/>
    <w:rsid w:val="5F622211"/>
    <w:rsid w:val="5F6847A5"/>
    <w:rsid w:val="5F8F28CB"/>
    <w:rsid w:val="5FB44B2E"/>
    <w:rsid w:val="5FFD49A1"/>
    <w:rsid w:val="6019388E"/>
    <w:rsid w:val="601E16EE"/>
    <w:rsid w:val="60512F91"/>
    <w:rsid w:val="60667D3B"/>
    <w:rsid w:val="60864B16"/>
    <w:rsid w:val="608E281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4040C59"/>
    <w:rsid w:val="64306D81"/>
    <w:rsid w:val="64524F4A"/>
    <w:rsid w:val="64564049"/>
    <w:rsid w:val="6479B950"/>
    <w:rsid w:val="6481138B"/>
    <w:rsid w:val="65165F77"/>
    <w:rsid w:val="655908A2"/>
    <w:rsid w:val="65666DB9"/>
    <w:rsid w:val="65723276"/>
    <w:rsid w:val="659438DB"/>
    <w:rsid w:val="65CF7132"/>
    <w:rsid w:val="65D9039F"/>
    <w:rsid w:val="668FFD52"/>
    <w:rsid w:val="66AB26EF"/>
    <w:rsid w:val="66BC351E"/>
    <w:rsid w:val="67206C39"/>
    <w:rsid w:val="673D5A3D"/>
    <w:rsid w:val="678533FB"/>
    <w:rsid w:val="67A51172"/>
    <w:rsid w:val="67B101D9"/>
    <w:rsid w:val="67CE1AEA"/>
    <w:rsid w:val="6819678B"/>
    <w:rsid w:val="685E3EBD"/>
    <w:rsid w:val="68660FC4"/>
    <w:rsid w:val="68C36416"/>
    <w:rsid w:val="68EB3277"/>
    <w:rsid w:val="68EB6A0B"/>
    <w:rsid w:val="68EF0FB9"/>
    <w:rsid w:val="6907627A"/>
    <w:rsid w:val="690E575F"/>
    <w:rsid w:val="69180D06"/>
    <w:rsid w:val="691C1682"/>
    <w:rsid w:val="692A7707"/>
    <w:rsid w:val="692C0A4C"/>
    <w:rsid w:val="6933534A"/>
    <w:rsid w:val="69336C29"/>
    <w:rsid w:val="69375D48"/>
    <w:rsid w:val="69692B1A"/>
    <w:rsid w:val="696A0640"/>
    <w:rsid w:val="69766FE4"/>
    <w:rsid w:val="698649C0"/>
    <w:rsid w:val="69951B60"/>
    <w:rsid w:val="69D77881"/>
    <w:rsid w:val="69FB573C"/>
    <w:rsid w:val="6A372C18"/>
    <w:rsid w:val="6A5D01A4"/>
    <w:rsid w:val="6AB04778"/>
    <w:rsid w:val="6AD2649C"/>
    <w:rsid w:val="6B5C045C"/>
    <w:rsid w:val="6B6F3E15"/>
    <w:rsid w:val="6B7036D0"/>
    <w:rsid w:val="6B722607"/>
    <w:rsid w:val="6B841E8D"/>
    <w:rsid w:val="6BB64010"/>
    <w:rsid w:val="6BBF2EC5"/>
    <w:rsid w:val="6BFB5EC7"/>
    <w:rsid w:val="6C066D46"/>
    <w:rsid w:val="6C07661A"/>
    <w:rsid w:val="6C3A69EF"/>
    <w:rsid w:val="6C714041"/>
    <w:rsid w:val="6C850CCB"/>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1627D3"/>
    <w:rsid w:val="733A7699"/>
    <w:rsid w:val="737A5923"/>
    <w:rsid w:val="737F118B"/>
    <w:rsid w:val="73BC418E"/>
    <w:rsid w:val="73CA207F"/>
    <w:rsid w:val="73F70C5C"/>
    <w:rsid w:val="740D083A"/>
    <w:rsid w:val="741E10D9"/>
    <w:rsid w:val="744877CF"/>
    <w:rsid w:val="745213E3"/>
    <w:rsid w:val="748A31AB"/>
    <w:rsid w:val="74A72748"/>
    <w:rsid w:val="74AB2123"/>
    <w:rsid w:val="74CE23CA"/>
    <w:rsid w:val="74DC4AE7"/>
    <w:rsid w:val="751853F4"/>
    <w:rsid w:val="753955FE"/>
    <w:rsid w:val="756923C9"/>
    <w:rsid w:val="75705230"/>
    <w:rsid w:val="759E1D9D"/>
    <w:rsid w:val="759E7FEF"/>
    <w:rsid w:val="75FE7BC6"/>
    <w:rsid w:val="76171B4F"/>
    <w:rsid w:val="767F0AB9"/>
    <w:rsid w:val="76CC46E8"/>
    <w:rsid w:val="76FF717E"/>
    <w:rsid w:val="77035C3C"/>
    <w:rsid w:val="77313CD6"/>
    <w:rsid w:val="77334767"/>
    <w:rsid w:val="77790089"/>
    <w:rsid w:val="77D43766"/>
    <w:rsid w:val="77FA1D1D"/>
    <w:rsid w:val="781F1BE1"/>
    <w:rsid w:val="783E3DBF"/>
    <w:rsid w:val="7847671C"/>
    <w:rsid w:val="78873B38"/>
    <w:rsid w:val="78A376CA"/>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375D2D"/>
    <w:rsid w:val="7C496298"/>
    <w:rsid w:val="7C5633CB"/>
    <w:rsid w:val="7C727ADF"/>
    <w:rsid w:val="7C8141C6"/>
    <w:rsid w:val="7CC14D89"/>
    <w:rsid w:val="7CC53F58"/>
    <w:rsid w:val="7D083FA0"/>
    <w:rsid w:val="7D0C3A90"/>
    <w:rsid w:val="7D567401"/>
    <w:rsid w:val="7D627B54"/>
    <w:rsid w:val="7D6903CE"/>
    <w:rsid w:val="7D7A4E9D"/>
    <w:rsid w:val="7D822BDD"/>
    <w:rsid w:val="7DBD489D"/>
    <w:rsid w:val="7DE60D6B"/>
    <w:rsid w:val="7DEF6F7A"/>
    <w:rsid w:val="7DF6029C"/>
    <w:rsid w:val="7DFA0FA7"/>
    <w:rsid w:val="7E097FCF"/>
    <w:rsid w:val="7E1A2770"/>
    <w:rsid w:val="7E1D19FF"/>
    <w:rsid w:val="7EB77A2B"/>
    <w:rsid w:val="7ECF5C04"/>
    <w:rsid w:val="7ED76320"/>
    <w:rsid w:val="7EDBB46D"/>
    <w:rsid w:val="7EEF7932"/>
    <w:rsid w:val="7EF96031"/>
    <w:rsid w:val="7F17C953"/>
    <w:rsid w:val="7F385010"/>
    <w:rsid w:val="7F47478E"/>
    <w:rsid w:val="7F547970"/>
    <w:rsid w:val="7F7F3ECC"/>
    <w:rsid w:val="7F8A5218"/>
    <w:rsid w:val="7FB44005"/>
    <w:rsid w:val="7FBA562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13103</Words>
  <Characters>13586</Characters>
  <Lines>177</Lines>
  <Paragraphs>49</Paragraphs>
  <TotalTime>0</TotalTime>
  <ScaleCrop>false</ScaleCrop>
  <LinksUpToDate>false</LinksUpToDate>
  <CharactersWithSpaces>14454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2024-12-12T20:17:00Z</dcterms:created>
  <dc:creator>水岸听涛</dc:creator>
  <cp:lastModifiedBy>15103004526</cp:lastModifiedBy>
  <cp:lastPrinted>2025-07-18T00:03:00Z</cp:lastPrinted>
  <dcterms:modified xsi:type="dcterms:W3CDTF">2026-05-25T10:56:14Z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