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FEB8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公文小标宋" w:hAnsi="方正公文小标宋" w:eastAsia="方正公文小标宋" w:cs="方正公文小标宋"/>
        </w:rPr>
      </w:pPr>
    </w:p>
    <w:p w14:paraId="356DACAC">
      <w:pPr>
        <w:keepNext w:val="0"/>
        <w:keepLines w:val="0"/>
        <w:pageBreakBefore w:val="0"/>
        <w:widowControl w:val="0"/>
        <w:kinsoku/>
        <w:wordWrap/>
        <w:overflowPunct/>
        <w:topLinePunct w:val="0"/>
        <w:autoSpaceDE/>
        <w:autoSpaceDN/>
        <w:bidi w:val="0"/>
        <w:adjustRightInd/>
        <w:snapToGrid/>
        <w:spacing w:line="900" w:lineRule="exact"/>
        <w:ind w:firstLine="721" w:firstLineChars="100"/>
        <w:jc w:val="center"/>
        <w:textAlignment w:val="auto"/>
        <w:rPr>
          <w:rFonts w:hint="eastAsia" w:ascii="方正公文小标宋" w:hAnsi="方正公文小标宋" w:eastAsia="方正公文小标宋" w:cs="方正公文小标宋"/>
          <w:b/>
          <w:sz w:val="72"/>
          <w:szCs w:val="72"/>
          <w:highlight w:val="none"/>
          <w:lang w:val="en-US" w:eastAsia="zh-CN"/>
        </w:rPr>
      </w:pPr>
      <w:bookmarkStart w:id="0" w:name="_Toc375561633"/>
      <w:bookmarkStart w:id="1" w:name="_Toc415058499"/>
      <w:bookmarkStart w:id="2" w:name="_Toc415058575"/>
      <w:r>
        <w:rPr>
          <w:rFonts w:hint="eastAsia" w:ascii="方正公文小标宋" w:hAnsi="方正公文小标宋" w:eastAsia="方正公文小标宋" w:cs="方正公文小标宋"/>
          <w:b/>
          <w:sz w:val="72"/>
          <w:szCs w:val="72"/>
          <w:highlight w:val="none"/>
          <w:lang w:val="en-US" w:eastAsia="zh-CN"/>
        </w:rPr>
        <w:t>海南卫生健康职业学院</w:t>
      </w:r>
    </w:p>
    <w:p w14:paraId="52E04B76">
      <w:pPr>
        <w:keepNext w:val="0"/>
        <w:keepLines w:val="0"/>
        <w:pageBreakBefore w:val="0"/>
        <w:widowControl w:val="0"/>
        <w:kinsoku/>
        <w:wordWrap/>
        <w:overflowPunct/>
        <w:topLinePunct w:val="0"/>
        <w:autoSpaceDE/>
        <w:autoSpaceDN/>
        <w:bidi w:val="0"/>
        <w:adjustRightInd/>
        <w:snapToGrid/>
        <w:spacing w:line="900" w:lineRule="exact"/>
        <w:ind w:firstLine="721" w:firstLineChars="100"/>
        <w:jc w:val="center"/>
        <w:textAlignment w:val="auto"/>
        <w:rPr>
          <w:rFonts w:hint="eastAsia" w:ascii="方正公文小标宋" w:hAnsi="方正公文小标宋" w:eastAsia="方正公文小标宋" w:cs="方正公文小标宋"/>
          <w:b/>
          <w:sz w:val="72"/>
          <w:szCs w:val="72"/>
          <w:highlight w:val="none"/>
          <w:lang w:val="en-US" w:eastAsia="zh-CN"/>
        </w:rPr>
      </w:pPr>
      <w:r>
        <w:rPr>
          <w:rFonts w:hint="eastAsia" w:ascii="方正公文小标宋" w:hAnsi="方正公文小标宋" w:eastAsia="方正公文小标宋" w:cs="方正公文小标宋"/>
          <w:b/>
          <w:sz w:val="72"/>
          <w:szCs w:val="72"/>
          <w:highlight w:val="none"/>
          <w:lang w:val="en-US" w:eastAsia="zh-CN"/>
        </w:rPr>
        <w:t>椰海校区小卖部房地产</w:t>
      </w:r>
    </w:p>
    <w:p w14:paraId="4E859711">
      <w:pPr>
        <w:keepNext w:val="0"/>
        <w:keepLines w:val="0"/>
        <w:pageBreakBefore w:val="0"/>
        <w:widowControl w:val="0"/>
        <w:kinsoku/>
        <w:wordWrap/>
        <w:overflowPunct/>
        <w:topLinePunct w:val="0"/>
        <w:autoSpaceDE/>
        <w:autoSpaceDN/>
        <w:bidi w:val="0"/>
        <w:adjustRightInd/>
        <w:snapToGrid/>
        <w:spacing w:line="900" w:lineRule="exact"/>
        <w:ind w:firstLine="721" w:firstLineChars="100"/>
        <w:jc w:val="center"/>
        <w:textAlignment w:val="auto"/>
        <w:rPr>
          <w:rFonts w:hint="eastAsia" w:ascii="方正公文小标宋" w:hAnsi="方正公文小标宋" w:eastAsia="方正公文小标宋" w:cs="方正公文小标宋"/>
          <w:b/>
          <w:sz w:val="72"/>
          <w:szCs w:val="72"/>
          <w:highlight w:val="none"/>
          <w:lang w:val="en-US" w:eastAsia="zh-CN"/>
        </w:rPr>
      </w:pPr>
      <w:r>
        <w:rPr>
          <w:rFonts w:hint="eastAsia" w:ascii="方正公文小标宋" w:hAnsi="方正公文小标宋" w:eastAsia="方正公文小标宋" w:cs="方正公文小标宋"/>
          <w:b/>
          <w:sz w:val="72"/>
          <w:szCs w:val="72"/>
          <w:highlight w:val="none"/>
          <w:lang w:val="en-US" w:eastAsia="zh-CN"/>
        </w:rPr>
        <w:t>租赁价格评估项目</w:t>
      </w:r>
    </w:p>
    <w:p w14:paraId="750D53AA">
      <w:pPr>
        <w:keepNext w:val="0"/>
        <w:keepLines w:val="0"/>
        <w:pageBreakBefore w:val="0"/>
        <w:widowControl w:val="0"/>
        <w:kinsoku/>
        <w:wordWrap/>
        <w:overflowPunct/>
        <w:topLinePunct w:val="0"/>
        <w:autoSpaceDE/>
        <w:autoSpaceDN/>
        <w:bidi w:val="0"/>
        <w:adjustRightInd/>
        <w:snapToGrid/>
        <w:spacing w:line="900" w:lineRule="exact"/>
        <w:ind w:firstLine="721" w:firstLineChars="100"/>
        <w:jc w:val="center"/>
        <w:textAlignment w:val="auto"/>
        <w:rPr>
          <w:rFonts w:hint="eastAsia" w:ascii="方正公文小标宋" w:hAnsi="方正公文小标宋" w:eastAsia="方正公文小标宋" w:cs="方正公文小标宋"/>
          <w:b/>
          <w:sz w:val="72"/>
          <w:szCs w:val="72"/>
          <w:highlight w:val="none"/>
          <w:lang w:val="en-US" w:eastAsia="zh-CN"/>
        </w:rPr>
      </w:pPr>
      <w:r>
        <w:rPr>
          <w:rFonts w:hint="eastAsia" w:ascii="方正公文小标宋" w:hAnsi="方正公文小标宋" w:eastAsia="方正公文小标宋" w:cs="方正公文小标宋"/>
          <w:b/>
          <w:sz w:val="72"/>
          <w:szCs w:val="72"/>
          <w:highlight w:val="none"/>
          <w:lang w:val="en-US" w:eastAsia="zh-CN"/>
        </w:rPr>
        <w:t>（二次招标）</w:t>
      </w:r>
    </w:p>
    <w:p w14:paraId="7AF9B5EB">
      <w:pPr>
        <w:pageBreakBefore w:val="0"/>
        <w:kinsoku/>
        <w:wordWrap/>
        <w:overflowPunct/>
        <w:topLinePunct w:val="0"/>
        <w:autoSpaceDE/>
        <w:autoSpaceDN/>
        <w:bidi w:val="0"/>
        <w:adjustRightInd w:val="0"/>
        <w:snapToGrid w:val="0"/>
        <w:spacing w:line="420" w:lineRule="auto"/>
        <w:ind w:left="0" w:leftChars="0"/>
        <w:jc w:val="center"/>
        <w:rPr>
          <w:rFonts w:hint="eastAsia" w:asciiTheme="minorEastAsia" w:hAnsiTheme="minorEastAsia" w:eastAsiaTheme="minorEastAsia" w:cstheme="minorEastAsia"/>
          <w:bCs w:val="0"/>
          <w:sz w:val="36"/>
          <w:szCs w:val="36"/>
          <w:lang w:val="en-US" w:eastAsia="zh-CN"/>
        </w:rPr>
      </w:pPr>
    </w:p>
    <w:p w14:paraId="5AA2728D">
      <w:pPr>
        <w:pageBreakBefore w:val="0"/>
        <w:kinsoku/>
        <w:wordWrap/>
        <w:overflowPunct/>
        <w:topLinePunct w:val="0"/>
        <w:autoSpaceDE/>
        <w:autoSpaceDN/>
        <w:bidi w:val="0"/>
        <w:adjustRightInd w:val="0"/>
        <w:snapToGrid w:val="0"/>
        <w:spacing w:line="420" w:lineRule="auto"/>
        <w:ind w:left="0" w:leftChars="0"/>
        <w:jc w:val="center"/>
        <w:rPr>
          <w:rFonts w:hint="default" w:asciiTheme="minorEastAsia" w:hAnsiTheme="minorEastAsia" w:eastAsiaTheme="minorEastAsia" w:cstheme="minorEastAsia"/>
          <w:bCs w:val="0"/>
          <w:sz w:val="36"/>
          <w:szCs w:val="36"/>
          <w:lang w:val="en-US" w:eastAsia="zh-CN"/>
        </w:rPr>
      </w:pPr>
      <w:r>
        <w:rPr>
          <w:rFonts w:hint="eastAsia" w:asciiTheme="minorEastAsia" w:hAnsiTheme="minorEastAsia" w:eastAsiaTheme="minorEastAsia" w:cstheme="minorEastAsia"/>
          <w:bCs w:val="0"/>
          <w:sz w:val="36"/>
          <w:szCs w:val="36"/>
          <w:lang w:val="en-US" w:eastAsia="zh-CN"/>
        </w:rPr>
        <w:t>项目编号：HNWJY-FW2025011</w:t>
      </w:r>
    </w:p>
    <w:p w14:paraId="043A0687">
      <w:pPr>
        <w:pageBreakBefore w:val="0"/>
        <w:kinsoku/>
        <w:wordWrap/>
        <w:overflowPunct/>
        <w:topLinePunct w:val="0"/>
        <w:autoSpaceDE/>
        <w:autoSpaceDN/>
        <w:bidi w:val="0"/>
        <w:adjustRightInd w:val="0"/>
        <w:snapToGrid w:val="0"/>
        <w:spacing w:line="420" w:lineRule="auto"/>
        <w:ind w:left="0" w:leftChars="0"/>
        <w:rPr>
          <w:rFonts w:hint="eastAsia" w:asciiTheme="minorEastAsia" w:hAnsiTheme="minorEastAsia" w:eastAsiaTheme="minorEastAsia" w:cstheme="minorEastAsia"/>
          <w:b/>
          <w:bCs w:val="0"/>
          <w:spacing w:val="40"/>
          <w:sz w:val="36"/>
          <w:szCs w:val="36"/>
        </w:rPr>
      </w:pPr>
    </w:p>
    <w:bookmarkEnd w:id="0"/>
    <w:bookmarkEnd w:id="1"/>
    <w:bookmarkEnd w:id="2"/>
    <w:p w14:paraId="54CB19CA">
      <w:pPr>
        <w:spacing w:line="360" w:lineRule="auto"/>
        <w:ind w:firstLine="723" w:firstLineChars="100"/>
        <w:jc w:val="center"/>
        <w:rPr>
          <w:rFonts w:hint="eastAsia" w:ascii="宋体" w:hAnsi="宋体" w:eastAsia="宋体" w:cs="Times New Roman"/>
          <w:b/>
          <w:sz w:val="72"/>
          <w:szCs w:val="72"/>
          <w:highlight w:val="none"/>
        </w:rPr>
      </w:pPr>
      <w:bookmarkStart w:id="3" w:name="_Toc326783408"/>
      <w:bookmarkStart w:id="4" w:name="_Toc325446794"/>
      <w:bookmarkStart w:id="5" w:name="_Toc325731733"/>
      <w:r>
        <w:rPr>
          <w:rFonts w:hint="eastAsia" w:ascii="宋体" w:hAnsi="宋体" w:eastAsia="宋体" w:cs="Times New Roman"/>
          <w:b/>
          <w:sz w:val="72"/>
          <w:szCs w:val="72"/>
          <w:highlight w:val="none"/>
          <w:lang w:val="en-US" w:eastAsia="zh-CN"/>
        </w:rPr>
        <w:t>竞争性谈判文</w:t>
      </w:r>
      <w:r>
        <w:rPr>
          <w:rFonts w:hint="eastAsia" w:ascii="宋体" w:hAnsi="宋体" w:eastAsia="宋体" w:cs="Times New Roman"/>
          <w:b/>
          <w:sz w:val="72"/>
          <w:szCs w:val="72"/>
          <w:highlight w:val="none"/>
        </w:rPr>
        <w:t>件</w:t>
      </w:r>
    </w:p>
    <w:p w14:paraId="47C94181">
      <w:pPr>
        <w:rPr>
          <w:rFonts w:hint="eastAsia"/>
        </w:rPr>
      </w:pPr>
    </w:p>
    <w:bookmarkEnd w:id="3"/>
    <w:bookmarkEnd w:id="4"/>
    <w:bookmarkEnd w:id="5"/>
    <w:p w14:paraId="46DAB333">
      <w:pPr>
        <w:rPr>
          <w:rFonts w:hint="eastAsia"/>
        </w:rPr>
      </w:pPr>
    </w:p>
    <w:p w14:paraId="15C57F60">
      <w:pPr>
        <w:rPr>
          <w:rFonts w:hint="eastAsia"/>
        </w:rPr>
      </w:pPr>
    </w:p>
    <w:p w14:paraId="5E814545">
      <w:pPr>
        <w:rPr>
          <w:rFonts w:hint="eastAsia"/>
        </w:rPr>
      </w:pPr>
    </w:p>
    <w:p w14:paraId="7B01668A">
      <w:pPr>
        <w:rPr>
          <w:rFonts w:hint="eastAsia"/>
        </w:rPr>
      </w:pPr>
    </w:p>
    <w:p w14:paraId="2876E164">
      <w:pPr>
        <w:rPr>
          <w:rFonts w:hint="eastAsia"/>
        </w:rPr>
      </w:pPr>
    </w:p>
    <w:p w14:paraId="05F89520">
      <w:pPr>
        <w:pageBreakBefore w:val="0"/>
        <w:kinsoku/>
        <w:wordWrap/>
        <w:overflowPunct/>
        <w:topLinePunct w:val="0"/>
        <w:autoSpaceDE/>
        <w:autoSpaceDN/>
        <w:bidi w:val="0"/>
        <w:adjustRightInd w:val="0"/>
        <w:snapToGrid w:val="0"/>
        <w:spacing w:line="420" w:lineRule="auto"/>
        <w:ind w:left="0" w:leftChars="0"/>
        <w:jc w:val="center"/>
        <w:rPr>
          <w:rFonts w:hint="eastAsia" w:asciiTheme="minorEastAsia" w:hAnsiTheme="minorEastAsia" w:eastAsiaTheme="minorEastAsia" w:cstheme="minorEastAsia"/>
          <w:b/>
          <w:sz w:val="36"/>
          <w:szCs w:val="36"/>
        </w:rPr>
      </w:pPr>
    </w:p>
    <w:p w14:paraId="52962DEF">
      <w:pPr>
        <w:pageBreakBefore w:val="0"/>
        <w:kinsoku/>
        <w:wordWrap/>
        <w:overflowPunct/>
        <w:topLinePunct w:val="0"/>
        <w:autoSpaceDE/>
        <w:autoSpaceDN/>
        <w:bidi w:val="0"/>
        <w:adjustRightInd w:val="0"/>
        <w:snapToGrid w:val="0"/>
        <w:spacing w:line="420" w:lineRule="auto"/>
        <w:ind w:left="0" w:leftChars="0"/>
        <w:jc w:val="center"/>
        <w:rPr>
          <w:rFonts w:hint="eastAsia"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sz w:val="36"/>
          <w:szCs w:val="36"/>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LOdObVAAAACQEAAA8AAAAAAAAAAQAgAAAAIgAAAGRycy9kb3ducmV2LnhtbFBLAQIUABQAAAAI&#10;AIdO4kB4327X8AEAAOADAAAOAAAAAAAAAAEAIAAAACQBAABkcnMvZTJvRG9jLnhtbFBLBQYAAAAA&#10;BgAGAFkBAACGBQ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sz w:val="36"/>
          <w:szCs w:val="36"/>
        </w:rPr>
        <w:t>采购</w:t>
      </w:r>
      <w:r>
        <w:rPr>
          <w:rFonts w:hint="eastAsia" w:asciiTheme="minorEastAsia" w:hAnsiTheme="minorEastAsia" w:eastAsiaTheme="minorEastAsia" w:cstheme="minorEastAsia"/>
          <w:b/>
          <w:bCs w:val="0"/>
          <w:sz w:val="36"/>
          <w:szCs w:val="36"/>
        </w:rPr>
        <w:t>单位：</w:t>
      </w:r>
      <w:r>
        <w:rPr>
          <w:rFonts w:hint="eastAsia" w:asciiTheme="minorEastAsia" w:hAnsiTheme="minorEastAsia" w:eastAsiaTheme="minorEastAsia" w:cstheme="minorEastAsia"/>
          <w:b/>
          <w:bCs w:val="0"/>
          <w:sz w:val="36"/>
          <w:szCs w:val="36"/>
          <w:lang w:val="en-US" w:eastAsia="zh-CN"/>
        </w:rPr>
        <w:t>海南卫生健康职业学院</w:t>
      </w:r>
    </w:p>
    <w:p w14:paraId="13D59A8D">
      <w:pPr>
        <w:pageBreakBefore w:val="0"/>
        <w:kinsoku/>
        <w:wordWrap/>
        <w:overflowPunct/>
        <w:topLinePunct w:val="0"/>
        <w:autoSpaceDE/>
        <w:autoSpaceDN/>
        <w:bidi w:val="0"/>
        <w:adjustRightInd w:val="0"/>
        <w:snapToGrid w:val="0"/>
        <w:spacing w:line="420" w:lineRule="auto"/>
        <w:ind w:left="0" w:leftChars="0"/>
        <w:jc w:val="center"/>
        <w:rPr>
          <w:rFonts w:hint="default" w:asciiTheme="minorEastAsia" w:hAnsiTheme="minorEastAsia" w:eastAsiaTheme="minorEastAsia" w:cstheme="minorEastAsia"/>
          <w:b/>
          <w:sz w:val="36"/>
          <w:szCs w:val="36"/>
          <w:lang w:val="en-US"/>
        </w:rPr>
        <w:sectPr>
          <w:headerReference r:id="rId4" w:type="first"/>
          <w:headerReference r:id="rId3" w:type="default"/>
          <w:pgSz w:w="11907" w:h="16840"/>
          <w:pgMar w:top="1247" w:right="1587" w:bottom="1418" w:left="1587" w:header="851" w:footer="851" w:gutter="0"/>
          <w:pgBorders>
            <w:top w:val="none" w:sz="0" w:space="0"/>
            <w:left w:val="none" w:sz="0" w:space="0"/>
            <w:bottom w:val="none" w:sz="0" w:space="0"/>
            <w:right w:val="none" w:sz="0" w:space="0"/>
          </w:pgBorders>
          <w:pgNumType w:fmt="numberInDash"/>
          <w:cols w:space="720" w:num="1"/>
          <w:docGrid w:linePitch="381" w:charSpace="-3931"/>
        </w:sectPr>
      </w:pPr>
      <w:r>
        <w:rPr>
          <w:rFonts w:hint="eastAsia" w:asciiTheme="minorEastAsia" w:hAnsiTheme="minorEastAsia" w:eastAsiaTheme="minorEastAsia" w:cstheme="minorEastAsia"/>
          <w:b/>
          <w:sz w:val="36"/>
          <w:szCs w:val="36"/>
        </w:rPr>
        <w:t>编制时间：</w:t>
      </w:r>
      <w:r>
        <w:rPr>
          <w:rFonts w:hint="eastAsia" w:asciiTheme="minorEastAsia" w:hAnsiTheme="minorEastAsia" w:eastAsiaTheme="minorEastAsia" w:cstheme="minorEastAsia"/>
          <w:b/>
          <w:sz w:val="36"/>
          <w:szCs w:val="36"/>
          <w:lang w:val="en-US" w:eastAsia="zh-CN"/>
        </w:rPr>
        <w:t>2025</w:t>
      </w:r>
      <w:r>
        <w:rPr>
          <w:rFonts w:hint="eastAsia" w:asciiTheme="minorEastAsia" w:hAnsiTheme="minorEastAsia" w:eastAsiaTheme="minorEastAsia" w:cstheme="minorEastAsia"/>
          <w:b/>
          <w:sz w:val="36"/>
          <w:szCs w:val="36"/>
        </w:rPr>
        <w:t>年</w:t>
      </w:r>
      <w:r>
        <w:rPr>
          <w:rFonts w:hint="eastAsia" w:asciiTheme="minorEastAsia" w:hAnsiTheme="minorEastAsia" w:eastAsiaTheme="minorEastAsia" w:cstheme="minorEastAsia"/>
          <w:b/>
          <w:sz w:val="36"/>
          <w:szCs w:val="36"/>
          <w:lang w:val="en-US" w:eastAsia="zh-CN"/>
        </w:rPr>
        <w:t>5月1日</w:t>
      </w:r>
    </w:p>
    <w:p w14:paraId="6FB2BB41">
      <w:pPr>
        <w:pStyle w:val="13"/>
        <w:tabs>
          <w:tab w:val="right" w:leader="dot" w:pos="9746"/>
        </w:tabs>
        <w:jc w:val="center"/>
        <w:rPr>
          <w:rStyle w:val="23"/>
          <w:rFonts w:hint="eastAsia" w:asciiTheme="minorEastAsia" w:hAnsiTheme="minorEastAsia" w:eastAsiaTheme="minorEastAsia" w:cstheme="minorEastAsia"/>
          <w:b/>
          <w:sz w:val="32"/>
          <w:szCs w:val="32"/>
          <w:highlight w:val="none"/>
          <w:lang w:val="en-US" w:eastAsia="zh-CN"/>
        </w:rPr>
      </w:pPr>
      <w:bookmarkStart w:id="6" w:name="_Toc3643"/>
      <w:bookmarkStart w:id="7" w:name="_Toc356491305"/>
      <w:bookmarkStart w:id="8" w:name="_Toc40089788"/>
      <w:r>
        <w:rPr>
          <w:rStyle w:val="23"/>
          <w:rFonts w:hint="eastAsia" w:asciiTheme="minorEastAsia" w:hAnsiTheme="minorEastAsia" w:eastAsiaTheme="minorEastAsia" w:cstheme="minorEastAsia"/>
          <w:b/>
          <w:sz w:val="32"/>
          <w:szCs w:val="32"/>
          <w:highlight w:val="none"/>
          <w:lang w:val="en-US" w:eastAsia="zh-CN"/>
        </w:rPr>
        <w:t>目 录</w:t>
      </w:r>
    </w:p>
    <w:bookmarkEnd w:id="6"/>
    <w:p w14:paraId="282BC39C">
      <w:pPr>
        <w:pStyle w:val="13"/>
        <w:tabs>
          <w:tab w:val="right" w:leader="dot" w:pos="9746"/>
        </w:tabs>
      </w:pPr>
      <w:r>
        <w:rPr>
          <w:rStyle w:val="23"/>
          <w:rFonts w:hint="eastAsia" w:ascii="仿宋_GB2312" w:hAnsi="仿宋_GB2312" w:eastAsia="仿宋_GB2312" w:cs="仿宋_GB2312"/>
          <w:b/>
          <w:sz w:val="32"/>
          <w:szCs w:val="32"/>
          <w:highlight w:val="none"/>
        </w:rPr>
        <w:fldChar w:fldCharType="begin"/>
      </w:r>
      <w:r>
        <w:rPr>
          <w:rStyle w:val="23"/>
          <w:rFonts w:hint="eastAsia" w:ascii="仿宋_GB2312" w:hAnsi="仿宋_GB2312" w:eastAsia="仿宋_GB2312" w:cs="仿宋_GB2312"/>
          <w:b/>
          <w:sz w:val="32"/>
          <w:szCs w:val="32"/>
          <w:highlight w:val="none"/>
        </w:rPr>
        <w:instrText xml:space="preserve">TOC \o "1-2" \h \u </w:instrText>
      </w:r>
      <w:r>
        <w:rPr>
          <w:rStyle w:val="23"/>
          <w:rFonts w:hint="eastAsia" w:ascii="仿宋_GB2312" w:hAnsi="仿宋_GB2312" w:eastAsia="仿宋_GB2312" w:cs="仿宋_GB2312"/>
          <w:b/>
          <w:sz w:val="32"/>
          <w:szCs w:val="32"/>
          <w:highlight w:val="none"/>
        </w:rPr>
        <w:fldChar w:fldCharType="separate"/>
      </w:r>
      <w:r>
        <w:rPr>
          <w:rFonts w:hint="eastAsia" w:ascii="仿宋_GB2312" w:hAnsi="仿宋_GB2312" w:eastAsia="仿宋_GB2312" w:cs="仿宋_GB2312"/>
          <w:szCs w:val="32"/>
          <w:highlight w:val="none"/>
        </w:rPr>
        <w:fldChar w:fldCharType="begin"/>
      </w:r>
      <w:r>
        <w:rPr>
          <w:rFonts w:hint="eastAsia" w:ascii="仿宋_GB2312" w:hAnsi="仿宋_GB2312" w:eastAsia="仿宋_GB2312" w:cs="仿宋_GB2312"/>
          <w:szCs w:val="32"/>
          <w:highlight w:val="none"/>
        </w:rPr>
        <w:instrText xml:space="preserve"> HYPERLINK \l _Toc3643 </w:instrText>
      </w:r>
      <w:r>
        <w:rPr>
          <w:rFonts w:hint="eastAsia" w:ascii="仿宋_GB2312" w:hAnsi="仿宋_GB2312" w:eastAsia="仿宋_GB2312" w:cs="仿宋_GB2312"/>
          <w:szCs w:val="32"/>
          <w:highlight w:val="none"/>
        </w:rPr>
        <w:fldChar w:fldCharType="separate"/>
      </w:r>
      <w:r>
        <w:rPr>
          <w:rFonts w:hint="eastAsia" w:asciiTheme="minorEastAsia" w:hAnsiTheme="minorEastAsia" w:eastAsiaTheme="minorEastAsia" w:cstheme="minorEastAsia"/>
          <w:szCs w:val="32"/>
          <w:highlight w:val="none"/>
          <w:lang w:val="en-US" w:eastAsia="zh-CN"/>
        </w:rPr>
        <w:t>目 录</w:t>
      </w:r>
      <w:r>
        <w:tab/>
      </w:r>
      <w:r>
        <w:fldChar w:fldCharType="begin"/>
      </w:r>
      <w:r>
        <w:instrText xml:space="preserve"> PAGEREF _Toc3643 \h </w:instrText>
      </w:r>
      <w:r>
        <w:fldChar w:fldCharType="separate"/>
      </w:r>
      <w:r>
        <w:t>- 1 -</w:t>
      </w:r>
      <w:r>
        <w:fldChar w:fldCharType="end"/>
      </w:r>
      <w:r>
        <w:rPr>
          <w:rFonts w:hint="eastAsia" w:ascii="仿宋_GB2312" w:hAnsi="仿宋_GB2312" w:eastAsia="仿宋_GB2312" w:cs="仿宋_GB2312"/>
          <w:szCs w:val="32"/>
          <w:highlight w:val="none"/>
        </w:rPr>
        <w:fldChar w:fldCharType="end"/>
      </w:r>
    </w:p>
    <w:p w14:paraId="565CCFF8">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_Toc12086 </w:instrText>
      </w:r>
      <w:r>
        <w:rPr>
          <w:rFonts w:hint="eastAsia" w:ascii="仿宋_GB2312" w:hAnsi="仿宋_GB2312" w:eastAsia="仿宋_GB2312" w:cs="仿宋_GB2312"/>
          <w:szCs w:val="32"/>
        </w:rPr>
        <w:fldChar w:fldCharType="separate"/>
      </w:r>
      <w:r>
        <w:rPr>
          <w:rFonts w:hint="eastAsia" w:asciiTheme="minorEastAsia" w:hAnsiTheme="minorEastAsia" w:eastAsiaTheme="minorEastAsia" w:cstheme="minorEastAsia"/>
          <w:szCs w:val="44"/>
          <w:highlight w:val="none"/>
        </w:rPr>
        <w:t>第一部分 竞争性谈判公告</w:t>
      </w:r>
      <w:r>
        <w:tab/>
      </w:r>
      <w:r>
        <w:fldChar w:fldCharType="begin"/>
      </w:r>
      <w:r>
        <w:instrText xml:space="preserve"> PAGEREF _Toc12086 \h </w:instrText>
      </w:r>
      <w:r>
        <w:fldChar w:fldCharType="separate"/>
      </w:r>
      <w:r>
        <w:t>- 2 -</w:t>
      </w:r>
      <w:r>
        <w:fldChar w:fldCharType="end"/>
      </w:r>
      <w:r>
        <w:rPr>
          <w:rFonts w:hint="eastAsia" w:ascii="仿宋_GB2312" w:hAnsi="仿宋_GB2312" w:eastAsia="仿宋_GB2312" w:cs="仿宋_GB2312"/>
          <w:szCs w:val="32"/>
        </w:rPr>
        <w:fldChar w:fldCharType="end"/>
      </w:r>
    </w:p>
    <w:p w14:paraId="1373AC69">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_Toc2309 </w:instrText>
      </w:r>
      <w:r>
        <w:rPr>
          <w:rFonts w:hint="eastAsia" w:ascii="仿宋_GB2312" w:hAnsi="仿宋_GB2312" w:eastAsia="仿宋_GB2312" w:cs="仿宋_GB2312"/>
          <w:szCs w:val="32"/>
        </w:rPr>
        <w:fldChar w:fldCharType="separate"/>
      </w:r>
      <w:r>
        <w:rPr>
          <w:rFonts w:hint="eastAsia" w:ascii="宋体" w:hAnsi="宋体" w:eastAsia="宋体" w:cs="宋体"/>
          <w:szCs w:val="44"/>
        </w:rPr>
        <w:t>第二部分  开标、评标、定标</w:t>
      </w:r>
      <w:r>
        <w:tab/>
      </w:r>
      <w:r>
        <w:fldChar w:fldCharType="begin"/>
      </w:r>
      <w:r>
        <w:instrText xml:space="preserve"> PAGEREF _Toc2309 \h </w:instrText>
      </w:r>
      <w:r>
        <w:fldChar w:fldCharType="separate"/>
      </w:r>
      <w:r>
        <w:t>- 5 -</w:t>
      </w:r>
      <w:r>
        <w:fldChar w:fldCharType="end"/>
      </w:r>
      <w:r>
        <w:rPr>
          <w:rFonts w:hint="eastAsia" w:ascii="仿宋_GB2312" w:hAnsi="仿宋_GB2312" w:eastAsia="仿宋_GB2312" w:cs="仿宋_GB2312"/>
          <w:szCs w:val="32"/>
        </w:rPr>
        <w:fldChar w:fldCharType="end"/>
      </w:r>
    </w:p>
    <w:p w14:paraId="5EAC214D">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_Toc23108 </w:instrText>
      </w:r>
      <w:r>
        <w:rPr>
          <w:rFonts w:hint="eastAsia" w:ascii="仿宋_GB2312" w:hAnsi="仿宋_GB2312" w:eastAsia="仿宋_GB2312" w:cs="仿宋_GB2312"/>
          <w:szCs w:val="32"/>
        </w:rPr>
        <w:fldChar w:fldCharType="separate"/>
      </w:r>
      <w:r>
        <w:rPr>
          <w:rFonts w:hint="eastAsia" w:ascii="宋体" w:hAnsi="宋体" w:eastAsia="宋体" w:cs="宋体"/>
          <w:szCs w:val="44"/>
        </w:rPr>
        <w:t>第三部分 授予合同</w:t>
      </w:r>
      <w:r>
        <w:tab/>
      </w:r>
      <w:r>
        <w:fldChar w:fldCharType="begin"/>
      </w:r>
      <w:r>
        <w:instrText xml:space="preserve"> PAGEREF _Toc23108 \h </w:instrText>
      </w:r>
      <w:r>
        <w:fldChar w:fldCharType="separate"/>
      </w:r>
      <w:r>
        <w:t>- 11 -</w:t>
      </w:r>
      <w:r>
        <w:fldChar w:fldCharType="end"/>
      </w:r>
      <w:r>
        <w:rPr>
          <w:rFonts w:hint="eastAsia" w:ascii="仿宋_GB2312" w:hAnsi="仿宋_GB2312" w:eastAsia="仿宋_GB2312" w:cs="仿宋_GB2312"/>
          <w:szCs w:val="32"/>
        </w:rPr>
        <w:fldChar w:fldCharType="end"/>
      </w:r>
    </w:p>
    <w:p w14:paraId="4D70542B">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_Toc19372 </w:instrText>
      </w:r>
      <w:r>
        <w:rPr>
          <w:rFonts w:hint="eastAsia" w:ascii="仿宋_GB2312" w:hAnsi="仿宋_GB2312" w:eastAsia="仿宋_GB2312" w:cs="仿宋_GB2312"/>
          <w:szCs w:val="32"/>
        </w:rPr>
        <w:fldChar w:fldCharType="separate"/>
      </w:r>
      <w:r>
        <w:rPr>
          <w:rFonts w:hint="eastAsia" w:hAnsi="宋体" w:cs="宋体"/>
          <w:highlight w:val="none"/>
        </w:rPr>
        <w:t xml:space="preserve">第四部分 </w:t>
      </w:r>
      <w:r>
        <w:rPr>
          <w:rFonts w:hint="eastAsia" w:hAnsi="宋体" w:cs="宋体"/>
          <w:highlight w:val="none"/>
          <w:lang w:val="en-US" w:eastAsia="zh-CN"/>
        </w:rPr>
        <w:t>项目需</w:t>
      </w:r>
      <w:r>
        <w:rPr>
          <w:rFonts w:hint="eastAsia" w:hAnsi="宋体" w:cs="宋体"/>
          <w:highlight w:val="none"/>
        </w:rPr>
        <w:t>求及说明</w:t>
      </w:r>
      <w:r>
        <w:tab/>
      </w:r>
      <w:r>
        <w:fldChar w:fldCharType="begin"/>
      </w:r>
      <w:r>
        <w:instrText xml:space="preserve"> PAGEREF _Toc19372 \h </w:instrText>
      </w:r>
      <w:r>
        <w:fldChar w:fldCharType="separate"/>
      </w:r>
      <w:r>
        <w:t>- 16 -</w:t>
      </w:r>
      <w:r>
        <w:fldChar w:fldCharType="end"/>
      </w:r>
      <w:r>
        <w:rPr>
          <w:rFonts w:hint="eastAsia" w:ascii="仿宋_GB2312" w:hAnsi="仿宋_GB2312" w:eastAsia="仿宋_GB2312" w:cs="仿宋_GB2312"/>
          <w:szCs w:val="32"/>
        </w:rPr>
        <w:fldChar w:fldCharType="end"/>
      </w:r>
    </w:p>
    <w:p w14:paraId="7EEB8F43">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_Toc1144 </w:instrText>
      </w:r>
      <w:r>
        <w:rPr>
          <w:rFonts w:hint="eastAsia" w:ascii="仿宋_GB2312" w:hAnsi="仿宋_GB2312" w:eastAsia="仿宋_GB2312" w:cs="仿宋_GB2312"/>
          <w:szCs w:val="32"/>
        </w:rPr>
        <w:fldChar w:fldCharType="separate"/>
      </w:r>
      <w:r>
        <w:rPr>
          <w:rFonts w:hint="eastAsia" w:hAnsi="宋体" w:cs="宋体"/>
          <w:szCs w:val="44"/>
        </w:rPr>
        <w:t>第五部分 报价文件格式</w:t>
      </w:r>
      <w:r>
        <w:tab/>
      </w:r>
      <w:r>
        <w:fldChar w:fldCharType="begin"/>
      </w:r>
      <w:r>
        <w:instrText xml:space="preserve"> PAGEREF _Toc1144 \h </w:instrText>
      </w:r>
      <w:r>
        <w:fldChar w:fldCharType="separate"/>
      </w:r>
      <w:r>
        <w:t>- 17 -</w:t>
      </w:r>
      <w:r>
        <w:fldChar w:fldCharType="end"/>
      </w:r>
      <w:r>
        <w:rPr>
          <w:rFonts w:hint="eastAsia" w:ascii="仿宋_GB2312" w:hAnsi="仿宋_GB2312" w:eastAsia="仿宋_GB2312" w:cs="仿宋_GB2312"/>
          <w:szCs w:val="32"/>
        </w:rPr>
        <w:fldChar w:fldCharType="end"/>
      </w:r>
    </w:p>
    <w:p w14:paraId="6B419091">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_Toc15803 </w:instrText>
      </w:r>
      <w:r>
        <w:rPr>
          <w:rFonts w:hint="eastAsia" w:ascii="仿宋_GB2312" w:hAnsi="仿宋_GB2312" w:eastAsia="仿宋_GB2312" w:cs="仿宋_GB2312"/>
          <w:szCs w:val="32"/>
        </w:rPr>
        <w:fldChar w:fldCharType="separate"/>
      </w:r>
      <w:r>
        <w:rPr>
          <w:rFonts w:hint="eastAsia"/>
          <w:lang w:val="en-US" w:eastAsia="zh-CN"/>
        </w:rPr>
        <w:t>一、商务部分</w:t>
      </w:r>
      <w:r>
        <w:tab/>
      </w:r>
      <w:r>
        <w:fldChar w:fldCharType="begin"/>
      </w:r>
      <w:r>
        <w:instrText xml:space="preserve"> PAGEREF _Toc15803 \h </w:instrText>
      </w:r>
      <w:r>
        <w:fldChar w:fldCharType="separate"/>
      </w:r>
      <w:r>
        <w:t>- 20 -</w:t>
      </w:r>
      <w:r>
        <w:fldChar w:fldCharType="end"/>
      </w:r>
      <w:r>
        <w:rPr>
          <w:rFonts w:hint="eastAsia" w:ascii="仿宋_GB2312" w:hAnsi="仿宋_GB2312" w:eastAsia="仿宋_GB2312" w:cs="仿宋_GB2312"/>
          <w:szCs w:val="32"/>
        </w:rPr>
        <w:fldChar w:fldCharType="end"/>
      </w:r>
    </w:p>
    <w:p w14:paraId="2872C87C">
      <w:pPr>
        <w:pStyle w:val="14"/>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_Toc1771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szCs w:val="36"/>
        </w:rPr>
        <w:t>附件1</w:t>
      </w:r>
      <w:r>
        <w:tab/>
      </w:r>
      <w:r>
        <w:fldChar w:fldCharType="begin"/>
      </w:r>
      <w:r>
        <w:instrText xml:space="preserve"> PAGEREF _Toc1771 \h </w:instrText>
      </w:r>
      <w:r>
        <w:fldChar w:fldCharType="separate"/>
      </w:r>
      <w:r>
        <w:t>- 20 -</w:t>
      </w:r>
      <w:r>
        <w:fldChar w:fldCharType="end"/>
      </w:r>
      <w:r>
        <w:rPr>
          <w:rFonts w:hint="eastAsia" w:ascii="仿宋_GB2312" w:hAnsi="仿宋_GB2312" w:eastAsia="仿宋_GB2312" w:cs="仿宋_GB2312"/>
          <w:szCs w:val="32"/>
        </w:rPr>
        <w:fldChar w:fldCharType="end"/>
      </w:r>
    </w:p>
    <w:p w14:paraId="0427FDC2">
      <w:pPr>
        <w:pStyle w:val="14"/>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_Toc11421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szCs w:val="36"/>
        </w:rPr>
        <w:t>附件2</w:t>
      </w:r>
      <w:r>
        <w:tab/>
      </w:r>
      <w:r>
        <w:fldChar w:fldCharType="begin"/>
      </w:r>
      <w:r>
        <w:instrText xml:space="preserve"> PAGEREF _Toc11421 \h </w:instrText>
      </w:r>
      <w:r>
        <w:fldChar w:fldCharType="separate"/>
      </w:r>
      <w:r>
        <w:t>- 21 -</w:t>
      </w:r>
      <w:r>
        <w:fldChar w:fldCharType="end"/>
      </w:r>
      <w:r>
        <w:rPr>
          <w:rFonts w:hint="eastAsia" w:ascii="仿宋_GB2312" w:hAnsi="仿宋_GB2312" w:eastAsia="仿宋_GB2312" w:cs="仿宋_GB2312"/>
          <w:szCs w:val="32"/>
        </w:rPr>
        <w:fldChar w:fldCharType="end"/>
      </w:r>
    </w:p>
    <w:p w14:paraId="167E2C67">
      <w:pPr>
        <w:pStyle w:val="14"/>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_Toc22324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kern w:val="0"/>
          <w:szCs w:val="36"/>
          <w:lang w:val="en-US" w:eastAsia="zh-CN" w:bidi="ar-SA"/>
        </w:rPr>
        <w:t>附件3</w:t>
      </w:r>
      <w:r>
        <w:tab/>
      </w:r>
      <w:r>
        <w:fldChar w:fldCharType="begin"/>
      </w:r>
      <w:r>
        <w:instrText xml:space="preserve"> PAGEREF _Toc22324 \h </w:instrText>
      </w:r>
      <w:r>
        <w:fldChar w:fldCharType="separate"/>
      </w:r>
      <w:r>
        <w:t>- 22 -</w:t>
      </w:r>
      <w:r>
        <w:fldChar w:fldCharType="end"/>
      </w:r>
      <w:r>
        <w:rPr>
          <w:rFonts w:hint="eastAsia" w:ascii="仿宋_GB2312" w:hAnsi="仿宋_GB2312" w:eastAsia="仿宋_GB2312" w:cs="仿宋_GB2312"/>
          <w:szCs w:val="32"/>
        </w:rPr>
        <w:fldChar w:fldCharType="end"/>
      </w:r>
    </w:p>
    <w:p w14:paraId="3F964E79">
      <w:pPr>
        <w:pStyle w:val="14"/>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_Toc26136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kern w:val="0"/>
          <w:szCs w:val="36"/>
          <w:lang w:val="en-US" w:eastAsia="zh-CN" w:bidi="ar-SA"/>
        </w:rPr>
        <w:t>附件4</w:t>
      </w:r>
      <w:r>
        <w:tab/>
      </w:r>
      <w:r>
        <w:fldChar w:fldCharType="begin"/>
      </w:r>
      <w:r>
        <w:instrText xml:space="preserve"> PAGEREF _Toc26136 \h </w:instrText>
      </w:r>
      <w:r>
        <w:fldChar w:fldCharType="separate"/>
      </w:r>
      <w:r>
        <w:t>- 23 -</w:t>
      </w:r>
      <w:r>
        <w:fldChar w:fldCharType="end"/>
      </w:r>
      <w:r>
        <w:rPr>
          <w:rFonts w:hint="eastAsia" w:ascii="仿宋_GB2312" w:hAnsi="仿宋_GB2312" w:eastAsia="仿宋_GB2312" w:cs="仿宋_GB2312"/>
          <w:szCs w:val="32"/>
        </w:rPr>
        <w:fldChar w:fldCharType="end"/>
      </w:r>
    </w:p>
    <w:p w14:paraId="6F8EFD56">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_Toc10334 </w:instrText>
      </w:r>
      <w:r>
        <w:rPr>
          <w:rFonts w:hint="eastAsia" w:ascii="仿宋_GB2312" w:hAnsi="仿宋_GB2312" w:eastAsia="仿宋_GB2312" w:cs="仿宋_GB2312"/>
          <w:szCs w:val="32"/>
        </w:rPr>
        <w:fldChar w:fldCharType="separate"/>
      </w:r>
      <w:r>
        <w:rPr>
          <w:rFonts w:hint="eastAsia" w:hAnsi="Times New Roman" w:cs="Times New Roman"/>
          <w:lang w:val="en-US" w:eastAsia="zh-CN"/>
        </w:rPr>
        <w:t>二、 资信部分</w:t>
      </w:r>
      <w:r>
        <w:tab/>
      </w:r>
      <w:r>
        <w:fldChar w:fldCharType="begin"/>
      </w:r>
      <w:r>
        <w:instrText xml:space="preserve"> PAGEREF _Toc10334 \h </w:instrText>
      </w:r>
      <w:r>
        <w:fldChar w:fldCharType="separate"/>
      </w:r>
      <w:r>
        <w:t>- 25 -</w:t>
      </w:r>
      <w:r>
        <w:fldChar w:fldCharType="end"/>
      </w:r>
      <w:r>
        <w:rPr>
          <w:rFonts w:hint="eastAsia" w:ascii="仿宋_GB2312" w:hAnsi="仿宋_GB2312" w:eastAsia="仿宋_GB2312" w:cs="仿宋_GB2312"/>
          <w:szCs w:val="32"/>
        </w:rPr>
        <w:fldChar w:fldCharType="end"/>
      </w:r>
    </w:p>
    <w:p w14:paraId="4F68CCF3">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_Toc999 </w:instrText>
      </w:r>
      <w:r>
        <w:rPr>
          <w:rFonts w:hint="eastAsia" w:ascii="仿宋_GB2312" w:hAnsi="仿宋_GB2312" w:eastAsia="仿宋_GB2312" w:cs="仿宋_GB2312"/>
          <w:szCs w:val="32"/>
        </w:rPr>
        <w:fldChar w:fldCharType="separate"/>
      </w:r>
      <w:r>
        <w:rPr>
          <w:rFonts w:hint="eastAsia" w:hAnsi="Times New Roman" w:cs="Times New Roman"/>
          <w:lang w:val="en-US" w:eastAsia="zh-CN"/>
        </w:rPr>
        <w:t>三、 技术部分</w:t>
      </w:r>
      <w:r>
        <w:tab/>
      </w:r>
      <w:r>
        <w:fldChar w:fldCharType="begin"/>
      </w:r>
      <w:r>
        <w:instrText xml:space="preserve"> PAGEREF _Toc999 \h </w:instrText>
      </w:r>
      <w:r>
        <w:fldChar w:fldCharType="separate"/>
      </w:r>
      <w:r>
        <w:t>- 26 -</w:t>
      </w:r>
      <w:r>
        <w:fldChar w:fldCharType="end"/>
      </w:r>
      <w:r>
        <w:rPr>
          <w:rFonts w:hint="eastAsia" w:ascii="仿宋_GB2312" w:hAnsi="仿宋_GB2312" w:eastAsia="仿宋_GB2312" w:cs="仿宋_GB2312"/>
          <w:szCs w:val="32"/>
        </w:rPr>
        <w:fldChar w:fldCharType="end"/>
      </w:r>
    </w:p>
    <w:p w14:paraId="6600F328">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_Toc31919 </w:instrText>
      </w:r>
      <w:r>
        <w:rPr>
          <w:rFonts w:hint="eastAsia" w:ascii="仿宋_GB2312" w:hAnsi="仿宋_GB2312" w:eastAsia="仿宋_GB2312" w:cs="仿宋_GB2312"/>
          <w:szCs w:val="32"/>
        </w:rPr>
        <w:fldChar w:fldCharType="separate"/>
      </w:r>
      <w:r>
        <w:rPr>
          <w:rFonts w:hint="eastAsia" w:hAnsi="Times New Roman" w:cs="Times New Roman"/>
          <w:lang w:val="en-US" w:eastAsia="zh-CN"/>
        </w:rPr>
        <w:t>四、报价部分</w:t>
      </w:r>
      <w:r>
        <w:tab/>
      </w:r>
      <w:r>
        <w:fldChar w:fldCharType="begin"/>
      </w:r>
      <w:r>
        <w:instrText xml:space="preserve"> PAGEREF _Toc31919 \h </w:instrText>
      </w:r>
      <w:r>
        <w:fldChar w:fldCharType="separate"/>
      </w:r>
      <w:r>
        <w:t>- 27 -</w:t>
      </w:r>
      <w:r>
        <w:fldChar w:fldCharType="end"/>
      </w:r>
      <w:r>
        <w:rPr>
          <w:rFonts w:hint="eastAsia" w:ascii="仿宋_GB2312" w:hAnsi="仿宋_GB2312" w:eastAsia="仿宋_GB2312" w:cs="仿宋_GB2312"/>
          <w:szCs w:val="32"/>
        </w:rPr>
        <w:fldChar w:fldCharType="end"/>
      </w:r>
    </w:p>
    <w:p w14:paraId="6D7DBD2B">
      <w:pPr>
        <w:pStyle w:val="14"/>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_Toc22751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6"/>
        </w:rPr>
        <w:t>附件</w:t>
      </w:r>
      <w:r>
        <w:rPr>
          <w:rFonts w:hint="eastAsia" w:ascii="仿宋_GB2312" w:hAnsi="仿宋_GB2312" w:eastAsia="仿宋_GB2312" w:cs="仿宋_GB2312"/>
          <w:szCs w:val="36"/>
          <w:lang w:val="en-US" w:eastAsia="zh-CN"/>
        </w:rPr>
        <w:t>5</w:t>
      </w:r>
      <w:r>
        <w:tab/>
      </w:r>
      <w:r>
        <w:fldChar w:fldCharType="begin"/>
      </w:r>
      <w:r>
        <w:instrText xml:space="preserve"> PAGEREF _Toc22751 \h </w:instrText>
      </w:r>
      <w:r>
        <w:fldChar w:fldCharType="separate"/>
      </w:r>
      <w:r>
        <w:t>- 27 -</w:t>
      </w:r>
      <w:r>
        <w:fldChar w:fldCharType="end"/>
      </w:r>
      <w:r>
        <w:rPr>
          <w:rFonts w:hint="eastAsia" w:ascii="仿宋_GB2312" w:hAnsi="仿宋_GB2312" w:eastAsia="仿宋_GB2312" w:cs="仿宋_GB2312"/>
          <w:szCs w:val="32"/>
        </w:rPr>
        <w:fldChar w:fldCharType="end"/>
      </w:r>
    </w:p>
    <w:p w14:paraId="087820CC">
      <w:pPr>
        <w:pStyle w:val="14"/>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_Toc30373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rPr>
        <w:t>附件</w:t>
      </w:r>
      <w:r>
        <w:rPr>
          <w:rFonts w:hint="eastAsia" w:ascii="仿宋_GB2312" w:hAnsi="仿宋_GB2312" w:eastAsia="仿宋_GB2312" w:cs="仿宋_GB2312"/>
          <w:lang w:val="en-US" w:eastAsia="zh-CN"/>
        </w:rPr>
        <w:t>6</w:t>
      </w:r>
      <w:r>
        <w:tab/>
      </w:r>
      <w:r>
        <w:fldChar w:fldCharType="begin"/>
      </w:r>
      <w:r>
        <w:instrText xml:space="preserve"> PAGEREF _Toc30373 \h </w:instrText>
      </w:r>
      <w:r>
        <w:fldChar w:fldCharType="separate"/>
      </w:r>
      <w:r>
        <w:t>- 28 -</w:t>
      </w:r>
      <w:r>
        <w:fldChar w:fldCharType="end"/>
      </w:r>
      <w:r>
        <w:rPr>
          <w:rFonts w:hint="eastAsia" w:ascii="仿宋_GB2312" w:hAnsi="仿宋_GB2312" w:eastAsia="仿宋_GB2312" w:cs="仿宋_GB2312"/>
          <w:szCs w:val="32"/>
        </w:rPr>
        <w:fldChar w:fldCharType="end"/>
      </w:r>
    </w:p>
    <w:p w14:paraId="4B5C5BBD">
      <w:pPr>
        <w:pStyle w:val="14"/>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_Toc13443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封套格式</w:t>
      </w:r>
      <w:r>
        <w:tab/>
      </w:r>
      <w:r>
        <w:fldChar w:fldCharType="begin"/>
      </w:r>
      <w:r>
        <w:instrText xml:space="preserve"> PAGEREF _Toc13443 \h </w:instrText>
      </w:r>
      <w:r>
        <w:fldChar w:fldCharType="separate"/>
      </w:r>
      <w:r>
        <w:t>- 28 -</w:t>
      </w:r>
      <w:r>
        <w:fldChar w:fldCharType="end"/>
      </w:r>
      <w:r>
        <w:rPr>
          <w:rFonts w:hint="eastAsia" w:ascii="仿宋_GB2312" w:hAnsi="仿宋_GB2312" w:eastAsia="仿宋_GB2312" w:cs="仿宋_GB2312"/>
          <w:szCs w:val="32"/>
        </w:rPr>
        <w:fldChar w:fldCharType="end"/>
      </w:r>
    </w:p>
    <w:p w14:paraId="71DD02D4">
      <w:pPr>
        <w:rPr>
          <w:rFonts w:hint="eastAsia"/>
        </w:rPr>
      </w:pPr>
      <w:r>
        <w:rPr>
          <w:rFonts w:hint="eastAsia" w:ascii="仿宋_GB2312" w:hAnsi="仿宋_GB2312" w:eastAsia="仿宋_GB2312" w:cs="仿宋_GB2312"/>
          <w:szCs w:val="32"/>
        </w:rPr>
        <w:fldChar w:fldCharType="end"/>
      </w:r>
    </w:p>
    <w:p w14:paraId="23CF07BB">
      <w:pPr>
        <w:rPr>
          <w:rFonts w:hint="eastAsia"/>
        </w:rPr>
      </w:pPr>
    </w:p>
    <w:p w14:paraId="1C86DED0">
      <w:pPr>
        <w:rPr>
          <w:rFonts w:hint="eastAsia"/>
        </w:rPr>
      </w:pPr>
    </w:p>
    <w:p w14:paraId="3AE2FCC5">
      <w:pPr>
        <w:rPr>
          <w:rFonts w:hint="eastAsia" w:eastAsia="宋体"/>
          <w:lang w:val="en-US" w:eastAsia="zh-CN"/>
        </w:rPr>
      </w:pPr>
    </w:p>
    <w:p w14:paraId="7F54B2A0">
      <w:pPr>
        <w:pStyle w:val="3"/>
        <w:bidi w:val="0"/>
        <w:rPr>
          <w:rFonts w:hint="eastAsia" w:asciiTheme="minorEastAsia" w:hAnsiTheme="minorEastAsia" w:eastAsiaTheme="minorEastAsia" w:cstheme="minorEastAsia"/>
          <w:sz w:val="44"/>
          <w:szCs w:val="44"/>
          <w:highlight w:val="none"/>
        </w:rPr>
      </w:pPr>
      <w:bookmarkStart w:id="9" w:name="_Toc12086"/>
      <w:r>
        <w:rPr>
          <w:rStyle w:val="23"/>
          <w:rFonts w:hint="eastAsia" w:asciiTheme="minorEastAsia" w:hAnsiTheme="minorEastAsia" w:eastAsiaTheme="minorEastAsia" w:cstheme="minorEastAsia"/>
          <w:b/>
          <w:sz w:val="44"/>
          <w:szCs w:val="44"/>
          <w:highlight w:val="none"/>
        </w:rPr>
        <w:t xml:space="preserve">第一部分 </w:t>
      </w:r>
      <w:bookmarkEnd w:id="7"/>
      <w:bookmarkEnd w:id="8"/>
      <w:r>
        <w:rPr>
          <w:rStyle w:val="23"/>
          <w:rFonts w:hint="eastAsia" w:asciiTheme="minorEastAsia" w:hAnsiTheme="minorEastAsia" w:eastAsiaTheme="minorEastAsia" w:cstheme="minorEastAsia"/>
          <w:b/>
          <w:sz w:val="44"/>
          <w:szCs w:val="44"/>
          <w:highlight w:val="none"/>
        </w:rPr>
        <w:t>竞争性谈判公告</w:t>
      </w:r>
      <w:bookmarkEnd w:id="9"/>
    </w:p>
    <w:p w14:paraId="123454F9">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firstLine="640" w:firstLineChars="200"/>
        <w:textAlignment w:val="auto"/>
        <w:rPr>
          <w:rFonts w:hint="eastAsia" w:ascii="黑体" w:hAnsi="黑体" w:eastAsia="黑体" w:cs="黑体"/>
          <w:b w:val="0"/>
          <w:bCs/>
          <w:sz w:val="32"/>
          <w:szCs w:val="32"/>
        </w:rPr>
      </w:pPr>
      <w:bookmarkStart w:id="10" w:name="_Toc325582066"/>
      <w:bookmarkStart w:id="11" w:name="_Toc325582571"/>
      <w:bookmarkStart w:id="12" w:name="_Toc325620702"/>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采购项目名称</w:t>
      </w:r>
    </w:p>
    <w:p w14:paraId="6A649934">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椰海校区小卖部房地产租赁价格评估项目（</w:t>
      </w:r>
      <w:r>
        <w:rPr>
          <w:rFonts w:hint="eastAsia" w:ascii="仿宋_GB2312" w:hAnsi="仿宋_GB2312" w:eastAsia="仿宋_GB2312" w:cs="仿宋_GB2312"/>
          <w:sz w:val="32"/>
          <w:szCs w:val="32"/>
          <w:lang w:val="en-US" w:eastAsia="zh-CN"/>
        </w:rPr>
        <w:t>二次招标</w:t>
      </w:r>
      <w:r>
        <w:rPr>
          <w:rFonts w:hint="eastAsia" w:ascii="仿宋_GB2312" w:hAnsi="仿宋_GB2312" w:eastAsia="仿宋_GB2312" w:cs="仿宋_GB2312"/>
          <w:sz w:val="32"/>
          <w:szCs w:val="32"/>
          <w:lang w:eastAsia="zh-CN"/>
        </w:rPr>
        <w:t>）</w:t>
      </w:r>
    </w:p>
    <w:p w14:paraId="5A1DD590">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采购项目编号</w:t>
      </w:r>
    </w:p>
    <w:p w14:paraId="7DF1FDE2">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HNWJY-FW2025011</w:t>
      </w:r>
    </w:p>
    <w:p w14:paraId="61665150">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三、采购项目</w:t>
      </w:r>
    </w:p>
    <w:tbl>
      <w:tblPr>
        <w:tblStyle w:val="18"/>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5866"/>
        <w:gridCol w:w="1617"/>
      </w:tblGrid>
      <w:tr w14:paraId="6EA6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8" w:type="dxa"/>
            <w:noWrap w:val="0"/>
            <w:vAlign w:val="center"/>
          </w:tcPr>
          <w:p w14:paraId="5BCCCACB">
            <w:pPr>
              <w:keepNext w:val="0"/>
              <w:keepLines w:val="0"/>
              <w:pageBreakBefore w:val="0"/>
              <w:kinsoku/>
              <w:wordWrap/>
              <w:overflowPunct/>
              <w:topLinePunct w:val="0"/>
              <w:autoSpaceDE/>
              <w:autoSpaceDN/>
              <w:bidi w:val="0"/>
              <w:adjustRightInd w:val="0"/>
              <w:snapToGrid w:val="0"/>
              <w:spacing w:line="520" w:lineRule="exact"/>
              <w:ind w:left="0" w:leftChars="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货物</w:t>
            </w:r>
          </w:p>
          <w:p w14:paraId="2F889532">
            <w:pPr>
              <w:keepNext w:val="0"/>
              <w:keepLines w:val="0"/>
              <w:pageBreakBefore w:val="0"/>
              <w:kinsoku/>
              <w:wordWrap/>
              <w:overflowPunct/>
              <w:topLinePunct w:val="0"/>
              <w:autoSpaceDE/>
              <w:autoSpaceDN/>
              <w:bidi w:val="0"/>
              <w:adjustRightInd w:val="0"/>
              <w:snapToGrid w:val="0"/>
              <w:spacing w:line="520" w:lineRule="exact"/>
              <w:ind w:left="0" w:leftChars="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名称</w:t>
            </w:r>
          </w:p>
        </w:tc>
        <w:tc>
          <w:tcPr>
            <w:tcW w:w="5866" w:type="dxa"/>
            <w:noWrap w:val="0"/>
            <w:vAlign w:val="center"/>
          </w:tcPr>
          <w:p w14:paraId="39D98A3E">
            <w:pPr>
              <w:keepNext w:val="0"/>
              <w:keepLines w:val="0"/>
              <w:pageBreakBefore w:val="0"/>
              <w:kinsoku/>
              <w:wordWrap/>
              <w:overflowPunct/>
              <w:topLinePunct w:val="0"/>
              <w:autoSpaceDE/>
              <w:autoSpaceDN/>
              <w:bidi w:val="0"/>
              <w:adjustRightInd w:val="0"/>
              <w:snapToGrid w:val="0"/>
              <w:spacing w:line="520" w:lineRule="exact"/>
              <w:ind w:left="0" w:lef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投标人资格要求</w:t>
            </w:r>
          </w:p>
        </w:tc>
        <w:tc>
          <w:tcPr>
            <w:tcW w:w="1617" w:type="dxa"/>
            <w:noWrap w:val="0"/>
            <w:vAlign w:val="center"/>
          </w:tcPr>
          <w:p w14:paraId="32AD916C">
            <w:pPr>
              <w:keepNext w:val="0"/>
              <w:keepLines w:val="0"/>
              <w:pageBreakBefore w:val="0"/>
              <w:kinsoku/>
              <w:wordWrap/>
              <w:overflowPunct/>
              <w:topLinePunct w:val="0"/>
              <w:autoSpaceDE/>
              <w:autoSpaceDN/>
              <w:bidi w:val="0"/>
              <w:adjustRightInd w:val="0"/>
              <w:snapToGrid w:val="0"/>
              <w:spacing w:line="520" w:lineRule="exact"/>
              <w:ind w:left="0" w:leftChars="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预算金额(元)</w:t>
            </w:r>
          </w:p>
        </w:tc>
      </w:tr>
      <w:tr w14:paraId="372E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8" w:type="dxa"/>
            <w:noWrap w:val="0"/>
            <w:vAlign w:val="center"/>
          </w:tcPr>
          <w:p w14:paraId="7B8989DE">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椰海校区小卖部房地产租赁价格评估项目</w:t>
            </w:r>
          </w:p>
          <w:p w14:paraId="176BEBB3">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color w:val="auto"/>
                <w:sz w:val="32"/>
                <w:szCs w:val="32"/>
              </w:rPr>
            </w:pPr>
          </w:p>
          <w:p w14:paraId="72EA5E0B">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center"/>
              <w:rPr>
                <w:rFonts w:hint="eastAsia" w:ascii="仿宋_GB2312" w:hAnsi="仿宋_GB2312" w:eastAsia="仿宋_GB2312" w:cs="仿宋_GB2312"/>
                <w:color w:val="auto"/>
                <w:kern w:val="0"/>
                <w:sz w:val="32"/>
                <w:szCs w:val="32"/>
              </w:rPr>
            </w:pPr>
          </w:p>
        </w:tc>
        <w:tc>
          <w:tcPr>
            <w:tcW w:w="5866" w:type="dxa"/>
            <w:noWrap w:val="0"/>
            <w:vAlign w:val="center"/>
          </w:tcPr>
          <w:p w14:paraId="755EE1D3">
            <w:pPr>
              <w:pStyle w:val="24"/>
              <w:keepNext w:val="0"/>
              <w:keepLines w:val="0"/>
              <w:pageBreakBefore w:val="0"/>
              <w:widowControl/>
              <w:kinsoku/>
              <w:wordWrap/>
              <w:overflowPunct/>
              <w:topLinePunct w:val="0"/>
              <w:autoSpaceDE/>
              <w:autoSpaceDN/>
              <w:bidi w:val="0"/>
              <w:adjustRightInd w:val="0"/>
              <w:snapToGrid w:val="0"/>
              <w:spacing w:line="520" w:lineRule="exact"/>
              <w:ind w:left="0" w:leftChars="0" w:firstLine="0" w:firstLineChars="0"/>
              <w:jc w:val="left"/>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1.符合《中华人民共和国政府采购法》第二十二条规定，在中国境内注册的具有独立法人资格或个体户</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提供营业执照）</w:t>
            </w:r>
            <w:r>
              <w:rPr>
                <w:rFonts w:hint="eastAsia" w:ascii="仿宋_GB2312" w:hAnsi="仿宋_GB2312" w:eastAsia="仿宋_GB2312" w:cs="仿宋_GB2312"/>
                <w:color w:val="auto"/>
                <w:kern w:val="0"/>
                <w:sz w:val="32"/>
                <w:szCs w:val="32"/>
              </w:rPr>
              <w:t>。</w:t>
            </w:r>
          </w:p>
          <w:p w14:paraId="36A9E1D1">
            <w:pPr>
              <w:pStyle w:val="24"/>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leftChars="0"/>
              <w:jc w:val="left"/>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val="en-US" w:eastAsia="zh-CN"/>
              </w:rPr>
              <w:t>投标人具备</w:t>
            </w:r>
            <w:r>
              <w:rPr>
                <w:rFonts w:hint="eastAsia" w:ascii="仿宋_GB2312" w:hAnsi="仿宋_GB2312" w:eastAsia="仿宋_GB2312" w:cs="仿宋_GB2312"/>
                <w:i w:val="0"/>
                <w:iCs w:val="0"/>
                <w:caps w:val="0"/>
                <w:color w:val="auto"/>
                <w:spacing w:val="0"/>
                <w:sz w:val="32"/>
                <w:szCs w:val="32"/>
                <w:shd w:val="clear" w:color="auto" w:fill="auto"/>
              </w:rPr>
              <w:t>从事</w:t>
            </w:r>
            <w:r>
              <w:rPr>
                <w:rFonts w:hint="eastAsia" w:ascii="仿宋_GB2312" w:hAnsi="仿宋_GB2312" w:eastAsia="仿宋_GB2312" w:cs="仿宋_GB2312"/>
                <w:i w:val="0"/>
                <w:iCs w:val="0"/>
                <w:caps w:val="0"/>
                <w:color w:val="auto"/>
                <w:spacing w:val="0"/>
                <w:sz w:val="32"/>
                <w:szCs w:val="32"/>
                <w:shd w:val="clear" w:color="auto" w:fill="auto"/>
                <w:lang w:val="en-US" w:eastAsia="zh-CN"/>
              </w:rPr>
              <w:t>房地产估价机构备案</w:t>
            </w:r>
            <w:r>
              <w:rPr>
                <w:rFonts w:hint="eastAsia" w:ascii="仿宋_GB2312" w:hAnsi="仿宋_GB2312" w:eastAsia="仿宋_GB2312" w:cs="仿宋_GB2312"/>
                <w:color w:val="auto"/>
                <w:kern w:val="0"/>
                <w:sz w:val="32"/>
                <w:szCs w:val="32"/>
                <w:lang w:val="en-US" w:eastAsia="zh-CN"/>
              </w:rPr>
              <w:t>资质证书。</w:t>
            </w:r>
          </w:p>
          <w:p w14:paraId="0589F620">
            <w:pPr>
              <w:pStyle w:val="24"/>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leftChars="0"/>
              <w:jc w:val="left"/>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近三年内（成立时间不足三年的、自成立时间起），在经营活动中没有重大违法记录，提供声明函原件（</w:t>
            </w:r>
            <w:r>
              <w:rPr>
                <w:rFonts w:hint="eastAsia" w:ascii="仿宋_GB2312" w:hAnsi="仿宋_GB2312" w:eastAsia="仿宋_GB2312" w:cs="仿宋_GB2312"/>
                <w:color w:val="auto"/>
                <w:kern w:val="0"/>
                <w:sz w:val="32"/>
                <w:szCs w:val="32"/>
                <w:lang w:val="en-US" w:eastAsia="zh-CN"/>
              </w:rPr>
              <w:t>详见附件3</w:t>
            </w:r>
            <w:r>
              <w:rPr>
                <w:rFonts w:hint="eastAsia" w:ascii="仿宋_GB2312" w:hAnsi="仿宋_GB2312" w:eastAsia="仿宋_GB2312" w:cs="仿宋_GB2312"/>
                <w:color w:val="auto"/>
                <w:kern w:val="0"/>
                <w:sz w:val="32"/>
                <w:szCs w:val="32"/>
              </w:rPr>
              <w:t>，重大违法记录是指供应商因违法经营受到刑事处罚或责令停产停业、吊销许可证或者执照、较大数额等行政处罚）。</w:t>
            </w:r>
          </w:p>
          <w:p w14:paraId="1C2A8DDF">
            <w:pPr>
              <w:pStyle w:val="24"/>
              <w:keepNext w:val="0"/>
              <w:keepLines w:val="0"/>
              <w:pageBreakBefore w:val="0"/>
              <w:widowControl/>
              <w:kinsoku/>
              <w:wordWrap/>
              <w:overflowPunct/>
              <w:topLinePunct w:val="0"/>
              <w:autoSpaceDE/>
              <w:autoSpaceDN/>
              <w:bidi w:val="0"/>
              <w:adjustRightInd w:val="0"/>
              <w:snapToGrid w:val="0"/>
              <w:spacing w:line="520" w:lineRule="exact"/>
              <w:ind w:left="0" w:leftChars="0" w:firstLine="0" w:firstLineChars="0"/>
              <w:jc w:val="left"/>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.未被“信用中国”网站</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（www.creditchina.gov.cn）列入失信被执行人、重大税收违法案件当事人名单、政府采购严重失信行为记录名单</w:t>
            </w:r>
            <w:r>
              <w:rPr>
                <w:rFonts w:hint="eastAsia" w:ascii="仿宋_GB2312" w:hAnsi="仿宋_GB2312" w:eastAsia="仿宋_GB2312" w:cs="仿宋_GB2312"/>
                <w:color w:val="auto"/>
                <w:kern w:val="0"/>
                <w:sz w:val="32"/>
                <w:szCs w:val="32"/>
                <w:lang w:val="en-US" w:eastAsia="zh-CN"/>
              </w:rPr>
              <w:t>或信用报告</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提供网上截图</w:t>
            </w:r>
            <w:r>
              <w:rPr>
                <w:rFonts w:ascii="仿宋_GB2312" w:hAnsi="宋体" w:eastAsia="仿宋_GB2312" w:cs="仿宋_GB2312"/>
                <w:i w:val="0"/>
                <w:iCs w:val="0"/>
                <w:caps w:val="0"/>
                <w:color w:val="auto"/>
                <w:spacing w:val="0"/>
                <w:sz w:val="31"/>
                <w:szCs w:val="31"/>
                <w:shd w:val="clear" w:fill="FFFFFF"/>
              </w:rPr>
              <w:t>加盖公章</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w:t>
            </w:r>
          </w:p>
          <w:p w14:paraId="22CD28E2">
            <w:pPr>
              <w:pStyle w:val="24"/>
              <w:keepNext w:val="0"/>
              <w:keepLines w:val="0"/>
              <w:pageBreakBefore w:val="0"/>
              <w:widowControl/>
              <w:kinsoku/>
              <w:wordWrap/>
              <w:overflowPunct/>
              <w:topLinePunct w:val="0"/>
              <w:autoSpaceDE/>
              <w:autoSpaceDN/>
              <w:bidi w:val="0"/>
              <w:adjustRightInd w:val="0"/>
              <w:snapToGrid w:val="0"/>
              <w:spacing w:line="520" w:lineRule="exact"/>
              <w:ind w:left="0" w:leftChars="0" w:firstLine="0" w:firstLineChars="0"/>
              <w:jc w:val="left"/>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.本项目不接受联合体参与报价，成交后不允许转包</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提交承诺函。</w:t>
            </w:r>
          </w:p>
        </w:tc>
        <w:tc>
          <w:tcPr>
            <w:tcW w:w="1617" w:type="dxa"/>
            <w:noWrap w:val="0"/>
            <w:vAlign w:val="center"/>
          </w:tcPr>
          <w:p w14:paraId="4C8AEE56">
            <w:pPr>
              <w:keepNext w:val="0"/>
              <w:keepLines w:val="0"/>
              <w:pageBreakBefore w:val="0"/>
              <w:kinsoku/>
              <w:wordWrap/>
              <w:overflowPunct/>
              <w:topLinePunct w:val="0"/>
              <w:autoSpaceDE/>
              <w:autoSpaceDN/>
              <w:bidi w:val="0"/>
              <w:adjustRightInd w:val="0"/>
              <w:snapToGrid w:val="0"/>
              <w:spacing w:line="520" w:lineRule="exact"/>
              <w:ind w:left="0" w:leftChars="0"/>
              <w:jc w:val="center"/>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bCs w:val="0"/>
                <w:color w:val="auto"/>
                <w:kern w:val="0"/>
                <w:sz w:val="32"/>
                <w:szCs w:val="32"/>
                <w:lang w:val="en-US" w:eastAsia="zh-CN" w:bidi="ar-SA"/>
              </w:rPr>
              <w:t>5000.00</w:t>
            </w:r>
          </w:p>
        </w:tc>
      </w:tr>
    </w:tbl>
    <w:p w14:paraId="56CA6F9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sectPr>
          <w:footerReference r:id="rId6" w:type="first"/>
          <w:footerReference r:id="rId5" w:type="default"/>
          <w:pgSz w:w="11906" w:h="16838"/>
          <w:pgMar w:top="1440" w:right="1080" w:bottom="1440" w:left="1080" w:header="851" w:footer="992" w:gutter="0"/>
          <w:pgNumType w:fmt="numberInDash" w:start="1"/>
          <w:cols w:space="425" w:num="1"/>
          <w:titlePg/>
          <w:docGrid w:type="lines" w:linePitch="312" w:charSpace="0"/>
        </w:sectPr>
      </w:pPr>
    </w:p>
    <w:p w14:paraId="7B6136A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四、投标人须知</w:t>
      </w:r>
    </w:p>
    <w:p w14:paraId="5FF9E1A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报名时间：202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0分至202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分（北京时间，法定节假日除外），逾期不再受理。</w:t>
      </w:r>
    </w:p>
    <w:p w14:paraId="2B64D06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名方式：本次采购采用邮件报名。报名时需提供以下加盖供应商公章的扫描件一套：报名表（自行下载）、营业执照、法定代表人身份证复印件或授权委托书及委托代理人身份证。相关文件的扫描件发送至联系人邮箱，并注意查收个人邮箱收件箱确认报名信息。</w:t>
      </w:r>
    </w:p>
    <w:p w14:paraId="77C0086D">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采购文件获取方式：</w:t>
      </w:r>
      <w:r>
        <w:rPr>
          <w:rFonts w:hint="eastAsia" w:ascii="仿宋_GB2312" w:hAnsi="仿宋_GB2312" w:eastAsia="仿宋_GB2312" w:cs="仿宋_GB2312"/>
          <w:sz w:val="32"/>
          <w:szCs w:val="32"/>
          <w:lang w:val="en-US" w:eastAsia="zh-CN"/>
        </w:rPr>
        <w:t>海南卫生健康职业学院官方</w:t>
      </w:r>
      <w:r>
        <w:rPr>
          <w:rFonts w:hint="eastAsia" w:ascii="仿宋_GB2312" w:hAnsi="仿宋_GB2312" w:eastAsia="仿宋_GB2312" w:cs="仿宋_GB2312"/>
          <w:sz w:val="32"/>
          <w:szCs w:val="32"/>
        </w:rPr>
        <w:t>网站（https://www.hnhvc.edu.cn/1036/list.htm）自行下载。</w:t>
      </w:r>
    </w:p>
    <w:p w14:paraId="45849116">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递交报价文件时间及地点：</w:t>
      </w:r>
    </w:p>
    <w:p w14:paraId="2186EA5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 时间：报价文件递交截止时间202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上午9</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分前（北京时间），逾期未提交报价文件者视为自动放弃本项目报价资格。</w:t>
      </w:r>
    </w:p>
    <w:p w14:paraId="169FDC2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 地址：</w:t>
      </w:r>
      <w:r>
        <w:rPr>
          <w:rFonts w:hint="eastAsia" w:ascii="仿宋_GB2312" w:hAnsi="仿宋_GB2312" w:eastAsia="仿宋_GB2312" w:cs="仿宋_GB2312"/>
          <w:sz w:val="32"/>
          <w:szCs w:val="32"/>
          <w:lang w:val="en-US" w:eastAsia="zh-CN"/>
        </w:rPr>
        <w:t>海口市秀英区秀华路32号海南卫生健康职业学院教职工之家-职工书屋（靠近学校西门）</w:t>
      </w:r>
      <w:r>
        <w:rPr>
          <w:rFonts w:hint="eastAsia" w:ascii="仿宋_GB2312" w:hAnsi="仿宋_GB2312" w:eastAsia="仿宋_GB2312" w:cs="仿宋_GB2312"/>
          <w:sz w:val="32"/>
          <w:szCs w:val="32"/>
        </w:rPr>
        <w:t>。</w:t>
      </w:r>
    </w:p>
    <w:p w14:paraId="09E33DFA">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开标时间及地点：</w:t>
      </w:r>
    </w:p>
    <w:p w14:paraId="35BD4597">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 时间：2</w:t>
      </w:r>
      <w:r>
        <w:rPr>
          <w:rFonts w:hint="eastAsia" w:ascii="仿宋_GB2312" w:hAnsi="仿宋_GB2312" w:eastAsia="仿宋_GB2312" w:cs="仿宋_GB2312"/>
          <w:sz w:val="32"/>
          <w:szCs w:val="32"/>
          <w:lang w:val="en-US" w:eastAsia="zh-CN"/>
        </w:rPr>
        <w:t>025年5月9日上午9</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分（北京时间）；</w:t>
      </w:r>
    </w:p>
    <w:p w14:paraId="49DC555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 地点：</w:t>
      </w:r>
      <w:r>
        <w:rPr>
          <w:rFonts w:hint="eastAsia" w:ascii="仿宋_GB2312" w:hAnsi="仿宋_GB2312" w:eastAsia="仿宋_GB2312" w:cs="仿宋_GB2312"/>
          <w:sz w:val="32"/>
          <w:szCs w:val="32"/>
          <w:lang w:val="en-US" w:eastAsia="zh-CN"/>
        </w:rPr>
        <w:t>海口市秀英区秀华路32号海南卫生健康职业学院教职工之家-职工书屋（靠近学校西门）</w:t>
      </w:r>
      <w:r>
        <w:rPr>
          <w:rFonts w:hint="eastAsia" w:ascii="仿宋_GB2312" w:hAnsi="仿宋_GB2312" w:eastAsia="仿宋_GB2312" w:cs="仿宋_GB2312"/>
          <w:sz w:val="32"/>
          <w:szCs w:val="32"/>
        </w:rPr>
        <w:t>。</w:t>
      </w:r>
    </w:p>
    <w:p w14:paraId="29CA3FBD">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报价要求及成交原则：</w:t>
      </w:r>
    </w:p>
    <w:p w14:paraId="4094D3BD">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6.1报价的供应商向采购人做出一次性书面报价（单价、总价）（均按人民币进行报价）。</w:t>
      </w:r>
    </w:p>
    <w:p w14:paraId="17123AED">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 成交原则：在符合本项目采购需求、质量和服务的前提下，以提出最低报价的供应商作为成交供应商,</w:t>
      </w:r>
      <w:r>
        <w:rPr>
          <w:rFonts w:hint="eastAsia" w:ascii="仿宋_GB2312" w:hAnsi="仿宋_GB2312" w:eastAsia="仿宋_GB2312" w:cs="仿宋_GB2312"/>
          <w:sz w:val="32"/>
          <w:szCs w:val="32"/>
          <w:lang w:val="en-US" w:eastAsia="zh-CN"/>
        </w:rPr>
        <w:t>允许现场二次报价，</w:t>
      </w:r>
      <w:r>
        <w:rPr>
          <w:rFonts w:hint="eastAsia" w:ascii="仿宋_GB2312" w:hAnsi="仿宋_GB2312" w:eastAsia="仿宋_GB2312" w:cs="仿宋_GB2312"/>
          <w:sz w:val="32"/>
          <w:szCs w:val="32"/>
        </w:rPr>
        <w:t>供应商报价和承诺一经认可，即为成交的合同价。</w:t>
      </w:r>
    </w:p>
    <w:p w14:paraId="211867D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6.3供应商如对本项目报价，即不可撤回。否则，该供应商在今后一年内不得参与本单位的采购活动。</w:t>
      </w:r>
    </w:p>
    <w:p w14:paraId="6BF2D882">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lang w:val="en-US" w:eastAsia="zh-CN"/>
        </w:rPr>
        <w:t>7</w:t>
      </w:r>
      <w:r>
        <w:rPr>
          <w:rFonts w:hint="eastAsia" w:ascii="仿宋_GB2312" w:hAnsi="仿宋_GB2312" w:eastAsia="仿宋_GB2312" w:cs="仿宋_GB2312"/>
          <w:sz w:val="32"/>
          <w:szCs w:val="32"/>
          <w:shd w:val="clear"/>
          <w:lang w:eastAsia="zh-CN"/>
        </w:rPr>
        <w:t>.</w:t>
      </w:r>
      <w:r>
        <w:rPr>
          <w:rFonts w:hint="eastAsia" w:ascii="仿宋_GB2312" w:hAnsi="仿宋_GB2312" w:eastAsia="仿宋_GB2312" w:cs="仿宋_GB2312"/>
          <w:sz w:val="32"/>
          <w:szCs w:val="32"/>
          <w:shd w:val="clear"/>
        </w:rPr>
        <w:t>报价文件编制要</w:t>
      </w:r>
      <w:r>
        <w:rPr>
          <w:rFonts w:hint="eastAsia" w:ascii="仿宋_GB2312" w:hAnsi="仿宋_GB2312" w:eastAsia="仿宋_GB2312" w:cs="仿宋_GB2312"/>
          <w:sz w:val="32"/>
          <w:szCs w:val="32"/>
        </w:rPr>
        <w:t>求：</w:t>
      </w:r>
    </w:p>
    <w:p w14:paraId="57A2615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.1 本项目相关的资质证明材料；</w:t>
      </w:r>
    </w:p>
    <w:p w14:paraId="042EB056">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.2 近三年内，在经营活动中没有重大违法记录的声明原件；</w:t>
      </w:r>
    </w:p>
    <w:p w14:paraId="38F1A1E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.3 报价文件须经法定代表人或其授权代表签字、盖章；如为授权代表签字，须附法定代表人授权书，并提交法人和其授权代表的身份证复印件。</w:t>
      </w:r>
    </w:p>
    <w:p w14:paraId="01578EE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.4报价文件一式三份（包含相应材料，须胶装打印）电子文档1份（U盘</w:t>
      </w:r>
      <w:r>
        <w:rPr>
          <w:rFonts w:hint="eastAsia" w:ascii="仿宋_GB2312" w:hAnsi="仿宋_GB2312" w:eastAsia="仿宋_GB2312" w:cs="仿宋_GB2312"/>
          <w:sz w:val="32"/>
          <w:szCs w:val="32"/>
          <w:lang w:val="en-US" w:eastAsia="zh-CN"/>
        </w:rPr>
        <w:t>或光盘</w:t>
      </w:r>
      <w:r>
        <w:rPr>
          <w:rFonts w:hint="eastAsia" w:ascii="仿宋_GB2312" w:hAnsi="仿宋_GB2312" w:eastAsia="仿宋_GB2312" w:cs="仿宋_GB2312"/>
          <w:sz w:val="32"/>
          <w:szCs w:val="32"/>
        </w:rPr>
        <w:t>），其中正本壹份、副本贰份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正本和副本一起密封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，“正本”和“副本”之间如有差异，以正本为准。在封面上注明项目名称、编号、盖章密封后递交采购人。</w:t>
      </w:r>
    </w:p>
    <w:p w14:paraId="676CE3A1">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b w:val="0"/>
          <w:bCs/>
          <w:sz w:val="32"/>
          <w:szCs w:val="32"/>
        </w:rPr>
        <w:t xml:space="preserve">五、联系方式 </w:t>
      </w:r>
      <w:r>
        <w:rPr>
          <w:rFonts w:hint="eastAsia" w:ascii="方正仿宋_GB2312" w:hAnsi="方正仿宋_GB2312" w:eastAsia="方正仿宋_GB2312" w:cs="方正仿宋_GB2312"/>
          <w:sz w:val="32"/>
          <w:szCs w:val="32"/>
        </w:rPr>
        <w:t xml:space="preserve">  </w:t>
      </w:r>
    </w:p>
    <w:p w14:paraId="6459437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凌老师、喻老师</w:t>
      </w:r>
    </w:p>
    <w:p w14:paraId="0CCBC02F">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0898-68642247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0898-68662169</w:t>
      </w:r>
      <w:r>
        <w:rPr>
          <w:rFonts w:hint="eastAsia" w:ascii="仿宋_GB2312" w:hAnsi="仿宋_GB2312" w:eastAsia="仿宋_GB2312" w:cs="仿宋_GB2312"/>
          <w:sz w:val="32"/>
          <w:szCs w:val="32"/>
        </w:rPr>
        <w:t xml:space="preserve">   </w:t>
      </w:r>
    </w:p>
    <w:p w14:paraId="0ECA6B2E">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邮箱：hnwjy0898@163.com</w:t>
      </w:r>
    </w:p>
    <w:p w14:paraId="54C2D2D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val="en-US" w:eastAsia="zh-CN"/>
        </w:rPr>
        <w:t>海南卫生健康职业学院校长办公室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海口市秀英区秀华路32号行政办公楼3楼305办公室</w:t>
      </w:r>
      <w:r>
        <w:rPr>
          <w:rFonts w:hint="eastAsia" w:ascii="仿宋_GB2312" w:hAnsi="仿宋_GB2312" w:eastAsia="仿宋_GB2312" w:cs="仿宋_GB2312"/>
          <w:sz w:val="32"/>
          <w:szCs w:val="32"/>
        </w:rPr>
        <w:t>)</w:t>
      </w:r>
    </w:p>
    <w:p w14:paraId="3EFA40E1">
      <w:pPr>
        <w:rPr>
          <w:rFonts w:hint="eastAsia"/>
        </w:rPr>
      </w:pPr>
      <w:bookmarkStart w:id="13" w:name="_Toc356491306"/>
      <w:r>
        <w:rPr>
          <w:rFonts w:hint="eastAsia"/>
        </w:rPr>
        <w:br w:type="page"/>
      </w:r>
      <w:bookmarkStart w:id="14" w:name="_Toc29613"/>
      <w:bookmarkStart w:id="15" w:name="_Toc40089789"/>
    </w:p>
    <w:p w14:paraId="20B54900">
      <w:pPr>
        <w:pStyle w:val="3"/>
        <w:pageBreakBefore w:val="0"/>
        <w:kinsoku/>
        <w:wordWrap/>
        <w:overflowPunct/>
        <w:topLinePunct w:val="0"/>
        <w:autoSpaceDE/>
        <w:autoSpaceDN/>
        <w:bidi w:val="0"/>
        <w:adjustRightInd w:val="0"/>
        <w:snapToGrid w:val="0"/>
        <w:spacing w:line="560" w:lineRule="exact"/>
        <w:ind w:left="0" w:leftChars="0"/>
        <w:rPr>
          <w:rFonts w:hint="eastAsia" w:ascii="宋体" w:hAnsi="宋体" w:eastAsia="宋体" w:cs="宋体"/>
          <w:sz w:val="44"/>
          <w:szCs w:val="44"/>
        </w:rPr>
      </w:pPr>
      <w:bookmarkStart w:id="16" w:name="_Toc2309"/>
      <w:r>
        <w:rPr>
          <w:rFonts w:hint="eastAsia" w:ascii="宋体" w:hAnsi="宋体" w:eastAsia="宋体" w:cs="宋体"/>
          <w:sz w:val="44"/>
          <w:szCs w:val="44"/>
        </w:rPr>
        <w:t>第二部分  开标、评标、定标</w:t>
      </w:r>
      <w:bookmarkEnd w:id="16"/>
    </w:p>
    <w:p w14:paraId="257ADB4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sz w:val="32"/>
          <w:szCs w:val="32"/>
        </w:rPr>
      </w:pPr>
      <w:bookmarkStart w:id="17" w:name="_Toc325620714"/>
      <w:bookmarkStart w:id="18" w:name="_Toc332979555"/>
      <w:bookmarkStart w:id="19" w:name="_Toc29040"/>
      <w:r>
        <w:rPr>
          <w:rFonts w:hint="eastAsia" w:ascii="黑体" w:hAnsi="黑体" w:eastAsia="黑体" w:cs="黑体"/>
          <w:sz w:val="32"/>
          <w:szCs w:val="32"/>
        </w:rPr>
        <w:t>一、开标</w:t>
      </w:r>
      <w:bookmarkEnd w:id="17"/>
      <w:bookmarkEnd w:id="18"/>
      <w:bookmarkEnd w:id="19"/>
    </w:p>
    <w:p w14:paraId="6008921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谈判</w:t>
      </w:r>
      <w:r>
        <w:rPr>
          <w:rFonts w:hint="eastAsia" w:ascii="仿宋_GB2312" w:hAnsi="仿宋_GB2312" w:eastAsia="仿宋_GB2312" w:cs="仿宋_GB2312"/>
          <w:sz w:val="32"/>
          <w:szCs w:val="32"/>
        </w:rPr>
        <w:t>文件规定的时间、地点开标。开标由采购人主持，供应商和有关方面的代表参加。供应商法定代表人或其授权代理人应参加并签名报到以证明其出席。</w:t>
      </w:r>
    </w:p>
    <w:p w14:paraId="43CA642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开标时，由供应商或者其推选的代表检查响应文件的密封情况。</w:t>
      </w:r>
    </w:p>
    <w:p w14:paraId="1245BA3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工作人员当众拆封，宣读供应商名称、投标价格和响应文件的其他主要内容。采购人在</w:t>
      </w:r>
      <w:r>
        <w:rPr>
          <w:rFonts w:hint="eastAsia" w:ascii="仿宋_GB2312" w:hAnsi="仿宋_GB2312" w:eastAsia="仿宋_GB2312" w:cs="仿宋_GB2312"/>
          <w:sz w:val="32"/>
          <w:szCs w:val="32"/>
          <w:lang w:val="en-US" w:eastAsia="zh-CN"/>
        </w:rPr>
        <w:t>谈判</w:t>
      </w:r>
      <w:r>
        <w:rPr>
          <w:rFonts w:hint="eastAsia" w:ascii="仿宋_GB2312" w:hAnsi="仿宋_GB2312" w:eastAsia="仿宋_GB2312" w:cs="仿宋_GB2312"/>
          <w:sz w:val="32"/>
          <w:szCs w:val="32"/>
        </w:rPr>
        <w:t>文件要求提交响应文件的截止时间前收到的所有响应文件，开标时当众予以拆封、宣读。</w:t>
      </w:r>
    </w:p>
    <w:p w14:paraId="77FE2EF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记录员将唱价内容记录并由供应商法定代表人或授权代理人签字确认。</w:t>
      </w:r>
    </w:p>
    <w:p w14:paraId="1F7D2AE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b w:val="0"/>
          <w:bCs/>
          <w:sz w:val="32"/>
          <w:szCs w:val="32"/>
        </w:rPr>
      </w:pPr>
      <w:bookmarkStart w:id="20" w:name="_Toc27176"/>
      <w:bookmarkStart w:id="21" w:name="_Toc332979556"/>
      <w:bookmarkStart w:id="22" w:name="_Toc325620715"/>
      <w:r>
        <w:rPr>
          <w:rFonts w:hint="eastAsia" w:ascii="黑体" w:hAnsi="黑体" w:eastAsia="黑体" w:cs="黑体"/>
          <w:b w:val="0"/>
          <w:bCs/>
          <w:sz w:val="32"/>
          <w:szCs w:val="32"/>
        </w:rPr>
        <w:t>二、</w:t>
      </w:r>
      <w:bookmarkEnd w:id="20"/>
      <w:bookmarkEnd w:id="21"/>
      <w:bookmarkEnd w:id="22"/>
      <w:r>
        <w:rPr>
          <w:rFonts w:hint="eastAsia" w:ascii="黑体" w:hAnsi="黑体" w:eastAsia="黑体" w:cs="黑体"/>
          <w:b w:val="0"/>
          <w:bCs/>
          <w:sz w:val="32"/>
          <w:szCs w:val="32"/>
          <w:lang w:eastAsia="zh-CN"/>
        </w:rPr>
        <w:t>谈判</w:t>
      </w:r>
      <w:r>
        <w:rPr>
          <w:rFonts w:hint="eastAsia" w:ascii="黑体" w:hAnsi="黑体" w:eastAsia="黑体" w:cs="黑体"/>
          <w:b w:val="0"/>
          <w:bCs/>
          <w:sz w:val="32"/>
          <w:szCs w:val="32"/>
        </w:rPr>
        <w:t>小组</w:t>
      </w:r>
    </w:p>
    <w:p w14:paraId="3E9FC49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本项目将根据项目特点组成</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小组，其成员由</w:t>
      </w:r>
      <w:r>
        <w:rPr>
          <w:rFonts w:hint="eastAsia" w:ascii="仿宋_GB2312" w:hAnsi="仿宋_GB2312" w:eastAsia="仿宋_GB2312" w:cs="仿宋_GB2312"/>
          <w:sz w:val="32"/>
          <w:szCs w:val="32"/>
          <w:lang w:val="en-US" w:eastAsia="zh-CN"/>
        </w:rPr>
        <w:t>学校推荐</w:t>
      </w:r>
      <w:r>
        <w:rPr>
          <w:rFonts w:hint="eastAsia" w:ascii="仿宋_GB2312" w:hAnsi="仿宋_GB2312" w:eastAsia="仿宋_GB2312" w:cs="仿宋_GB2312"/>
          <w:sz w:val="32"/>
          <w:szCs w:val="32"/>
        </w:rPr>
        <w:t>专家、采购人代表</w:t>
      </w:r>
      <w:r>
        <w:rPr>
          <w:rFonts w:hint="eastAsia" w:ascii="仿宋_GB2312" w:hAnsi="仿宋_GB2312" w:eastAsia="仿宋_GB2312" w:cs="仿宋_GB2312"/>
          <w:sz w:val="32"/>
          <w:szCs w:val="32"/>
          <w:lang w:eastAsia="zh-CN"/>
        </w:rPr>
        <w:t>、法务</w:t>
      </w:r>
      <w:r>
        <w:rPr>
          <w:rFonts w:hint="eastAsia" w:ascii="仿宋_GB2312" w:hAnsi="仿宋_GB2312" w:eastAsia="仿宋_GB2312" w:cs="仿宋_GB2312"/>
          <w:sz w:val="32"/>
          <w:szCs w:val="32"/>
        </w:rPr>
        <w:t>等组成，</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小组负责对响应文件进行审查、质疑、评审，推荐成交候选供应商。</w:t>
      </w:r>
    </w:p>
    <w:p w14:paraId="5F5D2CE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sz w:val="32"/>
          <w:szCs w:val="32"/>
        </w:rPr>
      </w:pPr>
      <w:bookmarkStart w:id="23" w:name="_Toc27961"/>
      <w:bookmarkStart w:id="24" w:name="_Toc325620716"/>
      <w:bookmarkStart w:id="25" w:name="_Toc332979557"/>
      <w:r>
        <w:rPr>
          <w:rFonts w:hint="eastAsia" w:ascii="黑体" w:hAnsi="黑体" w:eastAsia="黑体" w:cs="黑体"/>
          <w:sz w:val="32"/>
          <w:szCs w:val="32"/>
        </w:rPr>
        <w:t>三、评审原则</w:t>
      </w:r>
      <w:bookmarkEnd w:id="23"/>
      <w:bookmarkEnd w:id="24"/>
      <w:bookmarkEnd w:id="25"/>
    </w:p>
    <w:p w14:paraId="600C8EA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“公平、公正、择优、效益”为本次招标的基本原则，</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小组按照这一原则的要求，公正、平等地对待各供应商。同时，在评审过程中恪守以下原则：</w:t>
      </w:r>
    </w:p>
    <w:p w14:paraId="767A908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客观性原则：</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小组将严格按照</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文件要求的内容，对供应商的响应文件进行认真评审；</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小组对响应文件的评审仅依据响应文件本身，而不依靠响应文件以外的任何因素；</w:t>
      </w:r>
    </w:p>
    <w:p w14:paraId="56F0864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统一性原则：</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小组将按照统一的原则和方法，对各供应商的响应文件进行评审；</w:t>
      </w:r>
    </w:p>
    <w:p w14:paraId="5CF5EB5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独立性原则：评标工作在</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小组内部独立进行，不受外界任何因素的干扰和影响，</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小组成员对出具的专家意见承担个人责任；</w:t>
      </w:r>
    </w:p>
    <w:p w14:paraId="3B061D4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保密性原则：</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小组成员及有关工作人员将保守供应商的商业秘密；</w:t>
      </w:r>
    </w:p>
    <w:p w14:paraId="3915193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综合性原则：</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小组将综合分析评审供应商的各项指标，而不以单项指标的优劣评定中标人；</w:t>
      </w:r>
    </w:p>
    <w:p w14:paraId="72BEC52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sz w:val="32"/>
          <w:szCs w:val="32"/>
        </w:rPr>
      </w:pPr>
      <w:bookmarkStart w:id="26" w:name="_Toc9800"/>
      <w:bookmarkStart w:id="27" w:name="_Toc332979558"/>
      <w:bookmarkStart w:id="28" w:name="_Toc325620717"/>
      <w:r>
        <w:rPr>
          <w:rFonts w:hint="eastAsia" w:ascii="黑体" w:hAnsi="黑体" w:eastAsia="黑体" w:cs="黑体"/>
          <w:sz w:val="32"/>
          <w:szCs w:val="32"/>
        </w:rPr>
        <w:t>四、</w:t>
      </w:r>
      <w:bookmarkEnd w:id="26"/>
      <w:bookmarkEnd w:id="27"/>
      <w:bookmarkEnd w:id="28"/>
      <w:r>
        <w:rPr>
          <w:rFonts w:hint="eastAsia" w:ascii="黑体" w:hAnsi="黑体" w:eastAsia="黑体" w:cs="黑体"/>
          <w:sz w:val="32"/>
          <w:szCs w:val="32"/>
          <w:lang w:eastAsia="zh-CN"/>
        </w:rPr>
        <w:t>谈判</w:t>
      </w:r>
      <w:r>
        <w:rPr>
          <w:rFonts w:hint="eastAsia" w:ascii="黑体" w:hAnsi="黑体" w:eastAsia="黑体" w:cs="黑体"/>
          <w:sz w:val="32"/>
          <w:szCs w:val="32"/>
        </w:rPr>
        <w:t>程序</w:t>
      </w:r>
    </w:p>
    <w:p w14:paraId="16CD027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bookmarkStart w:id="29" w:name="_Toc325620718"/>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公开报价：采购人将对所有参与</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的供应商的报价内容进行公开报价。</w:t>
      </w:r>
    </w:p>
    <w:p w14:paraId="44775A8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资格审查：</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小组对供应商进行资格审查、审查供应商是否按</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要求提供资质证件及有无效报价的情形，发现存在无效报价的情形存在将不再进入下一步评审和报价。供应商有下列情形之一，其报价将被视为无效报价，采购人将严格按照《中华人民共和国政府采购法》及相关法律、法规及规章制度的规定行使权利。供应商给采购人造成损失的，采购人有索赔的权利，供应商应予以赔偿。</w:t>
      </w:r>
    </w:p>
    <w:p w14:paraId="23D6A32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供应商提供的有关资格、资质证明文件不真实或提供虚假材料；</w:t>
      </w:r>
    </w:p>
    <w:p w14:paraId="5133277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供应商未按</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文件要求装订的；</w:t>
      </w:r>
    </w:p>
    <w:p w14:paraId="604B192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在整个</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过程中，供应商有企图影响采购结果公正性的任何活动；</w:t>
      </w:r>
    </w:p>
    <w:p w14:paraId="17B7C85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供应商以任何方式诋毁其他供应商；</w:t>
      </w:r>
    </w:p>
    <w:p w14:paraId="41DCC82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供应商串通报价；</w:t>
      </w:r>
    </w:p>
    <w:p w14:paraId="6578D5E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以他人名义报价或者以其他方式弄虚作假，骗取成交；</w:t>
      </w:r>
    </w:p>
    <w:p w14:paraId="27FA046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 成交供应商不按要求签订合同；</w:t>
      </w:r>
    </w:p>
    <w:p w14:paraId="774AFA9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提供多个报价方案的；</w:t>
      </w:r>
    </w:p>
    <w:p w14:paraId="7042668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 供应商必须明确所报产品的品牌、型号及规格参数，描述不清楚的视为无效报价；</w:t>
      </w:r>
    </w:p>
    <w:p w14:paraId="71B89B3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 法律、法规规定的其他情况。</w:t>
      </w:r>
    </w:p>
    <w:p w14:paraId="7952524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资格审查合格供应商按照报名顺序或签到顺序确定</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顺序。</w:t>
      </w:r>
    </w:p>
    <w:p w14:paraId="38A0EA0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小组所有成员集中与单一供应商进行一对一的</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。在</w:t>
      </w:r>
      <w:r>
        <w:rPr>
          <w:rFonts w:hint="eastAsia" w:ascii="仿宋_GB2312" w:hAnsi="仿宋_GB2312" w:eastAsia="仿宋_GB2312" w:cs="仿宋_GB2312"/>
          <w:b w:val="0"/>
          <w:bCs/>
          <w:sz w:val="32"/>
          <w:szCs w:val="32"/>
          <w:lang w:eastAsia="zh-CN"/>
        </w:rPr>
        <w:t>谈</w:t>
      </w:r>
      <w:r>
        <w:rPr>
          <w:rFonts w:hint="eastAsia" w:ascii="仿宋_GB2312" w:hAnsi="仿宋_GB2312" w:eastAsia="仿宋_GB2312" w:cs="仿宋_GB2312"/>
          <w:sz w:val="32"/>
          <w:szCs w:val="32"/>
          <w:lang w:eastAsia="zh-CN"/>
        </w:rPr>
        <w:t>判</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的任何一方不得透露与</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有关的其他供应商的技术资料、价格和其他信息。</w:t>
      </w:r>
      <w:r>
        <w:rPr>
          <w:rFonts w:hint="eastAsia" w:ascii="仿宋_GB2312" w:hAnsi="仿宋_GB2312" w:eastAsia="仿宋_GB2312" w:cs="仿宋_GB2312"/>
          <w:sz w:val="32"/>
          <w:szCs w:val="32"/>
          <w:lang w:val="en-US" w:eastAsia="zh-CN"/>
        </w:rPr>
        <w:t>响应</w:t>
      </w:r>
      <w:r>
        <w:rPr>
          <w:rFonts w:hint="eastAsia" w:ascii="仿宋_GB2312" w:hAnsi="仿宋_GB2312" w:eastAsia="仿宋_GB2312" w:cs="仿宋_GB2312"/>
          <w:sz w:val="32"/>
          <w:szCs w:val="32"/>
        </w:rPr>
        <w:t>文件有实质性变动时（仅包括采购需求中的技术、服务要求以及合同草案条款），</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小组以书面形式通知所有参加</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的供应商。</w:t>
      </w:r>
    </w:p>
    <w:p w14:paraId="25EC608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在报价范围及技术要求不变的前提下，最终报价不得高于初始报价，否则按照无效报价处理。</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重点：主要针对供应商所投货物性能特点、质量等是否满足采购人的要求进行</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w:t>
      </w:r>
    </w:p>
    <w:p w14:paraId="167B84C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1）供应商所报货物的性能特点、质量；</w:t>
      </w:r>
    </w:p>
    <w:p w14:paraId="1290F61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2）商务条款的陈述；</w:t>
      </w:r>
    </w:p>
    <w:p w14:paraId="04403C4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3）专家针对各供应商响应文件对</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文件的响应情况提问；</w:t>
      </w:r>
    </w:p>
    <w:p w14:paraId="111A2E1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结束后，</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小组要求所有参加</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的供应商在规定的时间内进行最后报价及有关承诺。如果</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过程未对文件做实质性变动，供应商</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最后报价不得高于其初始报价。</w:t>
      </w:r>
    </w:p>
    <w:p w14:paraId="3D050BA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评审方法</w:t>
      </w:r>
    </w:p>
    <w:p w14:paraId="57B0D10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小组应当从质量和服务均能满足采购文件实质性响应要求的供应商中，按照最后报价总分值由低到高的顺序提出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名成交候选人，并编写评审报告。若最后报价出现两家或两家以上供应商最低时，</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可以视情况要求最后报价最低的两家或两家以上供应商再一次进行报价。采购人应当在收到评审报告后3个工作日内，从评审报告提出的成交候选人中，根据质量和服务均能满足采购文件实质性响应要求且最后报价最低的原则确定成交供应商，也可以书面授权</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小组直接确定成交供应商。采购人逾期未确定成交供应商且不提出异议的，视为确定评审报告提出的最后报价最低的供应商为成交供应商。</w:t>
      </w:r>
    </w:p>
    <w:p w14:paraId="2AB6D3E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2）如出现供应商达不到法定数量、全部不符合</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文件要求、串通报价、报价均超项目预算，导致</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小组无法评审时，</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小组有权停止本次</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采购，否决所有供应商的报价，采购人有权改用其它采购方式进行采购。</w:t>
      </w:r>
    </w:p>
    <w:p w14:paraId="777723E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3）禁止供应商相互串通报价：</w:t>
      </w:r>
    </w:p>
    <w:p w14:paraId="3A9D75D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有下列情形之一的，属于供应商相互串通报价：</w:t>
      </w:r>
    </w:p>
    <w:p w14:paraId="46A39DE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（1）供应商之间协商报价等响应文件的实质性内容；</w:t>
      </w:r>
    </w:p>
    <w:p w14:paraId="6CF7DBD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（2）供应商之间约定成交供应商；</w:t>
      </w:r>
    </w:p>
    <w:p w14:paraId="773D70D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（3）供应商之间约定部分供应商放弃报价或者成交；</w:t>
      </w:r>
    </w:p>
    <w:p w14:paraId="495AE86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（4）属于同一集团、协会、商会等组织成员的供应商按照该组织要求协同报价；</w:t>
      </w:r>
    </w:p>
    <w:p w14:paraId="3A56211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（5）供应商之间为谋取成交或者排斥特定供应商而采取的其他联合行动。</w:t>
      </w:r>
    </w:p>
    <w:p w14:paraId="41D191F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4）有下列情形之一的，视为供应商相互串通报价：</w:t>
      </w:r>
    </w:p>
    <w:p w14:paraId="50E97B8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（1）不同供应商的响应文件由同一单位或者个人编制；</w:t>
      </w:r>
    </w:p>
    <w:p w14:paraId="7A91348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（2）不同供应商委托同一单位或者个人办理</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事宜；</w:t>
      </w:r>
    </w:p>
    <w:p w14:paraId="242D01F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（3）不同供应商的响应文件载明的项目管理成员为同一人；</w:t>
      </w:r>
    </w:p>
    <w:p w14:paraId="1B0033B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（4）不同供应商的响应文件异常一致或者报价呈规律性差异；</w:t>
      </w:r>
    </w:p>
    <w:p w14:paraId="32EDED9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（5）不同供应商的响应文件相互混装；</w:t>
      </w:r>
    </w:p>
    <w:p w14:paraId="261DF9F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5）弄虚作假的行为</w:t>
      </w:r>
    </w:p>
    <w:p w14:paraId="48E5C50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使用通过受让或者租借等方式获取的资格、资质证书报价的。</w:t>
      </w:r>
    </w:p>
    <w:p w14:paraId="685B207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以其他方式弄虚作假的行为：</w:t>
      </w:r>
    </w:p>
    <w:p w14:paraId="5FF4C7D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（1）使用伪造、变造的许可证件；</w:t>
      </w:r>
    </w:p>
    <w:p w14:paraId="51E66C9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（2）提供虚假的财务状况或者业绩；</w:t>
      </w:r>
    </w:p>
    <w:p w14:paraId="312218B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（3）提供虚假的项目负责人或者主要技术人员简历、劳动关系证明；</w:t>
      </w:r>
    </w:p>
    <w:p w14:paraId="51966BF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（4）提供虚假的信用状况；</w:t>
      </w:r>
    </w:p>
    <w:p w14:paraId="48F3884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（5）其他弄虚作假的行为。</w:t>
      </w:r>
    </w:p>
    <w:p w14:paraId="34366AC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b w:val="0"/>
          <w:bCs/>
          <w:sz w:val="32"/>
          <w:szCs w:val="32"/>
        </w:rPr>
      </w:pPr>
      <w:bookmarkStart w:id="30" w:name="_Toc332979559"/>
      <w:bookmarkStart w:id="31" w:name="_Toc22147"/>
      <w:r>
        <w:rPr>
          <w:rFonts w:hint="eastAsia" w:ascii="黑体" w:hAnsi="黑体" w:eastAsia="黑体" w:cs="黑体"/>
          <w:b w:val="0"/>
          <w:bCs/>
          <w:sz w:val="32"/>
          <w:szCs w:val="32"/>
        </w:rPr>
        <w:t>五、废标</w:t>
      </w:r>
      <w:bookmarkEnd w:id="29"/>
      <w:bookmarkEnd w:id="30"/>
      <w:bookmarkEnd w:id="31"/>
    </w:p>
    <w:p w14:paraId="22FF612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在招标采购中，出现下列情形之一的，应予废标：</w:t>
      </w:r>
    </w:p>
    <w:p w14:paraId="09E4F12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符合专业条件的供应商或者对</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文件作实质响应的供应商不足三家的；</w:t>
      </w:r>
    </w:p>
    <w:p w14:paraId="0761980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出现影响采购公正的违法、违规行为的；</w:t>
      </w:r>
    </w:p>
    <w:p w14:paraId="36B4EB3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供应商的报价均超过了预算金额（备注：设定最高限价的，本项内容改为最高限价）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招标人不能支付的；</w:t>
      </w:r>
    </w:p>
    <w:p w14:paraId="1B56C32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4.因重大变故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采购任务取消的；</w:t>
      </w:r>
    </w:p>
    <w:p w14:paraId="04AC342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5.法律、法规规定的其他情况。</w:t>
      </w:r>
    </w:p>
    <w:p w14:paraId="0C6AA84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在开标后如发现一方直接或者间接持有另一方的股份总和达到25%以上的，双方直接或者间接同为第三方所持有的股份达到25%以上的，一律按否决其投标处理；或双方存在持股关系或者同为第三方持股，虽持股比例未达到25%以上，但一方的购买、销售、接受劳务、提供劳务等经营活动由另一方控制的，一律按否决其投标处理。</w:t>
      </w:r>
    </w:p>
    <w:p w14:paraId="54328B4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不同单位的法定代表人、负责人、董事或监事有夫妻、直系血亲关系、其他抚养或赡养关系的，应主动向招标人告知，否则事后一经查实，一律视投标人在投标中弄虚作假，已经中标的则取消中标资格并承担相应法律责任。</w:t>
      </w:r>
    </w:p>
    <w:p w14:paraId="36F4440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kern w:val="2"/>
          <w:sz w:val="32"/>
          <w:szCs w:val="32"/>
          <w:lang w:val="en-US" w:eastAsia="zh-CN" w:bidi="ar-SA"/>
        </w:rPr>
        <w:t>8.供应商（投标人）之间存在关联关系采购人有权根据学校采购有关规定取消其投标（或取消其提交响应文件），由此产生的一切后果均由相关供应商（投标人）承担。</w:t>
      </w:r>
    </w:p>
    <w:p w14:paraId="4C6331A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sz w:val="32"/>
          <w:szCs w:val="32"/>
        </w:rPr>
      </w:pPr>
      <w:bookmarkStart w:id="32" w:name="_Toc332979560"/>
      <w:bookmarkStart w:id="33" w:name="_Toc325620719"/>
      <w:bookmarkStart w:id="34" w:name="_Toc3341"/>
      <w:r>
        <w:rPr>
          <w:rFonts w:hint="eastAsia" w:ascii="黑体" w:hAnsi="黑体" w:eastAsia="黑体" w:cs="黑体"/>
          <w:sz w:val="32"/>
          <w:szCs w:val="32"/>
        </w:rPr>
        <w:t>六、中标通知书</w:t>
      </w:r>
      <w:bookmarkEnd w:id="32"/>
      <w:bookmarkEnd w:id="33"/>
      <w:bookmarkEnd w:id="34"/>
    </w:p>
    <w:p w14:paraId="4A7E412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评标结束后，由采购人向中标人签发《中标通知书》。</w:t>
      </w:r>
    </w:p>
    <w:p w14:paraId="39EB364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中标人收到中标通知书后，应于指定的时间、地点与招标人签订采购合同。</w:t>
      </w:r>
    </w:p>
    <w:p w14:paraId="55764AF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文件及其补充、中标人的报价文件及澄清文件等，均为签订合同的依据。</w:t>
      </w:r>
    </w:p>
    <w:p w14:paraId="4EADC94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bookmarkStart w:id="35" w:name="_Toc18290"/>
      <w:bookmarkStart w:id="36" w:name="_Toc332979561"/>
    </w:p>
    <w:p w14:paraId="139FFAFF">
      <w:pPr>
        <w:pageBreakBefore w:val="0"/>
        <w:kinsoku/>
        <w:wordWrap/>
        <w:overflowPunct/>
        <w:topLinePunct w:val="0"/>
        <w:autoSpaceDE/>
        <w:autoSpaceDN/>
        <w:bidi w:val="0"/>
        <w:adjustRightInd w:val="0"/>
        <w:snapToGrid w:val="0"/>
        <w:spacing w:line="560" w:lineRule="exact"/>
        <w:ind w:left="0" w:leftChars="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br w:type="page"/>
      </w:r>
    </w:p>
    <w:p w14:paraId="3AD9F86A">
      <w:pPr>
        <w:pStyle w:val="3"/>
        <w:pageBreakBefore w:val="0"/>
        <w:kinsoku/>
        <w:wordWrap/>
        <w:overflowPunct/>
        <w:topLinePunct w:val="0"/>
        <w:autoSpaceDE/>
        <w:autoSpaceDN/>
        <w:bidi w:val="0"/>
        <w:adjustRightInd w:val="0"/>
        <w:snapToGrid w:val="0"/>
        <w:spacing w:line="560" w:lineRule="exact"/>
        <w:ind w:left="0" w:leftChars="0"/>
        <w:rPr>
          <w:rFonts w:hint="eastAsia" w:ascii="宋体" w:hAnsi="宋体" w:eastAsia="宋体" w:cs="宋体"/>
          <w:sz w:val="44"/>
          <w:szCs w:val="44"/>
        </w:rPr>
      </w:pPr>
      <w:bookmarkStart w:id="37" w:name="_Toc23108"/>
      <w:r>
        <w:rPr>
          <w:rFonts w:hint="eastAsia" w:ascii="宋体" w:hAnsi="宋体" w:eastAsia="宋体" w:cs="宋体"/>
          <w:sz w:val="44"/>
          <w:szCs w:val="44"/>
        </w:rPr>
        <w:t>第三部分 授予合同</w:t>
      </w:r>
      <w:bookmarkEnd w:id="35"/>
      <w:bookmarkEnd w:id="36"/>
      <w:bookmarkEnd w:id="37"/>
    </w:p>
    <w:p w14:paraId="242FAB1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sz w:val="32"/>
          <w:szCs w:val="32"/>
        </w:rPr>
      </w:pPr>
      <w:bookmarkStart w:id="38" w:name="_Toc325620721"/>
      <w:bookmarkStart w:id="39" w:name="_Toc332979562"/>
      <w:bookmarkStart w:id="40" w:name="_Toc8997"/>
      <w:r>
        <w:rPr>
          <w:rFonts w:hint="eastAsia" w:ascii="黑体" w:hAnsi="黑体" w:eastAsia="黑体" w:cs="黑体"/>
          <w:sz w:val="32"/>
          <w:szCs w:val="32"/>
        </w:rPr>
        <w:t>一、签订合同</w:t>
      </w:r>
      <w:bookmarkEnd w:id="38"/>
      <w:bookmarkEnd w:id="39"/>
      <w:bookmarkEnd w:id="40"/>
    </w:p>
    <w:p w14:paraId="22AB695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评审工作结束后，采购人向成交供应商签发《中标通知书》，在</w:t>
      </w:r>
      <w:r>
        <w:rPr>
          <w:rFonts w:hint="eastAsia" w:ascii="仿宋_GB2312" w:hAnsi="仿宋_GB2312" w:eastAsia="仿宋_GB2312" w:cs="仿宋_GB2312"/>
          <w:sz w:val="32"/>
          <w:szCs w:val="32"/>
          <w:lang w:val="en-US" w:eastAsia="zh-CN"/>
        </w:rPr>
        <w:t>7个工作日</w:t>
      </w:r>
      <w:r>
        <w:rPr>
          <w:rFonts w:hint="eastAsia" w:ascii="仿宋_GB2312" w:hAnsi="仿宋_GB2312" w:eastAsia="仿宋_GB2312" w:cs="仿宋_GB2312"/>
          <w:sz w:val="32"/>
          <w:szCs w:val="32"/>
        </w:rPr>
        <w:t>内，由采购人和成交供应商签订合同。合同签订的内容不能超出</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文件和响应文件的实质性内容。</w:t>
      </w:r>
    </w:p>
    <w:p w14:paraId="47FF386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文件、采购人的报价文件及评审过程中有关澄清文件等均</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为合同附件。</w:t>
      </w:r>
    </w:p>
    <w:p w14:paraId="635E42D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sz w:val="32"/>
          <w:szCs w:val="32"/>
        </w:rPr>
      </w:pPr>
      <w:bookmarkStart w:id="41" w:name="_Toc332979563"/>
      <w:bookmarkStart w:id="42" w:name="_Toc325620722"/>
      <w:bookmarkStart w:id="43" w:name="_Toc16534"/>
      <w:r>
        <w:rPr>
          <w:rFonts w:hint="eastAsia" w:ascii="黑体" w:hAnsi="黑体" w:eastAsia="黑体" w:cs="黑体"/>
          <w:sz w:val="32"/>
          <w:szCs w:val="32"/>
        </w:rPr>
        <w:t>二、合同格式</w:t>
      </w:r>
      <w:bookmarkEnd w:id="41"/>
      <w:bookmarkEnd w:id="42"/>
      <w:bookmarkEnd w:id="43"/>
    </w:p>
    <w:p w14:paraId="2B2CB8F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详见附件</w:t>
      </w:r>
    </w:p>
    <w:p w14:paraId="14A7DD17">
      <w:pPr>
        <w:rPr>
          <w:rFonts w:hint="eastAsia" w:ascii="仿宋_GB2312" w:hAnsi="仿宋_GB2312" w:eastAsia="仿宋_GB2312" w:cs="仿宋_GB2312"/>
        </w:rPr>
      </w:pPr>
    </w:p>
    <w:p w14:paraId="37E6A958">
      <w:pPr>
        <w:rPr>
          <w:rFonts w:hint="eastAsia" w:ascii="仿宋_GB2312" w:hAnsi="仿宋_GB2312" w:eastAsia="仿宋_GB2312" w:cs="仿宋_GB2312"/>
        </w:rPr>
      </w:pPr>
    </w:p>
    <w:p w14:paraId="73EF53F1">
      <w:pPr>
        <w:rPr>
          <w:rFonts w:hint="eastAsia" w:ascii="仿宋_GB2312" w:hAnsi="仿宋_GB2312" w:eastAsia="仿宋_GB2312" w:cs="仿宋_GB2312"/>
        </w:rPr>
      </w:pPr>
    </w:p>
    <w:bookmarkEnd w:id="10"/>
    <w:bookmarkEnd w:id="11"/>
    <w:bookmarkEnd w:id="12"/>
    <w:bookmarkEnd w:id="13"/>
    <w:bookmarkEnd w:id="14"/>
    <w:bookmarkEnd w:id="15"/>
    <w:p w14:paraId="15D4B4AF">
      <w:pPr>
        <w:pageBreakBefore w:val="0"/>
        <w:widowControl/>
        <w:kinsoku/>
        <w:wordWrap/>
        <w:overflowPunct/>
        <w:topLinePunct w:val="0"/>
        <w:autoSpaceDE/>
        <w:autoSpaceDN/>
        <w:bidi w:val="0"/>
        <w:adjustRightInd w:val="0"/>
        <w:snapToGrid w:val="0"/>
        <w:spacing w:line="420" w:lineRule="auto"/>
        <w:ind w:left="0" w:leftChars="0"/>
        <w:jc w:val="center"/>
        <w:rPr>
          <w:rFonts w:hint="eastAsia" w:ascii="仿宋_GB2312" w:hAnsi="仿宋_GB2312" w:eastAsia="仿宋_GB2312" w:cs="仿宋_GB2312"/>
          <w:b/>
          <w:kern w:val="0"/>
          <w:sz w:val="36"/>
          <w:szCs w:val="36"/>
        </w:rPr>
      </w:pPr>
    </w:p>
    <w:p w14:paraId="41549EAD">
      <w:pPr>
        <w:pageBreakBefore w:val="0"/>
        <w:widowControl/>
        <w:kinsoku/>
        <w:wordWrap/>
        <w:overflowPunct/>
        <w:topLinePunct w:val="0"/>
        <w:autoSpaceDE/>
        <w:autoSpaceDN/>
        <w:bidi w:val="0"/>
        <w:adjustRightInd w:val="0"/>
        <w:snapToGrid w:val="0"/>
        <w:spacing w:line="420" w:lineRule="auto"/>
        <w:ind w:left="0" w:leftChars="0"/>
        <w:jc w:val="center"/>
        <w:rPr>
          <w:rFonts w:hint="eastAsia" w:ascii="仿宋_GB2312" w:hAnsi="仿宋_GB2312" w:eastAsia="仿宋_GB2312" w:cs="仿宋_GB2312"/>
          <w:b/>
          <w:kern w:val="0"/>
          <w:sz w:val="36"/>
          <w:szCs w:val="36"/>
        </w:rPr>
      </w:pPr>
    </w:p>
    <w:p w14:paraId="5CF695A1">
      <w:pPr>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br w:type="page"/>
      </w:r>
    </w:p>
    <w:p w14:paraId="18190615">
      <w:pPr>
        <w:bidi w:val="0"/>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甲方</w:t>
      </w:r>
      <w:r>
        <w:rPr>
          <w:rFonts w:hint="eastAsia" w:ascii="仿宋_GB2312" w:hAnsi="仿宋_GB2312" w:eastAsia="仿宋_GB2312" w:cs="仿宋_GB2312"/>
          <w:b/>
          <w:bCs/>
        </w:rPr>
        <w:t>合同编号：</w:t>
      </w:r>
      <w:r>
        <w:rPr>
          <w:rFonts w:hint="eastAsia" w:ascii="仿宋_GB2312" w:hAnsi="仿宋_GB2312" w:eastAsia="仿宋_GB2312" w:cs="仿宋_GB2312"/>
          <w:b/>
          <w:bCs/>
          <w:u w:val="single"/>
          <w:lang w:val="en-US" w:eastAsia="zh-CN"/>
        </w:rPr>
        <w:t xml:space="preserve">                </w:t>
      </w:r>
      <w:r>
        <w:rPr>
          <w:rFonts w:hint="eastAsia" w:ascii="仿宋_GB2312" w:hAnsi="仿宋_GB2312" w:eastAsia="仿宋_GB2312" w:cs="仿宋_GB2312"/>
          <w:b/>
          <w:bCs/>
        </w:rPr>
        <w:t xml:space="preserve">              </w:t>
      </w:r>
    </w:p>
    <w:p w14:paraId="00D12FB1">
      <w:pPr>
        <w:bidi w:val="0"/>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乙方合同编号：</w:t>
      </w:r>
      <w:r>
        <w:rPr>
          <w:rFonts w:hint="eastAsia" w:ascii="仿宋_GB2312" w:hAnsi="仿宋_GB2312" w:eastAsia="仿宋_GB2312" w:cs="仿宋_GB2312"/>
          <w:b/>
          <w:bCs/>
          <w:u w:val="single"/>
          <w:lang w:val="en-US" w:eastAsia="zh-CN"/>
        </w:rPr>
        <w:t xml:space="preserve">                </w:t>
      </w:r>
      <w:r>
        <w:rPr>
          <w:rFonts w:hint="eastAsia" w:ascii="仿宋_GB2312" w:hAnsi="仿宋_GB2312" w:eastAsia="仿宋_GB2312" w:cs="仿宋_GB2312"/>
          <w:b/>
          <w:bCs/>
        </w:rPr>
        <w:t xml:space="preserve">  </w:t>
      </w:r>
      <w:r>
        <w:rPr>
          <w:rFonts w:hint="eastAsia" w:ascii="仿宋_GB2312" w:hAnsi="仿宋_GB2312" w:eastAsia="仿宋_GB2312" w:cs="仿宋_GB2312"/>
        </w:rPr>
        <w:t xml:space="preserve">              </w:t>
      </w:r>
    </w:p>
    <w:p w14:paraId="77DC7B29">
      <w:pPr>
        <w:bidi w:val="0"/>
        <w:rPr>
          <w:rFonts w:hint="eastAsia" w:ascii="仿宋_GB2312" w:hAnsi="仿宋_GB2312" w:eastAsia="仿宋_GB2312" w:cs="仿宋_GB2312"/>
        </w:rPr>
      </w:pPr>
    </w:p>
    <w:p w14:paraId="32A03ECC">
      <w:pPr>
        <w:bidi w:val="0"/>
        <w:rPr>
          <w:rFonts w:hint="eastAsia" w:ascii="仿宋_GB2312" w:hAnsi="仿宋_GB2312" w:eastAsia="仿宋_GB2312" w:cs="仿宋_GB2312"/>
        </w:rPr>
      </w:pPr>
    </w:p>
    <w:p w14:paraId="697E7B72">
      <w:pPr>
        <w:bidi w:val="0"/>
        <w:jc w:val="center"/>
        <w:rPr>
          <w:rFonts w:hint="eastAsia" w:ascii="仿宋_GB2312" w:hAnsi="仿宋_GB2312" w:eastAsia="仿宋_GB2312" w:cs="仿宋_GB2312"/>
          <w:b/>
          <w:bCs w:val="0"/>
          <w:sz w:val="44"/>
          <w:szCs w:val="44"/>
          <w:lang w:eastAsia="zh-CN"/>
        </w:rPr>
      </w:pPr>
    </w:p>
    <w:p w14:paraId="4FC7FA18">
      <w:pPr>
        <w:bidi w:val="0"/>
        <w:jc w:val="center"/>
        <w:rPr>
          <w:rFonts w:hint="eastAsia" w:ascii="仿宋_GB2312" w:hAnsi="仿宋_GB2312" w:eastAsia="仿宋_GB2312" w:cs="仿宋_GB2312"/>
          <w:b/>
          <w:bCs w:val="0"/>
          <w:sz w:val="44"/>
          <w:szCs w:val="44"/>
          <w:lang w:eastAsia="zh-CN"/>
        </w:rPr>
      </w:pPr>
    </w:p>
    <w:p w14:paraId="5FB3FB14">
      <w:pPr>
        <w:bidi w:val="0"/>
        <w:jc w:val="center"/>
        <w:rPr>
          <w:rFonts w:hint="eastAsia" w:ascii="仿宋_GB2312" w:hAnsi="仿宋_GB2312" w:eastAsia="仿宋_GB2312" w:cs="仿宋_GB2312"/>
          <w:b/>
          <w:bCs w:val="0"/>
          <w:sz w:val="44"/>
          <w:szCs w:val="44"/>
        </w:rPr>
      </w:pPr>
      <w:r>
        <w:rPr>
          <w:rFonts w:hint="eastAsia" w:ascii="仿宋_GB2312" w:hAnsi="仿宋_GB2312" w:eastAsia="仿宋_GB2312" w:cs="仿宋_GB2312"/>
          <w:b/>
          <w:bCs w:val="0"/>
          <w:sz w:val="44"/>
          <w:szCs w:val="44"/>
          <w:lang w:eastAsia="zh-CN"/>
        </w:rPr>
        <w:t>房地产估价委托书</w:t>
      </w:r>
    </w:p>
    <w:p w14:paraId="0B493545">
      <w:pPr>
        <w:bidi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 xml:space="preserve">               </w:t>
      </w:r>
    </w:p>
    <w:p w14:paraId="3CD521D3">
      <w:pPr>
        <w:bidi w:val="0"/>
        <w:rPr>
          <w:rFonts w:hint="eastAsia" w:ascii="仿宋_GB2312" w:hAnsi="仿宋_GB2312" w:eastAsia="仿宋_GB2312" w:cs="仿宋_GB2312"/>
          <w:b/>
          <w:bCs/>
          <w:sz w:val="44"/>
          <w:szCs w:val="44"/>
        </w:rPr>
      </w:pPr>
    </w:p>
    <w:p w14:paraId="74B2C333">
      <w:pPr>
        <w:bidi w:val="0"/>
        <w:rPr>
          <w:rFonts w:hint="eastAsia" w:ascii="仿宋_GB2312" w:hAnsi="仿宋_GB2312" w:eastAsia="仿宋_GB2312" w:cs="仿宋_GB2312"/>
          <w:b/>
          <w:bCs/>
          <w:sz w:val="44"/>
          <w:szCs w:val="44"/>
        </w:rPr>
      </w:pPr>
    </w:p>
    <w:p w14:paraId="5668F6FF">
      <w:pPr>
        <w:bidi w:val="0"/>
        <w:rPr>
          <w:rFonts w:hint="eastAsia" w:ascii="仿宋_GB2312" w:hAnsi="仿宋_GB2312" w:eastAsia="仿宋_GB2312" w:cs="仿宋_GB2312"/>
          <w:b/>
          <w:bCs/>
          <w:sz w:val="44"/>
          <w:szCs w:val="44"/>
        </w:rPr>
      </w:pPr>
    </w:p>
    <w:p w14:paraId="47418113">
      <w:pPr>
        <w:bidi w:val="0"/>
        <w:rPr>
          <w:rFonts w:hint="eastAsia" w:ascii="仿宋_GB2312" w:hAnsi="仿宋_GB2312" w:eastAsia="仿宋_GB2312" w:cs="仿宋_GB2312"/>
          <w:b/>
          <w:bCs/>
          <w:sz w:val="44"/>
          <w:szCs w:val="44"/>
        </w:rPr>
      </w:pPr>
    </w:p>
    <w:p w14:paraId="6A8DFCFB">
      <w:pPr>
        <w:keepNext w:val="0"/>
        <w:keepLines w:val="0"/>
        <w:pageBreakBefore w:val="0"/>
        <w:widowControl w:val="0"/>
        <w:kinsoku/>
        <w:wordWrap/>
        <w:overflowPunct/>
        <w:topLinePunct w:val="0"/>
        <w:autoSpaceDE/>
        <w:autoSpaceDN/>
        <w:bidi w:val="0"/>
        <w:adjustRightInd w:val="0"/>
        <w:snapToGrid w:val="0"/>
        <w:spacing w:line="560" w:lineRule="exact"/>
        <w:ind w:firstLine="1606" w:firstLineChars="5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甲方：</w:t>
      </w:r>
      <w:r>
        <w:rPr>
          <w:rFonts w:hint="eastAsia" w:ascii="仿宋_GB2312" w:hAnsi="仿宋_GB2312" w:eastAsia="仿宋_GB2312" w:cs="仿宋_GB2312"/>
          <w:b/>
          <w:color w:val="333333"/>
          <w:sz w:val="32"/>
          <w:szCs w:val="32"/>
          <w:u w:val="single"/>
        </w:rPr>
        <w:t>海南卫生健康职业学院</w:t>
      </w:r>
      <w:r>
        <w:rPr>
          <w:rFonts w:hint="eastAsia" w:ascii="仿宋_GB2312" w:hAnsi="仿宋_GB2312" w:eastAsia="仿宋_GB2312" w:cs="仿宋_GB2312"/>
          <w:b/>
          <w:color w:val="333333"/>
          <w:sz w:val="32"/>
          <w:szCs w:val="32"/>
          <w:u w:val="single"/>
          <w:lang w:val="en-US" w:eastAsia="zh-CN"/>
        </w:rPr>
        <w:t xml:space="preserve">    </w:t>
      </w:r>
    </w:p>
    <w:p w14:paraId="2B76362E">
      <w:pPr>
        <w:keepNext w:val="0"/>
        <w:keepLines w:val="0"/>
        <w:pageBreakBefore w:val="0"/>
        <w:widowControl w:val="0"/>
        <w:kinsoku/>
        <w:wordWrap/>
        <w:overflowPunct/>
        <w:topLinePunct w:val="0"/>
        <w:autoSpaceDE/>
        <w:autoSpaceDN/>
        <w:bidi w:val="0"/>
        <w:adjustRightInd w:val="0"/>
        <w:snapToGrid w:val="0"/>
        <w:spacing w:line="560" w:lineRule="exact"/>
        <w:ind w:firstLine="1606" w:firstLineChars="500"/>
        <w:jc w:val="both"/>
        <w:textAlignment w:val="auto"/>
        <w:rPr>
          <w:rFonts w:hint="default"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rPr>
        <w:t>乙方：</w:t>
      </w:r>
      <w:r>
        <w:rPr>
          <w:rFonts w:hint="eastAsia" w:ascii="仿宋_GB2312" w:hAnsi="仿宋_GB2312" w:eastAsia="仿宋_GB2312" w:cs="仿宋_GB2312"/>
          <w:b/>
          <w:bCs/>
          <w:sz w:val="32"/>
          <w:szCs w:val="32"/>
          <w:u w:val="single"/>
          <w:lang w:val="en-US" w:eastAsia="zh-CN"/>
        </w:rPr>
        <w:t xml:space="preserve">                        </w:t>
      </w:r>
    </w:p>
    <w:p w14:paraId="085D43F1">
      <w:pPr>
        <w:keepNext w:val="0"/>
        <w:keepLines w:val="0"/>
        <w:pageBreakBefore w:val="0"/>
        <w:widowControl w:val="0"/>
        <w:kinsoku/>
        <w:wordWrap/>
        <w:overflowPunct/>
        <w:topLinePunct w:val="0"/>
        <w:autoSpaceDE/>
        <w:autoSpaceDN/>
        <w:bidi w:val="0"/>
        <w:adjustRightInd w:val="0"/>
        <w:snapToGrid w:val="0"/>
        <w:spacing w:line="560" w:lineRule="exact"/>
        <w:ind w:firstLine="1605" w:firstLineChars="400"/>
        <w:jc w:val="both"/>
        <w:textAlignment w:val="auto"/>
        <w:rPr>
          <w:rFonts w:hint="eastAsia" w:ascii="仿宋_GB2312" w:hAnsi="仿宋_GB2312" w:eastAsia="仿宋_GB2312" w:cs="仿宋_GB2312"/>
          <w:b/>
          <w:color w:val="333333"/>
          <w:sz w:val="32"/>
          <w:szCs w:val="32"/>
          <w:u w:val="single"/>
        </w:rPr>
      </w:pPr>
      <w:r>
        <w:rPr>
          <w:rFonts w:hint="eastAsia" w:ascii="仿宋_GB2312" w:hAnsi="仿宋_GB2312" w:eastAsia="仿宋_GB2312" w:cs="仿宋_GB2312"/>
          <w:b/>
          <w:color w:val="333333"/>
          <w:spacing w:val="40"/>
          <w:sz w:val="32"/>
          <w:szCs w:val="32"/>
        </w:rPr>
        <w:t>签订日期</w:t>
      </w:r>
      <w:r>
        <w:rPr>
          <w:rFonts w:hint="eastAsia" w:ascii="仿宋_GB2312" w:hAnsi="仿宋_GB2312" w:eastAsia="仿宋_GB2312" w:cs="仿宋_GB2312"/>
          <w:b/>
          <w:color w:val="333333"/>
          <w:sz w:val="32"/>
          <w:szCs w:val="32"/>
        </w:rPr>
        <w:t>：</w:t>
      </w:r>
      <w:r>
        <w:rPr>
          <w:rFonts w:hint="eastAsia" w:ascii="仿宋_GB2312" w:hAnsi="仿宋_GB2312" w:eastAsia="仿宋_GB2312" w:cs="仿宋_GB2312"/>
          <w:b/>
          <w:color w:val="333333"/>
          <w:sz w:val="32"/>
          <w:szCs w:val="32"/>
          <w:u w:val="single"/>
        </w:rPr>
        <w:t xml:space="preserve">　  </w:t>
      </w:r>
      <w:r>
        <w:rPr>
          <w:rFonts w:hint="eastAsia" w:ascii="仿宋_GB2312" w:hAnsi="仿宋_GB2312" w:eastAsia="仿宋_GB2312" w:cs="仿宋_GB2312"/>
          <w:b/>
          <w:color w:val="333333"/>
          <w:sz w:val="32"/>
          <w:szCs w:val="32"/>
          <w:u w:val="single"/>
          <w:lang w:val="en-US" w:eastAsia="zh-CN"/>
        </w:rPr>
        <w:t xml:space="preserve"> </w:t>
      </w:r>
      <w:r>
        <w:rPr>
          <w:rFonts w:hint="eastAsia" w:ascii="仿宋_GB2312" w:hAnsi="仿宋_GB2312" w:eastAsia="仿宋_GB2312" w:cs="仿宋_GB2312"/>
          <w:b/>
          <w:color w:val="333333"/>
          <w:sz w:val="32"/>
          <w:szCs w:val="32"/>
          <w:u w:val="single"/>
        </w:rPr>
        <w:t>年</w:t>
      </w:r>
      <w:r>
        <w:rPr>
          <w:rFonts w:hint="eastAsia" w:ascii="仿宋_GB2312" w:hAnsi="仿宋_GB2312" w:eastAsia="仿宋_GB2312" w:cs="仿宋_GB2312"/>
          <w:b/>
          <w:color w:val="333333"/>
          <w:sz w:val="32"/>
          <w:szCs w:val="32"/>
          <w:u w:val="single"/>
          <w:lang w:val="en-US" w:eastAsia="zh-CN"/>
        </w:rPr>
        <w:t xml:space="preserve"> </w:t>
      </w:r>
      <w:r>
        <w:rPr>
          <w:rFonts w:hint="eastAsia" w:ascii="仿宋_GB2312" w:hAnsi="仿宋_GB2312" w:eastAsia="仿宋_GB2312" w:cs="仿宋_GB2312"/>
          <w:b/>
          <w:color w:val="333333"/>
          <w:sz w:val="32"/>
          <w:szCs w:val="32"/>
          <w:u w:val="single"/>
        </w:rPr>
        <w:t>　</w:t>
      </w:r>
      <w:r>
        <w:rPr>
          <w:rFonts w:hint="eastAsia" w:ascii="仿宋_GB2312" w:hAnsi="仿宋_GB2312" w:eastAsia="仿宋_GB2312" w:cs="仿宋_GB2312"/>
          <w:b/>
          <w:color w:val="333333"/>
          <w:sz w:val="32"/>
          <w:szCs w:val="32"/>
          <w:u w:val="single"/>
          <w:lang w:val="en-US" w:eastAsia="zh-CN"/>
        </w:rPr>
        <w:t xml:space="preserve"> </w:t>
      </w:r>
      <w:r>
        <w:rPr>
          <w:rFonts w:hint="eastAsia" w:ascii="仿宋_GB2312" w:hAnsi="仿宋_GB2312" w:eastAsia="仿宋_GB2312" w:cs="仿宋_GB2312"/>
          <w:b/>
          <w:color w:val="333333"/>
          <w:sz w:val="32"/>
          <w:szCs w:val="32"/>
          <w:u w:val="single"/>
        </w:rPr>
        <w:t>月　　日</w:t>
      </w:r>
    </w:p>
    <w:p w14:paraId="63BD6DF8">
      <w:pPr>
        <w:bidi w:val="0"/>
        <w:jc w:val="center"/>
        <w:rPr>
          <w:rFonts w:hint="eastAsia" w:ascii="仿宋_GB2312" w:hAnsi="仿宋_GB2312" w:eastAsia="仿宋_GB2312" w:cs="仿宋_GB2312"/>
          <w:b/>
          <w:bCs/>
          <w:sz w:val="32"/>
          <w:szCs w:val="32"/>
        </w:rPr>
      </w:pPr>
    </w:p>
    <w:p w14:paraId="08A547F2">
      <w:pPr>
        <w:bidi w:val="0"/>
        <w:rPr>
          <w:rFonts w:hint="eastAsia" w:ascii="仿宋_GB2312" w:hAnsi="仿宋_GB2312" w:eastAsia="仿宋_GB2312" w:cs="仿宋_GB2312"/>
        </w:rPr>
      </w:pPr>
      <w:r>
        <w:rPr>
          <w:rFonts w:hint="eastAsia" w:ascii="仿宋_GB2312" w:hAnsi="仿宋_GB2312" w:eastAsia="仿宋_GB2312" w:cs="仿宋_GB2312"/>
        </w:rPr>
        <w:br w:type="page"/>
      </w:r>
    </w:p>
    <w:p w14:paraId="4BE9F1AE">
      <w:pPr>
        <w:keepNext w:val="0"/>
        <w:keepLines w:val="0"/>
        <w:pageBreakBefore w:val="0"/>
        <w:widowControl w:val="0"/>
        <w:shd w:val="clear"/>
        <w:kinsoku/>
        <w:wordWrap/>
        <w:overflowPunct/>
        <w:topLinePunct w:val="0"/>
        <w:autoSpaceDE/>
        <w:autoSpaceDN/>
        <w:bidi w:val="0"/>
        <w:adjustRightInd w:val="0"/>
        <w:snapToGrid w:val="0"/>
        <w:spacing w:line="560" w:lineRule="exact"/>
        <w:ind w:leftChars="0" w:firstLine="883" w:firstLineChars="200"/>
        <w:jc w:val="center"/>
        <w:textAlignment w:val="auto"/>
        <w:rPr>
          <w:rFonts w:hint="eastAsia" w:asciiTheme="minorEastAsia" w:hAnsiTheme="minorEastAsia" w:eastAsiaTheme="minorEastAsia" w:cstheme="minorEastAsia"/>
          <w:b/>
          <w:bCs w:val="0"/>
          <w:sz w:val="44"/>
          <w:szCs w:val="44"/>
          <w:lang w:eastAsia="zh-CN"/>
        </w:rPr>
      </w:pPr>
      <w:r>
        <w:rPr>
          <w:rFonts w:hint="eastAsia" w:asciiTheme="minorEastAsia" w:hAnsiTheme="minorEastAsia" w:eastAsiaTheme="minorEastAsia" w:cstheme="minorEastAsia"/>
          <w:b/>
          <w:bCs w:val="0"/>
          <w:sz w:val="44"/>
          <w:szCs w:val="44"/>
          <w:lang w:eastAsia="zh-CN"/>
        </w:rPr>
        <w:t>房地产估价委托书</w:t>
      </w:r>
    </w:p>
    <w:p w14:paraId="4A076390">
      <w:pPr>
        <w:keepNext w:val="0"/>
        <w:keepLines w:val="0"/>
        <w:pageBreakBefore w:val="0"/>
        <w:widowControl w:val="0"/>
        <w:shd w:val="clear"/>
        <w:kinsoku/>
        <w:wordWrap/>
        <w:overflowPunct/>
        <w:topLinePunct w:val="0"/>
        <w:autoSpaceDE/>
        <w:autoSpaceDN/>
        <w:bidi w:val="0"/>
        <w:adjustRightInd w:val="0"/>
        <w:snapToGrid w:val="0"/>
        <w:spacing w:line="560" w:lineRule="exact"/>
        <w:ind w:leftChars="0" w:firstLine="883" w:firstLineChars="200"/>
        <w:jc w:val="center"/>
        <w:textAlignment w:val="auto"/>
        <w:rPr>
          <w:rFonts w:hint="eastAsia" w:asciiTheme="minorEastAsia" w:hAnsiTheme="minorEastAsia" w:eastAsiaTheme="minorEastAsia" w:cstheme="minorEastAsia"/>
          <w:b/>
          <w:bCs w:val="0"/>
          <w:sz w:val="44"/>
          <w:szCs w:val="44"/>
          <w:lang w:val="en-US" w:eastAsia="zh-CN"/>
        </w:rPr>
      </w:pPr>
    </w:p>
    <w:p w14:paraId="7BB2706B">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委托评估方（甲方）：海南卫生健康职业学院</w:t>
      </w:r>
    </w:p>
    <w:p w14:paraId="444CBDFC">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评估机构（乙方）：</w:t>
      </w:r>
    </w:p>
    <w:p w14:paraId="122D571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根据国家评估相关规定，甲乙双方经过充分协商，就项目房地产估价事宜订立本协议书，内容如下：甲方因房地产租赁 的需要，委托乙方对位于</w:t>
      </w:r>
      <w:r>
        <w:rPr>
          <w:rFonts w:hint="eastAsia" w:ascii="仿宋_GB2312" w:hAnsi="Times New Roman" w:eastAsia="仿宋_GB2312" w:cs="仿宋_GB2312"/>
          <w:bCs/>
          <w:kern w:val="2"/>
          <w:sz w:val="32"/>
          <w:szCs w:val="32"/>
          <w:lang w:val="en-US" w:eastAsia="zh-CN" w:bidi="ar"/>
        </w:rPr>
        <w:t>海口市龙华区白水塘路48号海南卫生健康职业学院一楼小卖部建筑面积为24.72㎡的房地产市场</w:t>
      </w:r>
      <w:r>
        <w:rPr>
          <w:rFonts w:hint="eastAsia" w:ascii="仿宋_GB2312" w:hAnsi="仿宋_GB2312" w:eastAsia="仿宋_GB2312" w:cs="仿宋_GB2312"/>
          <w:b w:val="0"/>
          <w:bCs/>
          <w:sz w:val="32"/>
          <w:szCs w:val="32"/>
          <w:lang w:val="en-US" w:eastAsia="zh-CN"/>
        </w:rPr>
        <w:t>租金价值进行评估。</w:t>
      </w:r>
    </w:p>
    <w:p w14:paraId="250EC09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一、有关日期的约定</w:t>
      </w:r>
    </w:p>
    <w:p w14:paraId="27A5380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在甲方提供完全部评估所需资料后的7个工作日内，乙方向甲方提交房地产估价报告征求意见稿，待接到甲方关于可出具正式报告的通知后，乙方在3个工作日内提交正式的房地产估价报告。</w:t>
      </w:r>
    </w:p>
    <w:p w14:paraId="1C1E74E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评估基准日：     年    月    日。</w:t>
      </w:r>
    </w:p>
    <w:p w14:paraId="2021812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二、正确使用估价报告</w:t>
      </w:r>
    </w:p>
    <w:p w14:paraId="2CFAAD1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1、估价报告一式肆份，乙方存档壹份，送甲方叁份。</w:t>
      </w:r>
    </w:p>
    <w:p w14:paraId="535E666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2、甲方应当按照评估业务约定书中约定的估价报告使用范围正确使用估价报告书，因甲方超出范围使用而造成的后果，与房地产估价师及其所在的公司无关。</w:t>
      </w:r>
    </w:p>
    <w:p w14:paraId="3C657761">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三、评估收费</w:t>
      </w:r>
    </w:p>
    <w:p w14:paraId="3D4CFD0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按海南省物价局琼价费管【2012】354号有关规定和海南省房地产估价与经纪业协会文件琼估协【2016】7号有关规定，根据项目繁简程度、时间要求、专业技能水平、服务质量等情况，经双方协商一致，本次总评估费为人民币  元整（￥元），在乙方提交正式评估报告后5日内由甲方或甲方指定的单位向乙方一次性付清。</w:t>
      </w:r>
    </w:p>
    <w:p w14:paraId="0F18B4B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2、在甲方支付评估费用前，乙方需提供等额增值税发票。</w:t>
      </w:r>
    </w:p>
    <w:p w14:paraId="7E86FB2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四、责任与义务</w:t>
      </w:r>
    </w:p>
    <w:p w14:paraId="4A12AF2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1、甲方</w:t>
      </w:r>
    </w:p>
    <w:p w14:paraId="4183D1A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1.1建立和健全内部控制制度，保证资产的安全、完整、保证所提供资料的完整、客观、合法。</w:t>
      </w:r>
    </w:p>
    <w:p w14:paraId="0A5E37C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1.2及时提供评估工作所必须的资料，并积极配合乙方的评估工作。</w:t>
      </w:r>
    </w:p>
    <w:p w14:paraId="4DA5698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1.3由于甲方的原因造成评估工作的停顿或者估价报告的失实，由此而引起的法律责任由甲方负责。</w:t>
      </w:r>
    </w:p>
    <w:p w14:paraId="42A85D4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2、乙方</w:t>
      </w:r>
    </w:p>
    <w:p w14:paraId="47CD18E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2.1乙方按约定的时间完成评估业务，出具估价报告，并对估价报告客观性、真实性、合法性负责。</w:t>
      </w:r>
    </w:p>
    <w:p w14:paraId="2A14A1A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2.2乙方对在执业过程中所知悉的有关甲方的商业秘密及其他的不宜公开的隐秘负有保密责任，不得将知悉的秘密和隐秘告知他人和谋取私利。</w:t>
      </w:r>
    </w:p>
    <w:p w14:paraId="1CFB73C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2.3乙方必须对评估结果保密，评估结果只能提供给甲方，非经甲方同意，不得擅自公开或泄露给他人，但按规定接受行业检查，依法提取的除外。</w:t>
      </w:r>
    </w:p>
    <w:p w14:paraId="7BB5B4F2">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五、其他约定事项</w:t>
      </w:r>
    </w:p>
    <w:p w14:paraId="02E9C26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甲方如果中途提出中断委托请求，乙方已经工作过半，则甲方应付给乙方全部的评估服务费；若乙方的工作尚未过半，甲方则应付给乙方全部评估费的50%，或预付的评估费不予退还；乙方违约则双倍退还预付评估费。</w:t>
      </w:r>
    </w:p>
    <w:p w14:paraId="1DFF1F3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甲方接到乙方提交的估价报告书次日起七天内，如对评估结果有异议且有正当理由，可向乙方提交书面异议书；乙方在接到书面异议书之日起四个工作日内进行复检、解释、或对估价报告书作出修正。甲方逾期未提出者。估价报告书生效。</w:t>
      </w:r>
    </w:p>
    <w:p w14:paraId="5C5BF07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3、其他未尽事宜由甲、乙双方另行约定。</w:t>
      </w:r>
    </w:p>
    <w:p w14:paraId="7FC227D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4、本约定书签订之日起生效。</w:t>
      </w:r>
    </w:p>
    <w:p w14:paraId="126E0E2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5、本协议一式伍份，甲方叁份，乙方贰份。</w:t>
      </w:r>
    </w:p>
    <w:p w14:paraId="67BE2C7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六、违约责任</w:t>
      </w:r>
    </w:p>
    <w:p w14:paraId="7B3859A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甲乙双方依据本约定履行各自义务，违约则依据本约定承担违约责任，本约定书约定的依照《民法典》有关规定执行。</w:t>
      </w:r>
    </w:p>
    <w:p w14:paraId="7988E72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p>
    <w:p w14:paraId="5A36A3C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                            乙方:</w:t>
      </w:r>
    </w:p>
    <w:p w14:paraId="09963CDF">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val="en-US" w:eastAsia="zh-CN"/>
        </w:rPr>
      </w:pPr>
    </w:p>
    <w:p w14:paraId="4FE92E96">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val="en-US" w:eastAsia="zh-CN"/>
        </w:rPr>
      </w:pPr>
    </w:p>
    <w:p w14:paraId="369E6DC2">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法定代表人或授权代表:         法定代表人或授权代表： </w:t>
      </w:r>
    </w:p>
    <w:p w14:paraId="5392966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7482DD4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036316BB">
      <w:pPr>
        <w:keepNext w:val="0"/>
        <w:keepLines w:val="0"/>
        <w:pageBreakBefore w:val="0"/>
        <w:widowControl w:val="0"/>
        <w:kinsoku/>
        <w:wordWrap/>
        <w:overflowPunct/>
        <w:topLinePunct w:val="0"/>
        <w:autoSpaceDE/>
        <w:autoSpaceDN/>
        <w:bidi w:val="0"/>
        <w:adjustRightInd w:val="0"/>
        <w:snapToGrid w:val="0"/>
        <w:spacing w:line="560" w:lineRule="exact"/>
        <w:ind w:firstLine="960" w:firstLineChars="300"/>
        <w:textAlignment w:val="auto"/>
        <w:rPr>
          <w:rFonts w:hint="eastAsia" w:ascii="仿宋_GB2312" w:hAnsi="仿宋_GB2312" w:eastAsia="仿宋_GB2312" w:cs="仿宋_GB2312"/>
          <w:b/>
          <w:bCs w:val="0"/>
          <w:sz w:val="36"/>
          <w:szCs w:val="36"/>
        </w:rPr>
      </w:pPr>
      <w:r>
        <w:rPr>
          <w:rFonts w:hint="eastAsia" w:ascii="仿宋_GB2312" w:hAnsi="仿宋_GB2312" w:eastAsia="仿宋_GB2312" w:cs="仿宋_GB2312"/>
          <w:sz w:val="32"/>
          <w:szCs w:val="32"/>
          <w:lang w:val="en-US" w:eastAsia="zh-CN"/>
        </w:rPr>
        <w:t xml:space="preserve">年   月   日                 年   月   日  </w:t>
      </w:r>
    </w:p>
    <w:p w14:paraId="5D87CCAF">
      <w:pPr>
        <w:rPr>
          <w:rFonts w:hint="eastAsia"/>
        </w:rPr>
      </w:pPr>
      <w:bookmarkStart w:id="44" w:name="_Toc356491327"/>
      <w:bookmarkStart w:id="45" w:name="_Toc356490388"/>
      <w:bookmarkStart w:id="46" w:name="_Toc325620723"/>
      <w:bookmarkStart w:id="47" w:name="_Toc40089798"/>
      <w:bookmarkStart w:id="48" w:name="_Toc905"/>
      <w:bookmarkStart w:id="49" w:name="_Toc19372"/>
    </w:p>
    <w:p w14:paraId="7890A7A5">
      <w:pPr>
        <w:rPr>
          <w:rFonts w:hint="eastAsia" w:hAnsi="宋体" w:cs="宋体"/>
          <w:color w:val="auto"/>
          <w:highlight w:val="none"/>
        </w:rPr>
      </w:pPr>
    </w:p>
    <w:p w14:paraId="295BCCE0">
      <w:pPr>
        <w:rPr>
          <w:rFonts w:hint="eastAsia" w:hAnsi="宋体" w:cs="宋体"/>
          <w:color w:val="auto"/>
          <w:highlight w:val="none"/>
        </w:rPr>
      </w:pPr>
    </w:p>
    <w:p w14:paraId="3E861D1F">
      <w:pPr>
        <w:rPr>
          <w:rFonts w:hint="eastAsia" w:hAnsi="宋体" w:cs="宋体"/>
          <w:color w:val="auto"/>
          <w:highlight w:val="none"/>
        </w:rPr>
      </w:pPr>
    </w:p>
    <w:p w14:paraId="02F308F0">
      <w:pPr>
        <w:rPr>
          <w:rFonts w:hint="eastAsia" w:hAnsi="宋体" w:cs="宋体"/>
          <w:color w:val="auto"/>
          <w:highlight w:val="none"/>
        </w:rPr>
      </w:pPr>
    </w:p>
    <w:p w14:paraId="6FBF8C6F">
      <w:pPr>
        <w:rPr>
          <w:rFonts w:hint="eastAsia" w:hAnsi="宋体" w:cs="宋体"/>
          <w:color w:val="auto"/>
          <w:highlight w:val="none"/>
        </w:rPr>
      </w:pPr>
    </w:p>
    <w:p w14:paraId="1C1661BF">
      <w:pPr>
        <w:rPr>
          <w:rFonts w:hint="eastAsia" w:hAnsi="宋体" w:cs="宋体"/>
          <w:color w:val="auto"/>
          <w:highlight w:val="none"/>
        </w:rPr>
      </w:pPr>
    </w:p>
    <w:p w14:paraId="29FB9E0E">
      <w:pPr>
        <w:rPr>
          <w:rFonts w:hint="eastAsia" w:hAnsi="宋体" w:cs="宋体"/>
          <w:color w:val="auto"/>
          <w:highlight w:val="none"/>
        </w:rPr>
      </w:pPr>
    </w:p>
    <w:p w14:paraId="6AC62FCB">
      <w:pPr>
        <w:rPr>
          <w:rFonts w:hint="eastAsia" w:hAnsi="宋体" w:cs="宋体"/>
          <w:color w:val="auto"/>
          <w:highlight w:val="none"/>
        </w:rPr>
      </w:pPr>
    </w:p>
    <w:p w14:paraId="3547C1DA">
      <w:pPr>
        <w:rPr>
          <w:rFonts w:hint="eastAsia" w:hAnsi="宋体" w:cs="宋体"/>
          <w:color w:val="auto"/>
          <w:highlight w:val="none"/>
        </w:rPr>
      </w:pPr>
    </w:p>
    <w:p w14:paraId="37C2922C">
      <w:pPr>
        <w:pStyle w:val="3"/>
        <w:shd w:val="clear"/>
        <w:jc w:val="center"/>
        <w:rPr>
          <w:rFonts w:hint="eastAsia" w:hAnsi="宋体" w:cs="宋体"/>
          <w:color w:val="auto"/>
          <w:highlight w:val="none"/>
        </w:rPr>
      </w:pPr>
      <w:r>
        <w:rPr>
          <w:rFonts w:hint="eastAsia" w:hAnsi="宋体" w:cs="宋体"/>
          <w:color w:val="auto"/>
          <w:highlight w:val="none"/>
        </w:rPr>
        <w:t xml:space="preserve">第四部分 </w:t>
      </w:r>
      <w:bookmarkEnd w:id="44"/>
      <w:bookmarkEnd w:id="45"/>
      <w:bookmarkEnd w:id="46"/>
      <w:r>
        <w:rPr>
          <w:rFonts w:hint="eastAsia" w:hAnsi="宋体" w:cs="宋体"/>
          <w:color w:val="auto"/>
          <w:highlight w:val="none"/>
          <w:lang w:val="en-US" w:eastAsia="zh-CN"/>
        </w:rPr>
        <w:t>项目需</w:t>
      </w:r>
      <w:r>
        <w:rPr>
          <w:rFonts w:hint="eastAsia" w:hAnsi="宋体" w:cs="宋体"/>
          <w:color w:val="auto"/>
          <w:highlight w:val="none"/>
        </w:rPr>
        <w:t>求及说明</w:t>
      </w:r>
      <w:bookmarkEnd w:id="47"/>
      <w:bookmarkEnd w:id="48"/>
      <w:bookmarkEnd w:id="49"/>
    </w:p>
    <w:p w14:paraId="571B626E">
      <w:pPr>
        <w:keepNext w:val="0"/>
        <w:keepLines w:val="0"/>
        <w:pageBreakBefore w:val="0"/>
        <w:widowControl w:val="0"/>
        <w:shd w:val="clear"/>
        <w:kinsoku/>
        <w:wordWrap/>
        <w:overflowPunct/>
        <w:topLinePunct w:val="0"/>
        <w:autoSpaceDE/>
        <w:autoSpaceDN/>
        <w:bidi w:val="0"/>
        <w:adjustRightInd w:val="0"/>
        <w:snapToGrid w:val="0"/>
        <w:spacing w:line="560" w:lineRule="exact"/>
        <w:ind w:firstLine="480"/>
        <w:textAlignment w:val="auto"/>
        <w:rPr>
          <w:rFonts w:hint="eastAsia" w:ascii="黑体" w:hAnsi="黑体" w:eastAsia="黑体" w:cs="黑体"/>
          <w:b/>
          <w:bCs w:val="0"/>
          <w:color w:val="auto"/>
          <w:sz w:val="32"/>
          <w:szCs w:val="32"/>
        </w:rPr>
      </w:pPr>
      <w:bookmarkStart w:id="50" w:name="_Toc425948677"/>
      <w:r>
        <w:rPr>
          <w:rFonts w:hint="eastAsia" w:ascii="黑体" w:hAnsi="黑体" w:eastAsia="黑体" w:cs="黑体"/>
          <w:b/>
          <w:bCs w:val="0"/>
          <w:color w:val="auto"/>
          <w:sz w:val="32"/>
          <w:szCs w:val="32"/>
        </w:rPr>
        <w:t>一、项目概况及预算情况</w:t>
      </w:r>
    </w:p>
    <w:p w14:paraId="1022CE88">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20" w:lineRule="exact"/>
        <w:ind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项目名称：</w:t>
      </w:r>
      <w:r>
        <w:rPr>
          <w:rFonts w:hint="eastAsia" w:ascii="仿宋_GB2312" w:hAnsi="仿宋_GB2312" w:eastAsia="仿宋_GB2312" w:cs="仿宋_GB2312"/>
          <w:sz w:val="32"/>
          <w:szCs w:val="32"/>
          <w:lang w:eastAsia="zh-CN"/>
        </w:rPr>
        <w:t>椰海校区小卖部房地产租赁价格评估项目（</w:t>
      </w:r>
      <w:r>
        <w:rPr>
          <w:rFonts w:hint="eastAsia" w:ascii="仿宋_GB2312" w:hAnsi="仿宋_GB2312" w:eastAsia="仿宋_GB2312" w:cs="仿宋_GB2312"/>
          <w:sz w:val="32"/>
          <w:szCs w:val="32"/>
          <w:lang w:val="en-US" w:eastAsia="zh-CN"/>
        </w:rPr>
        <w:t>二次招标</w:t>
      </w:r>
      <w:bookmarkStart w:id="106" w:name="_GoBack"/>
      <w:bookmarkEnd w:id="106"/>
      <w:r>
        <w:rPr>
          <w:rFonts w:hint="eastAsia" w:ascii="仿宋_GB2312" w:hAnsi="仿宋_GB2312" w:eastAsia="仿宋_GB2312" w:cs="仿宋_GB2312"/>
          <w:sz w:val="32"/>
          <w:szCs w:val="32"/>
          <w:lang w:eastAsia="zh-CN"/>
        </w:rPr>
        <w:t>）。</w:t>
      </w:r>
    </w:p>
    <w:p w14:paraId="0B79B007">
      <w:pPr>
        <w:keepNext w:val="0"/>
        <w:keepLines w:val="0"/>
        <w:pageBreakBefore w:val="0"/>
        <w:widowControl w:val="0"/>
        <w:shd w:val="clear"/>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项目总预算：</w:t>
      </w:r>
      <w:r>
        <w:rPr>
          <w:rFonts w:hint="eastAsia" w:ascii="仿宋_GB2312" w:hAnsi="仿宋_GB2312" w:eastAsia="仿宋_GB2312" w:cs="仿宋_GB2312"/>
          <w:color w:val="auto"/>
          <w:sz w:val="32"/>
          <w:szCs w:val="32"/>
          <w:lang w:val="en-US" w:eastAsia="zh-CN"/>
        </w:rPr>
        <w:t>5000.00</w:t>
      </w:r>
      <w:r>
        <w:rPr>
          <w:rFonts w:hint="eastAsia" w:ascii="仿宋_GB2312" w:hAnsi="仿宋_GB2312" w:eastAsia="仿宋_GB2312" w:cs="仿宋_GB2312"/>
          <w:color w:val="auto"/>
          <w:sz w:val="32"/>
          <w:szCs w:val="32"/>
        </w:rPr>
        <w:t>元。</w:t>
      </w:r>
    </w:p>
    <w:p w14:paraId="3E2DF646">
      <w:pPr>
        <w:keepNext w:val="0"/>
        <w:keepLines w:val="0"/>
        <w:pageBreakBefore w:val="0"/>
        <w:widowControl w:val="0"/>
        <w:shd w:val="clear"/>
        <w:kinsoku/>
        <w:wordWrap/>
        <w:overflowPunct/>
        <w:topLinePunct w:val="0"/>
        <w:autoSpaceDE/>
        <w:autoSpaceDN/>
        <w:bidi w:val="0"/>
        <w:adjustRightInd w:val="0"/>
        <w:snapToGrid w:val="0"/>
        <w:spacing w:line="56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eastAsia="zh-CN"/>
        </w:rPr>
        <w:t>对位于海口市龙华区白水塘路48号海南卫生健康职业学院</w:t>
      </w:r>
      <w:r>
        <w:rPr>
          <w:rFonts w:hint="eastAsia" w:ascii="仿宋_GB2312" w:hAnsi="仿宋_GB2312" w:eastAsia="仿宋_GB2312" w:cs="仿宋_GB2312"/>
          <w:sz w:val="32"/>
          <w:szCs w:val="32"/>
          <w:lang w:val="en-US" w:eastAsia="zh-CN"/>
        </w:rPr>
        <w:t>一楼小卖部建筑面积为24.72㎡</w:t>
      </w:r>
      <w:r>
        <w:rPr>
          <w:rFonts w:hint="eastAsia" w:ascii="仿宋_GB2312" w:hAnsi="仿宋_GB2312" w:eastAsia="仿宋_GB2312" w:cs="仿宋_GB2312"/>
          <w:sz w:val="32"/>
          <w:szCs w:val="32"/>
          <w:lang w:eastAsia="zh-CN"/>
        </w:rPr>
        <w:t>的房地产市场租金价值进行评估。</w:t>
      </w:r>
    </w:p>
    <w:p w14:paraId="4D910EB5">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color w:val="auto"/>
          <w:sz w:val="32"/>
          <w:szCs w:val="32"/>
        </w:rPr>
        <w:t>二、</w:t>
      </w:r>
      <w:r>
        <w:rPr>
          <w:rFonts w:hint="eastAsia" w:ascii="黑体" w:hAnsi="黑体" w:eastAsia="黑体" w:cs="黑体"/>
          <w:b w:val="0"/>
          <w:bCs/>
          <w:sz w:val="32"/>
          <w:szCs w:val="32"/>
          <w:lang w:val="en-US" w:eastAsia="zh-CN"/>
        </w:rPr>
        <w:t>商务需求</w:t>
      </w:r>
    </w:p>
    <w:p w14:paraId="35FDB02F">
      <w:pPr>
        <w:keepNext w:val="0"/>
        <w:keepLines w:val="0"/>
        <w:pageBreakBefore w:val="0"/>
        <w:widowControl w:val="0"/>
        <w:shd w:val="clear"/>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1.评估日期：自合同签订日起一周内。</w:t>
      </w:r>
    </w:p>
    <w:p w14:paraId="3C5BC655">
      <w:pPr>
        <w:keepNext w:val="0"/>
        <w:keepLines w:val="0"/>
        <w:pageBreakBefore w:val="0"/>
        <w:widowControl w:val="0"/>
        <w:shd w:val="clear"/>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2.提供估价人员资格证书复印件加盖公章。</w:t>
      </w:r>
    </w:p>
    <w:p w14:paraId="63A02150">
      <w:pPr>
        <w:keepNext w:val="0"/>
        <w:keepLines w:val="0"/>
        <w:pageBreakBefore w:val="0"/>
        <w:widowControl w:val="0"/>
        <w:shd w:val="clear"/>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bCs w:val="0"/>
          <w:sz w:val="32"/>
          <w:szCs w:val="32"/>
        </w:rPr>
        <w:t>付款</w:t>
      </w:r>
      <w:r>
        <w:rPr>
          <w:rFonts w:hint="eastAsia" w:ascii="仿宋_GB2312" w:hAnsi="仿宋_GB2312" w:eastAsia="仿宋_GB2312" w:cs="仿宋_GB2312"/>
          <w:bCs w:val="0"/>
          <w:sz w:val="32"/>
          <w:szCs w:val="32"/>
          <w:lang w:val="en-US" w:eastAsia="zh-CN"/>
        </w:rPr>
        <w:t>方式</w:t>
      </w:r>
      <w:r>
        <w:rPr>
          <w:rFonts w:hint="eastAsia" w:ascii="仿宋_GB2312" w:hAnsi="仿宋_GB2312" w:eastAsia="仿宋_GB2312" w:cs="仿宋_GB2312"/>
          <w:bCs w:val="0"/>
          <w:sz w:val="32"/>
          <w:szCs w:val="32"/>
          <w:lang w:eastAsia="zh-CN"/>
        </w:rPr>
        <w:t>：</w:t>
      </w:r>
      <w:r>
        <w:rPr>
          <w:rFonts w:hint="eastAsia" w:ascii="仿宋_GB2312" w:hAnsi="仿宋_GB2312" w:eastAsia="仿宋_GB2312" w:cs="仿宋_GB2312"/>
          <w:sz w:val="32"/>
          <w:szCs w:val="32"/>
          <w:shd w:val="clear"/>
        </w:rPr>
        <w:t>乙方</w:t>
      </w:r>
      <w:r>
        <w:rPr>
          <w:rFonts w:hint="eastAsia" w:ascii="仿宋_GB2312" w:hAnsi="仿宋_GB2312" w:eastAsia="仿宋_GB2312" w:cs="仿宋_GB2312"/>
          <w:sz w:val="32"/>
          <w:szCs w:val="32"/>
          <w:shd w:val="clear"/>
          <w:lang w:val="en-US" w:eastAsia="zh-CN"/>
        </w:rPr>
        <w:t>提供</w:t>
      </w:r>
      <w:r>
        <w:rPr>
          <w:rFonts w:hint="eastAsia" w:ascii="仿宋_GB2312" w:hAnsi="仿宋_GB2312" w:eastAsia="仿宋_GB2312" w:cs="仿宋_GB2312"/>
          <w:sz w:val="32"/>
          <w:szCs w:val="32"/>
          <w:shd w:val="clear"/>
          <w:lang w:eastAsia="zh-CN"/>
        </w:rPr>
        <w:t>《房地产估价业务协议书》附送估价相关基本资料复印盖章件，并对提供的基本资料真实性负责。由乙方向甲方开出同等额税票后甲方再进行一次性支付全额合同总款</w:t>
      </w:r>
      <w:r>
        <w:rPr>
          <w:rFonts w:hint="eastAsia" w:ascii="仿宋_GB2312" w:hAnsi="仿宋_GB2312" w:eastAsia="仿宋_GB2312" w:cs="仿宋_GB2312"/>
          <w:sz w:val="32"/>
          <w:szCs w:val="32"/>
          <w:shd w:val="clear"/>
          <w:lang w:val="en-US" w:eastAsia="zh-CN"/>
        </w:rPr>
        <w:t xml:space="preserve">  </w:t>
      </w:r>
      <w:r>
        <w:rPr>
          <w:rFonts w:hint="eastAsia" w:ascii="仿宋_GB2312" w:hAnsi="仿宋_GB2312" w:eastAsia="仿宋_GB2312" w:cs="仿宋_GB2312"/>
          <w:sz w:val="32"/>
          <w:szCs w:val="32"/>
          <w:shd w:val="clear"/>
          <w:lang w:eastAsia="zh-CN"/>
        </w:rPr>
        <w:t>元。</w:t>
      </w:r>
      <w:r>
        <w:rPr>
          <w:rFonts w:hint="eastAsia" w:ascii="仿宋_GB2312" w:hAnsi="仿宋_GB2312" w:eastAsia="仿宋_GB2312" w:cs="仿宋_GB2312"/>
          <w:sz w:val="32"/>
          <w:szCs w:val="32"/>
          <w:shd w:val="clear"/>
        </w:rPr>
        <w:br w:type="textWrapping"/>
      </w:r>
      <w:r>
        <w:rPr>
          <w:rFonts w:hint="eastAsia" w:ascii="仿宋_GB2312" w:hAnsi="仿宋_GB2312" w:eastAsia="仿宋_GB2312" w:cs="仿宋_GB2312"/>
          <w:sz w:val="32"/>
          <w:szCs w:val="32"/>
          <w:shd w:val="clear"/>
          <w:lang w:val="en-US" w:eastAsia="zh-CN"/>
        </w:rPr>
        <w:t xml:space="preserve">    4.</w:t>
      </w:r>
      <w:r>
        <w:rPr>
          <w:rFonts w:hint="eastAsia" w:ascii="仿宋_GB2312" w:hAnsi="仿宋_GB2312" w:eastAsia="仿宋_GB2312" w:cs="仿宋_GB2312"/>
          <w:sz w:val="32"/>
          <w:szCs w:val="32"/>
          <w:lang w:eastAsia="zh-CN"/>
        </w:rPr>
        <w:t>配合本次房地产估价工作，确保房地产估价客观、公正、合理、顺利的完成，随《房地产估价业务协议书》附送估价相关基本资料复印盖章件，并对提供的基本资料真实性负责。</w:t>
      </w:r>
    </w:p>
    <w:p w14:paraId="5A13EF10">
      <w:pPr>
        <w:shd w:val="clear"/>
        <w:rPr>
          <w:rFonts w:hint="eastAsia"/>
          <w:color w:val="auto"/>
          <w:lang w:val="en-US" w:eastAsia="zh-CN"/>
        </w:rPr>
      </w:pPr>
    </w:p>
    <w:p w14:paraId="47AF62CE">
      <w:pPr>
        <w:shd w:val="clear"/>
        <w:rPr>
          <w:rFonts w:hint="eastAsia"/>
          <w:color w:val="auto"/>
          <w:lang w:val="en-US" w:eastAsia="zh-CN"/>
        </w:rPr>
      </w:pPr>
    </w:p>
    <w:p w14:paraId="1F0A2EA3">
      <w:pPr>
        <w:rPr>
          <w:rFonts w:hint="eastAsia"/>
          <w:color w:val="auto"/>
          <w:lang w:val="en-US" w:eastAsia="zh-CN"/>
        </w:rPr>
      </w:pPr>
    </w:p>
    <w:p w14:paraId="3C9E5CDA">
      <w:pPr>
        <w:rPr>
          <w:rFonts w:hint="eastAsia"/>
          <w:color w:val="auto"/>
          <w:lang w:val="en-US" w:eastAsia="zh-CN"/>
        </w:rPr>
      </w:pPr>
    </w:p>
    <w:p w14:paraId="2010AC58">
      <w:pPr>
        <w:rPr>
          <w:rFonts w:hint="eastAsia"/>
          <w:color w:val="auto"/>
          <w:lang w:val="en-US" w:eastAsia="zh-CN"/>
        </w:rPr>
      </w:pPr>
    </w:p>
    <w:p w14:paraId="06D1B6B9">
      <w:pPr>
        <w:rPr>
          <w:rFonts w:hint="eastAsia"/>
          <w:color w:val="auto"/>
          <w:lang w:val="en-US" w:eastAsia="zh-CN"/>
        </w:rPr>
      </w:pPr>
    </w:p>
    <w:p w14:paraId="08BA3AA3">
      <w:pPr>
        <w:rPr>
          <w:rFonts w:hint="eastAsia"/>
          <w:color w:val="auto"/>
          <w:lang w:val="en-US" w:eastAsia="zh-CN"/>
        </w:rPr>
      </w:pPr>
    </w:p>
    <w:p w14:paraId="7DB16D07">
      <w:pPr>
        <w:rPr>
          <w:rFonts w:hint="eastAsia"/>
          <w:color w:val="auto"/>
          <w:lang w:val="en-US" w:eastAsia="zh-CN"/>
        </w:rPr>
      </w:pPr>
    </w:p>
    <w:p w14:paraId="39030C28">
      <w:pPr>
        <w:rPr>
          <w:rFonts w:hint="eastAsia"/>
          <w:color w:val="auto"/>
          <w:lang w:val="en-US" w:eastAsia="zh-CN"/>
        </w:rPr>
      </w:pPr>
    </w:p>
    <w:p w14:paraId="231908E7">
      <w:pPr>
        <w:rPr>
          <w:rFonts w:hint="eastAsia"/>
          <w:color w:val="auto"/>
          <w:lang w:val="en-US" w:eastAsia="zh-CN"/>
        </w:rPr>
      </w:pPr>
    </w:p>
    <w:p w14:paraId="279CBA78">
      <w:pPr>
        <w:rPr>
          <w:rFonts w:hint="eastAsia"/>
          <w:color w:val="auto"/>
          <w:lang w:val="en-US" w:eastAsia="zh-CN"/>
        </w:rPr>
      </w:pPr>
    </w:p>
    <w:p w14:paraId="0227588C">
      <w:pPr>
        <w:rPr>
          <w:rFonts w:hint="eastAsia"/>
          <w:color w:val="auto"/>
          <w:lang w:val="en-US" w:eastAsia="zh-CN"/>
        </w:rPr>
      </w:pPr>
    </w:p>
    <w:p w14:paraId="1C33FFDE">
      <w:pPr>
        <w:pStyle w:val="3"/>
        <w:rPr>
          <w:rFonts w:hint="eastAsia" w:hAnsi="宋体" w:cs="宋体"/>
          <w:color w:val="auto"/>
          <w:sz w:val="44"/>
          <w:szCs w:val="44"/>
        </w:rPr>
      </w:pPr>
      <w:bookmarkStart w:id="51" w:name="_Toc1144"/>
      <w:bookmarkStart w:id="52" w:name="_Toc21799"/>
      <w:bookmarkStart w:id="53" w:name="_Toc40089799"/>
      <w:r>
        <w:rPr>
          <w:rFonts w:hint="eastAsia" w:hAnsi="宋体" w:cs="宋体"/>
          <w:color w:val="auto"/>
          <w:sz w:val="44"/>
          <w:szCs w:val="44"/>
        </w:rPr>
        <w:t>第五部分 报价文件格式</w:t>
      </w:r>
      <w:bookmarkEnd w:id="50"/>
      <w:bookmarkEnd w:id="51"/>
      <w:bookmarkEnd w:id="52"/>
      <w:bookmarkEnd w:id="53"/>
    </w:p>
    <w:p w14:paraId="57CF9ACD">
      <w:pPr>
        <w:keepNext w:val="0"/>
        <w:keepLines w:val="0"/>
        <w:pageBreakBefore w:val="0"/>
        <w:widowControl w:val="0"/>
        <w:kinsoku/>
        <w:wordWrap/>
        <w:overflowPunct/>
        <w:topLinePunct w:val="0"/>
        <w:autoSpaceDE/>
        <w:autoSpaceDN/>
        <w:bidi w:val="0"/>
        <w:adjustRightInd w:val="0"/>
        <w:snapToGrid w:val="0"/>
        <w:spacing w:line="560" w:lineRule="exact"/>
        <w:ind w:left="638" w:leftChars="228" w:firstLine="0" w:firstLineChars="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一、商务部分</w:t>
      </w:r>
    </w:p>
    <w:p w14:paraId="17D4997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★投标函（详见附件1）</w:t>
      </w:r>
    </w:p>
    <w:p w14:paraId="3AE3B1A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★如为授权代表签字，提供法定代表人授权书（详见附件2）</w:t>
      </w:r>
    </w:p>
    <w:p w14:paraId="148A28A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★近三年内，在经营活动中没有重大违法记录的声明（详见附件3）</w:t>
      </w:r>
    </w:p>
    <w:p w14:paraId="2E55138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★商务响应表（详见附件4）</w:t>
      </w:r>
    </w:p>
    <w:p w14:paraId="02A7375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eastAsia="zh-CN"/>
        </w:rPr>
        <w:t>.谈判</w:t>
      </w:r>
      <w:r>
        <w:rPr>
          <w:rFonts w:hint="eastAsia" w:ascii="仿宋_GB2312" w:hAnsi="仿宋_GB2312" w:eastAsia="仿宋_GB2312" w:cs="仿宋_GB2312"/>
          <w:color w:val="auto"/>
          <w:sz w:val="32"/>
          <w:szCs w:val="32"/>
        </w:rPr>
        <w:t>文件中规定或供应商认为其它应介绍或提交的资料和文件</w:t>
      </w:r>
    </w:p>
    <w:p w14:paraId="30699FE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二、资信部分</w:t>
      </w:r>
    </w:p>
    <w:p w14:paraId="237A28B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★提供投标人</w:t>
      </w:r>
      <w:r>
        <w:rPr>
          <w:rFonts w:hint="eastAsia" w:ascii="仿宋_GB2312" w:hAnsi="仿宋_GB2312" w:eastAsia="仿宋_GB2312" w:cs="仿宋_GB2312"/>
          <w:color w:val="auto"/>
          <w:sz w:val="32"/>
          <w:szCs w:val="32"/>
          <w:lang w:val="en-US" w:eastAsia="zh-CN"/>
        </w:rPr>
        <w:t>资格要求里的</w:t>
      </w:r>
      <w:r>
        <w:rPr>
          <w:rFonts w:hint="eastAsia" w:ascii="仿宋_GB2312" w:hAnsi="仿宋_GB2312" w:eastAsia="仿宋_GB2312" w:cs="仿宋_GB2312"/>
          <w:color w:val="auto"/>
          <w:sz w:val="32"/>
          <w:szCs w:val="32"/>
        </w:rPr>
        <w:t>证明材料复印件</w:t>
      </w:r>
    </w:p>
    <w:p w14:paraId="6F7A115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三、技术部分</w:t>
      </w:r>
    </w:p>
    <w:p w14:paraId="221B1D1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对本项目的技术服务类总体要求的理解（如有）</w:t>
      </w:r>
    </w:p>
    <w:p w14:paraId="6E09FB7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项目总体架构及技术解决方案、技术保证措施、供货方案等（如有）</w:t>
      </w:r>
    </w:p>
    <w:p w14:paraId="45E749F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投标货物产品图片等证明货物的合格性和符合</w:t>
      </w:r>
      <w:r>
        <w:rPr>
          <w:rFonts w:hint="eastAsia" w:ascii="仿宋_GB2312" w:hAnsi="仿宋_GB2312" w:eastAsia="仿宋_GB2312" w:cs="仿宋_GB2312"/>
          <w:color w:val="auto"/>
          <w:sz w:val="32"/>
          <w:szCs w:val="32"/>
          <w:lang w:eastAsia="zh-CN"/>
        </w:rPr>
        <w:t>谈判</w:t>
      </w:r>
      <w:r>
        <w:rPr>
          <w:rFonts w:hint="eastAsia" w:ascii="仿宋_GB2312" w:hAnsi="仿宋_GB2312" w:eastAsia="仿宋_GB2312" w:cs="仿宋_GB2312"/>
          <w:color w:val="auto"/>
          <w:sz w:val="32"/>
          <w:szCs w:val="32"/>
        </w:rPr>
        <w:t>文件规定的技术资料</w:t>
      </w:r>
      <w:r>
        <w:rPr>
          <w:rFonts w:hint="eastAsia" w:ascii="仿宋_GB2312" w:hAnsi="仿宋_GB2312" w:eastAsia="仿宋_GB2312" w:cs="仿宋_GB2312"/>
          <w:color w:val="auto"/>
          <w:sz w:val="32"/>
          <w:szCs w:val="32"/>
          <w:lang w:eastAsia="zh-CN"/>
        </w:rPr>
        <w:t>。</w:t>
      </w:r>
    </w:p>
    <w:p w14:paraId="700BB8E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供应商或制造商在采购人所属地区的售后服务维修机构数量及分布情况（如有）</w:t>
      </w:r>
      <w:r>
        <w:rPr>
          <w:rFonts w:hint="eastAsia" w:ascii="仿宋_GB2312" w:hAnsi="仿宋_GB2312" w:eastAsia="仿宋_GB2312" w:cs="仿宋_GB2312"/>
          <w:color w:val="auto"/>
          <w:sz w:val="32"/>
          <w:szCs w:val="32"/>
          <w:lang w:eastAsia="zh-CN"/>
        </w:rPr>
        <w:t>。</w:t>
      </w:r>
    </w:p>
    <w:p w14:paraId="0F64AA6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技术服务、技术培训、售后服务的内容和措施</w:t>
      </w:r>
    </w:p>
    <w:p w14:paraId="172B96B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供应商同类项目实施情况一览表并提供能证明其业绩属实的合同复印件（如有）</w:t>
      </w:r>
      <w:r>
        <w:rPr>
          <w:rFonts w:hint="eastAsia" w:ascii="仿宋_GB2312" w:hAnsi="仿宋_GB2312" w:eastAsia="仿宋_GB2312" w:cs="仿宋_GB2312"/>
          <w:color w:val="auto"/>
          <w:sz w:val="32"/>
          <w:szCs w:val="32"/>
          <w:lang w:eastAsia="zh-CN"/>
        </w:rPr>
        <w:t>。</w:t>
      </w:r>
    </w:p>
    <w:p w14:paraId="14F2C81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选配件、专用耗材、售后服务优惠表（如有）</w:t>
      </w:r>
      <w:r>
        <w:rPr>
          <w:rFonts w:hint="eastAsia" w:ascii="仿宋_GB2312" w:hAnsi="仿宋_GB2312" w:eastAsia="仿宋_GB2312" w:cs="仿宋_GB2312"/>
          <w:color w:val="auto"/>
          <w:sz w:val="32"/>
          <w:szCs w:val="32"/>
          <w:lang w:eastAsia="zh-CN"/>
        </w:rPr>
        <w:t>。</w:t>
      </w:r>
    </w:p>
    <w:p w14:paraId="16FE304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.谈判</w:t>
      </w:r>
      <w:r>
        <w:rPr>
          <w:rFonts w:hint="eastAsia" w:ascii="仿宋_GB2312" w:hAnsi="仿宋_GB2312" w:eastAsia="仿宋_GB2312" w:cs="仿宋_GB2312"/>
          <w:color w:val="auto"/>
          <w:sz w:val="32"/>
          <w:szCs w:val="32"/>
        </w:rPr>
        <w:t>文件规定或供应商认为其它应介绍或提交的资料和文件</w:t>
      </w:r>
      <w:r>
        <w:rPr>
          <w:rFonts w:hint="eastAsia" w:ascii="仿宋_GB2312" w:hAnsi="仿宋_GB2312" w:eastAsia="仿宋_GB2312" w:cs="仿宋_GB2312"/>
          <w:color w:val="auto"/>
          <w:sz w:val="32"/>
          <w:szCs w:val="32"/>
          <w:lang w:eastAsia="zh-CN"/>
        </w:rPr>
        <w:t>。</w:t>
      </w:r>
    </w:p>
    <w:p w14:paraId="53ECE41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四、报价部分</w:t>
      </w:r>
    </w:p>
    <w:p w14:paraId="624D6BD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★报价一览表（详见附件</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p>
    <w:p w14:paraId="4F5B483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五、特别说明</w:t>
      </w:r>
    </w:p>
    <w:p w14:paraId="5A0777D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以上格式中标注“★”的，供应商必须提供，未提供或未按要求提供的，一律为无效投标。</w:t>
      </w:r>
    </w:p>
    <w:p w14:paraId="0840F076">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bookmarkStart w:id="54" w:name="_Toc40089800"/>
      <w:bookmarkStart w:id="55" w:name="_Toc14759"/>
      <w:bookmarkStart w:id="56" w:name="_Toc356491342"/>
      <w:bookmarkStart w:id="57" w:name="_Toc356490394"/>
    </w:p>
    <w:p w14:paraId="06DF4681">
      <w:pPr>
        <w:bidi w:val="0"/>
        <w:rPr>
          <w:rFonts w:hint="eastAsia" w:ascii="仿宋_GB2312" w:hAnsi="仿宋_GB2312" w:eastAsia="仿宋_GB2312" w:cs="仿宋_GB2312"/>
          <w:b/>
          <w:bCs w:val="0"/>
          <w:color w:val="auto"/>
          <w:sz w:val="36"/>
          <w:szCs w:val="36"/>
        </w:rPr>
      </w:pPr>
      <w:r>
        <w:rPr>
          <w:rFonts w:hint="eastAsia" w:ascii="仿宋_GB2312" w:hAnsi="仿宋_GB2312" w:eastAsia="仿宋_GB2312" w:cs="仿宋_GB2312"/>
          <w:b/>
          <w:bCs w:val="0"/>
          <w:color w:val="auto"/>
          <w:sz w:val="36"/>
          <w:szCs w:val="36"/>
        </w:rPr>
        <w:t>附件</w:t>
      </w:r>
      <w:bookmarkEnd w:id="54"/>
      <w:bookmarkEnd w:id="55"/>
    </w:p>
    <w:p w14:paraId="7891048D">
      <w:pPr>
        <w:jc w:val="center"/>
        <w:rPr>
          <w:rFonts w:hint="eastAsia" w:ascii="仿宋_GB2312" w:hAnsi="仿宋_GB2312" w:eastAsia="仿宋_GB2312" w:cs="仿宋_GB2312"/>
          <w:b/>
          <w:color w:val="auto"/>
        </w:rPr>
      </w:pPr>
    </w:p>
    <w:p w14:paraId="5D2EF4AE">
      <w:pPr>
        <w:jc w:val="center"/>
        <w:rPr>
          <w:rFonts w:hint="eastAsia" w:ascii="仿宋_GB2312" w:hAnsi="仿宋_GB2312" w:eastAsia="仿宋_GB2312" w:cs="仿宋_GB2312"/>
          <w:b/>
          <w:color w:val="auto"/>
        </w:rPr>
      </w:pPr>
    </w:p>
    <w:p w14:paraId="5E3FBF81">
      <w:pPr>
        <w:jc w:val="center"/>
        <w:rPr>
          <w:rFonts w:hint="eastAsia" w:ascii="仿宋_GB2312" w:hAnsi="仿宋_GB2312" w:eastAsia="仿宋_GB2312" w:cs="仿宋_GB2312"/>
          <w:b/>
          <w:color w:val="auto"/>
          <w:sz w:val="44"/>
          <w:szCs w:val="44"/>
        </w:rPr>
      </w:pPr>
      <w:r>
        <w:rPr>
          <w:rFonts w:hint="eastAsia" w:ascii="仿宋_GB2312" w:hAnsi="仿宋_GB2312" w:eastAsia="仿宋_GB2312" w:cs="仿宋_GB2312"/>
          <w:b/>
          <w:color w:val="auto"/>
          <w:sz w:val="44"/>
          <w:szCs w:val="44"/>
        </w:rPr>
        <w:t>报价文件封面格式</w:t>
      </w:r>
    </w:p>
    <w:p w14:paraId="7FCD29A3">
      <w:pPr>
        <w:jc w:val="right"/>
        <w:rPr>
          <w:rFonts w:hint="eastAsia" w:ascii="仿宋_GB2312" w:hAnsi="仿宋_GB2312" w:eastAsia="仿宋_GB2312" w:cs="仿宋_GB2312"/>
          <w:b/>
          <w:bCs w:val="0"/>
          <w:color w:val="auto"/>
          <w:sz w:val="36"/>
          <w:szCs w:val="36"/>
        </w:rPr>
      </w:pPr>
      <w:bookmarkStart w:id="58" w:name="_Toc40089801"/>
      <w:bookmarkStart w:id="59" w:name="_Toc1227"/>
      <w:r>
        <w:rPr>
          <w:rFonts w:hint="eastAsia" w:ascii="仿宋_GB2312" w:hAnsi="仿宋_GB2312" w:eastAsia="仿宋_GB2312" w:cs="仿宋_GB2312"/>
          <w:b/>
          <w:bCs w:val="0"/>
          <w:color w:val="auto"/>
          <w:sz w:val="36"/>
          <w:szCs w:val="36"/>
        </w:rPr>
        <w:t>正本或副本</w:t>
      </w:r>
      <w:bookmarkEnd w:id="58"/>
      <w:bookmarkEnd w:id="59"/>
    </w:p>
    <w:p w14:paraId="2224E8A7">
      <w:pPr>
        <w:bidi w:val="0"/>
        <w:ind w:firstLine="2168" w:firstLineChars="600"/>
        <w:jc w:val="both"/>
        <w:rPr>
          <w:rFonts w:hint="eastAsia" w:ascii="仿宋_GB2312" w:hAnsi="仿宋_GB2312" w:eastAsia="仿宋_GB2312" w:cs="仿宋_GB2312"/>
          <w:b/>
          <w:bCs w:val="0"/>
          <w:color w:val="auto"/>
          <w:sz w:val="36"/>
          <w:szCs w:val="36"/>
          <w:u w:val="single"/>
          <w:lang w:val="en-US" w:eastAsia="zh-CN"/>
        </w:rPr>
      </w:pPr>
      <w:bookmarkStart w:id="60" w:name="_Toc27492"/>
      <w:bookmarkStart w:id="61" w:name="_Toc40089802"/>
      <w:r>
        <w:rPr>
          <w:rFonts w:hint="eastAsia" w:ascii="仿宋_GB2312" w:hAnsi="仿宋_GB2312" w:eastAsia="仿宋_GB2312" w:cs="仿宋_GB2312"/>
          <w:b/>
          <w:bCs w:val="0"/>
          <w:color w:val="auto"/>
          <w:sz w:val="36"/>
          <w:szCs w:val="36"/>
          <w:u w:val="single"/>
        </w:rPr>
        <w:t>（项目名称）</w:t>
      </w:r>
      <w:bookmarkEnd w:id="60"/>
      <w:bookmarkEnd w:id="61"/>
      <w:bookmarkStart w:id="62" w:name="_Toc40089803"/>
      <w:bookmarkStart w:id="63" w:name="_Toc2490"/>
      <w:r>
        <w:rPr>
          <w:rFonts w:hint="eastAsia" w:ascii="仿宋_GB2312" w:hAnsi="仿宋_GB2312" w:eastAsia="仿宋_GB2312" w:cs="仿宋_GB2312"/>
          <w:b/>
          <w:bCs w:val="0"/>
          <w:color w:val="auto"/>
          <w:sz w:val="36"/>
          <w:szCs w:val="36"/>
          <w:u w:val="single"/>
          <w:lang w:val="en-US" w:eastAsia="zh-CN"/>
        </w:rPr>
        <w:t xml:space="preserve">             </w:t>
      </w:r>
    </w:p>
    <w:p w14:paraId="3F91B062">
      <w:pPr>
        <w:rPr>
          <w:rFonts w:hint="eastAsia" w:ascii="仿宋_GB2312" w:hAnsi="仿宋_GB2312" w:eastAsia="仿宋_GB2312" w:cs="仿宋_GB2312"/>
          <w:color w:val="auto"/>
          <w:lang w:val="en-US" w:eastAsia="zh-CN"/>
        </w:rPr>
      </w:pPr>
    </w:p>
    <w:p w14:paraId="5A523917">
      <w:pPr>
        <w:bidi w:val="0"/>
        <w:ind w:firstLine="2168" w:firstLineChars="600"/>
        <w:jc w:val="both"/>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val="0"/>
          <w:color w:val="auto"/>
          <w:sz w:val="36"/>
          <w:szCs w:val="36"/>
          <w:u w:val="single"/>
          <w:lang w:val="en-US" w:eastAsia="zh-CN"/>
        </w:rPr>
        <w:t>（项目编号）</w:t>
      </w:r>
      <w:bookmarkEnd w:id="62"/>
      <w:bookmarkEnd w:id="63"/>
      <w:r>
        <w:rPr>
          <w:rFonts w:hint="eastAsia" w:ascii="仿宋_GB2312" w:hAnsi="仿宋_GB2312" w:eastAsia="仿宋_GB2312" w:cs="仿宋_GB2312"/>
          <w:b/>
          <w:bCs w:val="0"/>
          <w:color w:val="auto"/>
          <w:sz w:val="36"/>
          <w:szCs w:val="36"/>
          <w:u w:val="single"/>
          <w:lang w:val="en-US" w:eastAsia="zh-CN"/>
        </w:rPr>
        <w:t xml:space="preserve">             </w:t>
      </w:r>
    </w:p>
    <w:p w14:paraId="18E8D093">
      <w:pPr>
        <w:rPr>
          <w:rFonts w:hint="eastAsia" w:ascii="仿宋_GB2312" w:hAnsi="仿宋_GB2312" w:eastAsia="仿宋_GB2312" w:cs="仿宋_GB2312"/>
          <w:color w:val="auto"/>
        </w:rPr>
      </w:pPr>
    </w:p>
    <w:p w14:paraId="06C759B3">
      <w:pPr>
        <w:rPr>
          <w:rFonts w:hint="eastAsia" w:ascii="仿宋_GB2312" w:hAnsi="仿宋_GB2312" w:eastAsia="仿宋_GB2312" w:cs="仿宋_GB2312"/>
        </w:rPr>
      </w:pPr>
    </w:p>
    <w:p w14:paraId="50F3D7A1">
      <w:pPr>
        <w:bidi w:val="0"/>
        <w:jc w:val="center"/>
        <w:rPr>
          <w:rFonts w:hint="eastAsia" w:ascii="仿宋_GB2312" w:hAnsi="仿宋_GB2312" w:eastAsia="仿宋_GB2312" w:cs="仿宋_GB2312"/>
          <w:b/>
          <w:bCs w:val="0"/>
          <w:sz w:val="52"/>
          <w:szCs w:val="52"/>
        </w:rPr>
      </w:pPr>
      <w:bookmarkStart w:id="64" w:name="_Toc17456"/>
      <w:bookmarkStart w:id="65" w:name="_Toc40089805"/>
    </w:p>
    <w:p w14:paraId="00762F95">
      <w:pPr>
        <w:bidi w:val="0"/>
        <w:jc w:val="center"/>
        <w:rPr>
          <w:rFonts w:hint="eastAsia" w:ascii="仿宋_GB2312" w:hAnsi="仿宋_GB2312" w:eastAsia="仿宋_GB2312" w:cs="仿宋_GB2312"/>
          <w:b/>
          <w:bCs w:val="0"/>
          <w:sz w:val="52"/>
          <w:szCs w:val="52"/>
        </w:rPr>
      </w:pPr>
      <w:r>
        <w:rPr>
          <w:rFonts w:hint="eastAsia" w:ascii="仿宋_GB2312" w:hAnsi="仿宋_GB2312" w:eastAsia="仿宋_GB2312" w:cs="仿宋_GB2312"/>
          <w:b/>
          <w:bCs w:val="0"/>
          <w:sz w:val="52"/>
          <w:szCs w:val="52"/>
        </w:rPr>
        <w:t>报价文件</w:t>
      </w:r>
      <w:bookmarkEnd w:id="64"/>
      <w:bookmarkEnd w:id="65"/>
    </w:p>
    <w:p w14:paraId="73775388">
      <w:pPr>
        <w:rPr>
          <w:rFonts w:hint="eastAsia" w:ascii="仿宋_GB2312" w:hAnsi="仿宋_GB2312" w:eastAsia="仿宋_GB2312" w:cs="仿宋_GB2312"/>
        </w:rPr>
      </w:pPr>
    </w:p>
    <w:p w14:paraId="77B95AE0">
      <w:pPr>
        <w:rPr>
          <w:rFonts w:hint="eastAsia" w:ascii="仿宋_GB2312" w:hAnsi="仿宋_GB2312" w:eastAsia="仿宋_GB2312" w:cs="仿宋_GB2312"/>
        </w:rPr>
      </w:pPr>
    </w:p>
    <w:p w14:paraId="69F1CF3E">
      <w:pPr>
        <w:keepNext w:val="0"/>
        <w:keepLines w:val="0"/>
        <w:pageBreakBefore w:val="0"/>
        <w:widowControl w:val="0"/>
        <w:kinsoku/>
        <w:wordWrap/>
        <w:overflowPunct/>
        <w:topLinePunct w:val="0"/>
        <w:autoSpaceDE/>
        <w:autoSpaceDN/>
        <w:bidi w:val="0"/>
        <w:adjustRightInd w:val="0"/>
        <w:snapToGrid w:val="0"/>
        <w:spacing w:line="560" w:lineRule="exact"/>
        <w:ind w:firstLine="964" w:firstLineChars="300"/>
        <w:jc w:val="both"/>
        <w:textAlignment w:val="auto"/>
        <w:rPr>
          <w:rFonts w:hint="eastAsia" w:ascii="仿宋_GB2312" w:hAnsi="仿宋_GB2312" w:eastAsia="仿宋_GB2312" w:cs="仿宋_GB2312"/>
          <w:b/>
          <w:bCs w:val="0"/>
          <w:sz w:val="32"/>
          <w:szCs w:val="32"/>
          <w:u w:val="single"/>
        </w:rPr>
      </w:pPr>
      <w:bookmarkStart w:id="66" w:name="_Toc25141"/>
      <w:bookmarkStart w:id="67" w:name="_Toc40089806"/>
      <w:r>
        <w:rPr>
          <w:rFonts w:hint="eastAsia" w:ascii="仿宋_GB2312" w:hAnsi="仿宋_GB2312" w:eastAsia="仿宋_GB2312" w:cs="仿宋_GB2312"/>
          <w:b/>
          <w:bCs w:val="0"/>
          <w:sz w:val="32"/>
          <w:szCs w:val="32"/>
        </w:rPr>
        <w:t>投标人名称：</w:t>
      </w:r>
      <w:r>
        <w:rPr>
          <w:rFonts w:hint="eastAsia" w:ascii="仿宋_GB2312" w:hAnsi="仿宋_GB2312" w:eastAsia="仿宋_GB2312" w:cs="仿宋_GB2312"/>
          <w:b/>
          <w:bCs w:val="0"/>
          <w:sz w:val="32"/>
          <w:szCs w:val="32"/>
          <w:u w:val="single"/>
        </w:rPr>
        <w:t xml:space="preserve">            （盖单位公章）</w:t>
      </w:r>
      <w:bookmarkEnd w:id="66"/>
      <w:bookmarkEnd w:id="67"/>
    </w:p>
    <w:p w14:paraId="2BBA877C">
      <w:pPr>
        <w:keepNext w:val="0"/>
        <w:keepLines w:val="0"/>
        <w:pageBreakBefore w:val="0"/>
        <w:widowControl w:val="0"/>
        <w:kinsoku/>
        <w:wordWrap/>
        <w:overflowPunct/>
        <w:topLinePunct w:val="0"/>
        <w:autoSpaceDE/>
        <w:autoSpaceDN/>
        <w:bidi w:val="0"/>
        <w:adjustRightInd w:val="0"/>
        <w:snapToGrid w:val="0"/>
        <w:spacing w:line="560" w:lineRule="exact"/>
        <w:ind w:firstLine="964" w:firstLineChars="300"/>
        <w:textAlignment w:val="auto"/>
        <w:rPr>
          <w:rFonts w:hint="eastAsia" w:ascii="仿宋_GB2312" w:hAnsi="仿宋_GB2312" w:eastAsia="仿宋_GB2312" w:cs="仿宋_GB2312"/>
          <w:b/>
          <w:bCs w:val="0"/>
          <w:sz w:val="32"/>
          <w:szCs w:val="32"/>
          <w:u w:val="single"/>
          <w:lang w:val="en-US" w:eastAsia="zh-CN"/>
        </w:rPr>
      </w:pPr>
      <w:bookmarkStart w:id="68" w:name="_Toc40089807"/>
      <w:bookmarkStart w:id="69" w:name="_Toc27017"/>
      <w:r>
        <w:rPr>
          <w:rFonts w:hint="eastAsia" w:ascii="仿宋_GB2312" w:hAnsi="仿宋_GB2312" w:eastAsia="仿宋_GB2312" w:cs="仿宋_GB2312"/>
          <w:b/>
          <w:bCs w:val="0"/>
          <w:sz w:val="32"/>
          <w:szCs w:val="32"/>
        </w:rPr>
        <w:t>法定代表人或其委托代理人</w:t>
      </w:r>
      <w:r>
        <w:rPr>
          <w:rFonts w:hint="eastAsia" w:ascii="仿宋_GB2312" w:hAnsi="仿宋_GB2312" w:eastAsia="仿宋_GB2312" w:cs="仿宋_GB2312"/>
          <w:b/>
          <w:bCs w:val="0"/>
          <w:sz w:val="32"/>
          <w:szCs w:val="32"/>
          <w:u w:val="single"/>
        </w:rPr>
        <w:t xml:space="preserve">：       </w:t>
      </w:r>
      <w:bookmarkEnd w:id="68"/>
      <w:bookmarkEnd w:id="69"/>
      <w:r>
        <w:rPr>
          <w:rFonts w:hint="eastAsia" w:ascii="仿宋_GB2312" w:hAnsi="仿宋_GB2312" w:eastAsia="仿宋_GB2312" w:cs="仿宋_GB2312"/>
          <w:b/>
          <w:bCs w:val="0"/>
          <w:sz w:val="32"/>
          <w:szCs w:val="32"/>
          <w:u w:val="single"/>
        </w:rPr>
        <w:t xml:space="preserve">  </w:t>
      </w:r>
      <w:r>
        <w:rPr>
          <w:rFonts w:hint="eastAsia" w:ascii="仿宋_GB2312" w:hAnsi="仿宋_GB2312" w:eastAsia="仿宋_GB2312" w:cs="仿宋_GB2312"/>
          <w:b/>
          <w:bCs w:val="0"/>
          <w:sz w:val="32"/>
          <w:szCs w:val="32"/>
          <w:u w:val="single"/>
          <w:lang w:val="en-US" w:eastAsia="zh-CN"/>
        </w:rPr>
        <w:t xml:space="preserve">     </w:t>
      </w:r>
    </w:p>
    <w:p w14:paraId="2E8AFC03">
      <w:pPr>
        <w:keepNext w:val="0"/>
        <w:keepLines w:val="0"/>
        <w:pageBreakBefore w:val="0"/>
        <w:widowControl w:val="0"/>
        <w:kinsoku/>
        <w:wordWrap/>
        <w:overflowPunct/>
        <w:topLinePunct w:val="0"/>
        <w:autoSpaceDE/>
        <w:autoSpaceDN/>
        <w:bidi w:val="0"/>
        <w:adjustRightInd w:val="0"/>
        <w:snapToGrid w:val="0"/>
        <w:spacing w:line="560" w:lineRule="exact"/>
        <w:ind w:firstLine="964" w:firstLineChars="3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kern w:val="44"/>
          <w:sz w:val="32"/>
          <w:szCs w:val="32"/>
        </w:rPr>
        <w:t>地</w:t>
      </w:r>
      <w:r>
        <w:rPr>
          <w:rFonts w:hint="eastAsia" w:ascii="仿宋_GB2312" w:hAnsi="仿宋_GB2312" w:eastAsia="仿宋_GB2312" w:cs="仿宋_GB2312"/>
          <w:b/>
          <w:kern w:val="44"/>
          <w:sz w:val="32"/>
          <w:szCs w:val="32"/>
          <w:lang w:val="en-US" w:eastAsia="zh-CN"/>
        </w:rPr>
        <w:t xml:space="preserve">   </w:t>
      </w:r>
      <w:r>
        <w:rPr>
          <w:rFonts w:hint="eastAsia" w:ascii="仿宋_GB2312" w:hAnsi="仿宋_GB2312" w:eastAsia="仿宋_GB2312" w:cs="仿宋_GB2312"/>
          <w:b/>
          <w:kern w:val="44"/>
          <w:sz w:val="32"/>
          <w:szCs w:val="32"/>
        </w:rPr>
        <w:t>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14:paraId="1552849D">
      <w:pPr>
        <w:pStyle w:val="13"/>
        <w:keepNext w:val="0"/>
        <w:keepLines w:val="0"/>
        <w:pageBreakBefore w:val="0"/>
        <w:widowControl w:val="0"/>
        <w:kinsoku/>
        <w:wordWrap/>
        <w:overflowPunct/>
        <w:topLinePunct w:val="0"/>
        <w:autoSpaceDE/>
        <w:autoSpaceDN/>
        <w:bidi w:val="0"/>
        <w:adjustRightInd w:val="0"/>
        <w:snapToGrid w:val="0"/>
        <w:spacing w:line="560" w:lineRule="exact"/>
        <w:ind w:firstLine="964" w:firstLineChars="3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kern w:val="44"/>
          <w:sz w:val="32"/>
          <w:szCs w:val="32"/>
        </w:rPr>
        <w:t>电</w:t>
      </w:r>
      <w:r>
        <w:rPr>
          <w:rFonts w:hint="eastAsia" w:ascii="仿宋_GB2312" w:hAnsi="仿宋_GB2312" w:eastAsia="仿宋_GB2312" w:cs="仿宋_GB2312"/>
          <w:b/>
          <w:kern w:val="44"/>
          <w:sz w:val="32"/>
          <w:szCs w:val="32"/>
          <w:lang w:val="en-US" w:eastAsia="zh-CN"/>
        </w:rPr>
        <w:t xml:space="preserve">   </w:t>
      </w:r>
      <w:r>
        <w:rPr>
          <w:rFonts w:hint="eastAsia" w:ascii="仿宋_GB2312" w:hAnsi="仿宋_GB2312" w:eastAsia="仿宋_GB2312" w:cs="仿宋_GB2312"/>
          <w:b/>
          <w:kern w:val="44"/>
          <w:sz w:val="32"/>
          <w:szCs w:val="32"/>
        </w:rPr>
        <w:t>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14:paraId="273B8A55">
      <w:pPr>
        <w:rPr>
          <w:rFonts w:hint="eastAsia" w:ascii="仿宋_GB2312" w:hAnsi="仿宋_GB2312" w:eastAsia="仿宋_GB2312" w:cs="仿宋_GB2312"/>
        </w:rPr>
      </w:pPr>
      <w:r>
        <w:rPr>
          <w:rFonts w:hint="eastAsia" w:ascii="仿宋_GB2312" w:hAnsi="仿宋_GB2312" w:eastAsia="仿宋_GB2312" w:cs="仿宋_GB2312"/>
        </w:rPr>
        <w:br w:type="page"/>
      </w:r>
    </w:p>
    <w:p w14:paraId="2403CE6F">
      <w:pPr>
        <w:pStyle w:val="3"/>
        <w:bidi w:val="0"/>
        <w:spacing w:line="240" w:lineRule="auto"/>
        <w:rPr>
          <w:rFonts w:hint="eastAsia" w:ascii="仿宋_GB2312" w:hAnsi="仿宋_GB2312" w:eastAsia="仿宋_GB2312" w:cs="仿宋_GB2312"/>
          <w:b/>
          <w:bCs/>
          <w:sz w:val="36"/>
          <w:szCs w:val="36"/>
        </w:rPr>
      </w:pPr>
      <w:bookmarkStart w:id="70" w:name="_Toc3668"/>
      <w:bookmarkStart w:id="71" w:name="_Toc15803"/>
      <w:bookmarkStart w:id="72" w:name="_Toc25558"/>
      <w:bookmarkStart w:id="73" w:name="_Toc40089808"/>
      <w:r>
        <w:rPr>
          <w:rFonts w:hint="eastAsia"/>
          <w:lang w:val="en-US" w:eastAsia="zh-CN"/>
        </w:rPr>
        <w:t>一、商务部分</w:t>
      </w:r>
      <w:bookmarkEnd w:id="70"/>
      <w:bookmarkEnd w:id="71"/>
    </w:p>
    <w:p w14:paraId="4243517C">
      <w:pPr>
        <w:pStyle w:val="2"/>
        <w:spacing w:before="120"/>
        <w:rPr>
          <w:rFonts w:hint="eastAsia" w:ascii="仿宋_GB2312" w:hAnsi="仿宋_GB2312" w:eastAsia="仿宋_GB2312" w:cs="仿宋_GB2312"/>
          <w:b/>
          <w:bCs/>
          <w:sz w:val="36"/>
          <w:szCs w:val="36"/>
        </w:rPr>
      </w:pPr>
      <w:bookmarkStart w:id="74" w:name="_Toc1771"/>
      <w:r>
        <w:rPr>
          <w:rFonts w:hint="eastAsia" w:ascii="仿宋_GB2312" w:hAnsi="仿宋_GB2312" w:eastAsia="仿宋_GB2312" w:cs="仿宋_GB2312"/>
          <w:b/>
          <w:bCs/>
          <w:sz w:val="36"/>
          <w:szCs w:val="36"/>
        </w:rPr>
        <w:t>附件1</w:t>
      </w:r>
      <w:bookmarkEnd w:id="56"/>
      <w:bookmarkEnd w:id="57"/>
      <w:bookmarkEnd w:id="72"/>
      <w:bookmarkEnd w:id="73"/>
      <w:bookmarkEnd w:id="74"/>
    </w:p>
    <w:p w14:paraId="312CC2D9">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投标函</w:t>
      </w:r>
    </w:p>
    <w:p w14:paraId="5A9C084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 w:val="28"/>
          <w:szCs w:val="28"/>
          <w:lang w:val="en-US" w:eastAsia="zh-CN"/>
        </w:rPr>
      </w:pPr>
    </w:p>
    <w:p w14:paraId="3B6FAFA9">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海南卫生健康职业学院</w:t>
      </w:r>
      <w:r>
        <w:rPr>
          <w:rFonts w:hint="eastAsia" w:ascii="仿宋_GB2312" w:hAnsi="仿宋_GB2312" w:eastAsia="仿宋_GB2312" w:cs="仿宋_GB2312"/>
          <w:sz w:val="28"/>
          <w:szCs w:val="28"/>
        </w:rPr>
        <w:t>：</w:t>
      </w:r>
    </w:p>
    <w:p w14:paraId="4C0D145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经研究，我们决定参加</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（项目名称/项目编号）并报价。为此，我方郑重声明以下诸点，并负法律责任。</w:t>
      </w:r>
    </w:p>
    <w:p w14:paraId="7BABD22C">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我方提交的报价文件，正本一份，副本二份。</w:t>
      </w:r>
    </w:p>
    <w:p w14:paraId="4F2ED1A2">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如果我方的报价文件被接受，我们将履行</w:t>
      </w:r>
      <w:r>
        <w:rPr>
          <w:rFonts w:hint="eastAsia" w:ascii="仿宋_GB2312" w:hAnsi="仿宋_GB2312" w:eastAsia="仿宋_GB2312" w:cs="仿宋_GB2312"/>
          <w:sz w:val="28"/>
          <w:szCs w:val="28"/>
          <w:lang w:eastAsia="zh-CN"/>
        </w:rPr>
        <w:t>谈判</w:t>
      </w:r>
      <w:r>
        <w:rPr>
          <w:rFonts w:hint="eastAsia" w:ascii="仿宋_GB2312" w:hAnsi="仿宋_GB2312" w:eastAsia="仿宋_GB2312" w:cs="仿宋_GB2312"/>
          <w:sz w:val="28"/>
          <w:szCs w:val="28"/>
        </w:rPr>
        <w:t>文件中规定的每一项要求，并按我方报价文件中的承诺按期、保质、保量完成项目的实施。</w:t>
      </w:r>
    </w:p>
    <w:p w14:paraId="14DE954D">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我们理解，最低报价不是中标的唯一条件，同时认可本次</w:t>
      </w:r>
      <w:r>
        <w:rPr>
          <w:rFonts w:hint="eastAsia" w:ascii="仿宋_GB2312" w:hAnsi="仿宋_GB2312" w:eastAsia="仿宋_GB2312" w:cs="仿宋_GB2312"/>
          <w:sz w:val="28"/>
          <w:szCs w:val="28"/>
          <w:lang w:eastAsia="zh-CN"/>
        </w:rPr>
        <w:t>谈判</w:t>
      </w:r>
      <w:r>
        <w:rPr>
          <w:rFonts w:hint="eastAsia" w:ascii="仿宋_GB2312" w:hAnsi="仿宋_GB2312" w:eastAsia="仿宋_GB2312" w:cs="仿宋_GB2312"/>
          <w:sz w:val="28"/>
          <w:szCs w:val="28"/>
        </w:rPr>
        <w:t>文</w:t>
      </w:r>
    </w:p>
    <w:p w14:paraId="611DC226">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件中</w:t>
      </w:r>
      <w:r>
        <w:rPr>
          <w:rFonts w:hint="eastAsia" w:ascii="仿宋_GB2312" w:hAnsi="仿宋_GB2312" w:eastAsia="仿宋_GB2312" w:cs="仿宋_GB2312"/>
          <w:sz w:val="28"/>
          <w:szCs w:val="28"/>
          <w:lang w:eastAsia="zh-CN"/>
        </w:rPr>
        <w:t>谈判</w:t>
      </w:r>
      <w:r>
        <w:rPr>
          <w:rFonts w:hint="eastAsia" w:ascii="仿宋_GB2312" w:hAnsi="仿宋_GB2312" w:eastAsia="仿宋_GB2312" w:cs="仿宋_GB2312"/>
          <w:sz w:val="28"/>
          <w:szCs w:val="28"/>
        </w:rPr>
        <w:t>小组选择中标候选人的方式和权利。</w:t>
      </w:r>
    </w:p>
    <w:p w14:paraId="04F62DD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我们承诺，报价文件不存在复制、粘贴</w:t>
      </w:r>
      <w:r>
        <w:rPr>
          <w:rFonts w:hint="eastAsia" w:ascii="仿宋_GB2312" w:hAnsi="仿宋_GB2312" w:eastAsia="仿宋_GB2312" w:cs="仿宋_GB2312"/>
          <w:sz w:val="28"/>
          <w:szCs w:val="28"/>
          <w:lang w:eastAsia="zh-CN"/>
        </w:rPr>
        <w:t>谈判</w:t>
      </w:r>
      <w:r>
        <w:rPr>
          <w:rFonts w:hint="eastAsia" w:ascii="仿宋_GB2312" w:hAnsi="仿宋_GB2312" w:eastAsia="仿宋_GB2312" w:cs="仿宋_GB2312"/>
          <w:sz w:val="28"/>
          <w:szCs w:val="28"/>
        </w:rPr>
        <w:t>文件主要规格技术参数的情况。</w:t>
      </w:r>
    </w:p>
    <w:p w14:paraId="18001AEA">
      <w:pPr>
        <w:numPr>
          <w:ilvl w:val="0"/>
          <w:numId w:val="0"/>
        </w:num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我方已详细检查所有报价文件、附件以及所提供的参考文件，有模糊和误解产生的一切后果，由我方自负。</w:t>
      </w:r>
    </w:p>
    <w:p w14:paraId="0483E2F6">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报价文件在公开报价后</w:t>
      </w:r>
      <w:r>
        <w:rPr>
          <w:rFonts w:hint="eastAsia" w:ascii="仿宋_GB2312" w:hAnsi="仿宋_GB2312" w:eastAsia="仿宋_GB2312" w:cs="仿宋_GB2312"/>
          <w:sz w:val="28"/>
          <w:szCs w:val="28"/>
          <w:u w:val="single"/>
        </w:rPr>
        <w:t>90</w:t>
      </w:r>
      <w:r>
        <w:rPr>
          <w:rFonts w:hint="eastAsia" w:ascii="仿宋_GB2312" w:hAnsi="仿宋_GB2312" w:eastAsia="仿宋_GB2312" w:cs="仿宋_GB2312"/>
          <w:sz w:val="28"/>
          <w:szCs w:val="28"/>
        </w:rPr>
        <w:t>日内有效。</w:t>
      </w:r>
    </w:p>
    <w:p w14:paraId="7A973E6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我们同意按照</w:t>
      </w:r>
      <w:r>
        <w:rPr>
          <w:rFonts w:hint="eastAsia" w:ascii="仿宋_GB2312" w:hAnsi="仿宋_GB2312" w:eastAsia="仿宋_GB2312" w:cs="仿宋_GB2312"/>
          <w:sz w:val="28"/>
          <w:szCs w:val="28"/>
          <w:lang w:eastAsia="zh-CN"/>
        </w:rPr>
        <w:t>谈判</w:t>
      </w:r>
      <w:r>
        <w:rPr>
          <w:rFonts w:hint="eastAsia" w:ascii="仿宋_GB2312" w:hAnsi="仿宋_GB2312" w:eastAsia="仿宋_GB2312" w:cs="仿宋_GB2312"/>
          <w:sz w:val="28"/>
          <w:szCs w:val="28"/>
        </w:rPr>
        <w:t>文件的要求，提供与递交报价文件有关的数据和资料。</w:t>
      </w:r>
    </w:p>
    <w:p w14:paraId="6AB55C0C">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我方愿按《中华人民共和国合同法》履行自己的全部责任。</w:t>
      </w:r>
    </w:p>
    <w:p w14:paraId="2E14505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 w:val="28"/>
          <w:szCs w:val="28"/>
        </w:rPr>
      </w:pPr>
    </w:p>
    <w:p w14:paraId="2F4D4394">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5E61397E">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p>
    <w:p w14:paraId="56A03768">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w:t>
      </w:r>
    </w:p>
    <w:p w14:paraId="69A9F1DF">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传真：</w:t>
      </w:r>
    </w:p>
    <w:p w14:paraId="605A4937">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投标人全称（公章）：</w:t>
      </w:r>
    </w:p>
    <w:p w14:paraId="504B13B1">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法定代表人或授权代理人签字：                                                 </w:t>
      </w:r>
    </w:p>
    <w:p w14:paraId="2D3DD5F9">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日  期：</w:t>
      </w:r>
      <w:r>
        <w:rPr>
          <w:rFonts w:hint="eastAsia" w:ascii="仿宋_GB2312" w:hAnsi="仿宋_GB2312" w:eastAsia="仿宋_GB2312" w:cs="仿宋_GB2312"/>
          <w:sz w:val="28"/>
          <w:szCs w:val="28"/>
        </w:rPr>
        <w:t>年   月   日</w:t>
      </w:r>
    </w:p>
    <w:p w14:paraId="392162B3">
      <w:pPr>
        <w:pStyle w:val="2"/>
        <w:spacing w:before="120"/>
        <w:rPr>
          <w:rFonts w:hint="eastAsia" w:ascii="仿宋_GB2312" w:hAnsi="仿宋_GB2312" w:eastAsia="仿宋_GB2312" w:cs="仿宋_GB2312"/>
        </w:rPr>
      </w:pPr>
      <w:r>
        <w:rPr>
          <w:rFonts w:hint="eastAsia" w:ascii="仿宋_GB2312" w:hAnsi="仿宋_GB2312" w:eastAsia="仿宋_GB2312" w:cs="仿宋_GB2312"/>
          <w:sz w:val="24"/>
        </w:rPr>
        <w:br w:type="page"/>
      </w:r>
      <w:bookmarkStart w:id="75" w:name="_Toc323129568"/>
      <w:bookmarkStart w:id="76" w:name="_Toc323130135"/>
      <w:bookmarkStart w:id="77" w:name="_Toc26307"/>
      <w:bookmarkStart w:id="78" w:name="_Toc325620729"/>
      <w:bookmarkStart w:id="79" w:name="_Toc11421"/>
      <w:bookmarkStart w:id="80" w:name="_Toc40089809"/>
      <w:bookmarkStart w:id="81" w:name="_Toc356491343"/>
      <w:r>
        <w:rPr>
          <w:rFonts w:hint="eastAsia" w:ascii="仿宋_GB2312" w:hAnsi="仿宋_GB2312" w:eastAsia="仿宋_GB2312" w:cs="仿宋_GB2312"/>
          <w:b/>
          <w:bCs/>
          <w:sz w:val="36"/>
          <w:szCs w:val="36"/>
        </w:rPr>
        <w:t>附件</w:t>
      </w:r>
      <w:bookmarkEnd w:id="75"/>
      <w:bookmarkEnd w:id="76"/>
      <w:r>
        <w:rPr>
          <w:rFonts w:hint="eastAsia" w:ascii="仿宋_GB2312" w:hAnsi="仿宋_GB2312" w:eastAsia="仿宋_GB2312" w:cs="仿宋_GB2312"/>
          <w:b/>
          <w:bCs/>
          <w:sz w:val="36"/>
          <w:szCs w:val="36"/>
        </w:rPr>
        <w:t>2</w:t>
      </w:r>
      <w:bookmarkEnd w:id="77"/>
      <w:bookmarkEnd w:id="78"/>
      <w:bookmarkEnd w:id="79"/>
      <w:bookmarkEnd w:id="80"/>
      <w:bookmarkEnd w:id="81"/>
      <w:bookmarkStart w:id="82" w:name="_Toc356490395"/>
      <w:bookmarkStart w:id="83" w:name="_Toc356491344"/>
    </w:p>
    <w:p w14:paraId="4369B407">
      <w:pPr>
        <w:pStyle w:val="15"/>
        <w:spacing w:line="360" w:lineRule="auto"/>
        <w:jc w:val="center"/>
        <w:rPr>
          <w:rFonts w:hint="eastAsia" w:ascii="仿宋_GB2312" w:hAnsi="仿宋_GB2312" w:eastAsia="仿宋_GB2312" w:cs="仿宋_GB2312"/>
          <w:b/>
          <w:bCs w:val="0"/>
          <w:kern w:val="2"/>
          <w:sz w:val="36"/>
          <w:szCs w:val="36"/>
          <w:lang w:val="en-US" w:eastAsia="zh-CN" w:bidi="ar-SA"/>
        </w:rPr>
      </w:pPr>
      <w:r>
        <w:rPr>
          <w:rFonts w:hint="eastAsia" w:ascii="仿宋_GB2312" w:hAnsi="仿宋_GB2312" w:eastAsia="仿宋_GB2312" w:cs="仿宋_GB2312"/>
          <w:b/>
          <w:bCs w:val="0"/>
          <w:kern w:val="2"/>
          <w:sz w:val="36"/>
          <w:szCs w:val="36"/>
          <w:lang w:val="en-US" w:eastAsia="zh-CN" w:bidi="ar-SA"/>
        </w:rPr>
        <w:t>法定代表人授权委托书</w:t>
      </w:r>
    </w:p>
    <w:p w14:paraId="0B93FE63">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海南卫生健康职业学院</w:t>
      </w:r>
      <w:r>
        <w:rPr>
          <w:rFonts w:hint="eastAsia" w:ascii="仿宋_GB2312" w:hAnsi="仿宋_GB2312" w:eastAsia="仿宋_GB2312" w:cs="仿宋_GB2312"/>
          <w:sz w:val="32"/>
          <w:szCs w:val="32"/>
        </w:rPr>
        <w:t>：</w:t>
      </w:r>
    </w:p>
    <w:p w14:paraId="45FCF544">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rPr>
        <w:t>姓</w:t>
      </w:r>
      <w:r>
        <w:rPr>
          <w:rFonts w:hint="eastAsia" w:ascii="仿宋_GB2312" w:hAnsi="仿宋_GB2312" w:eastAsia="仿宋_GB2312" w:cs="仿宋_GB2312"/>
          <w:sz w:val="32"/>
          <w:szCs w:val="32"/>
          <w:lang w:val="en-US" w:eastAsia="zh-CN"/>
        </w:rPr>
        <w:t>名</w:t>
      </w:r>
      <w:r>
        <w:rPr>
          <w:rFonts w:hint="eastAsia" w:ascii="仿宋_GB2312" w:hAnsi="仿宋_GB2312" w:eastAsia="仿宋_GB2312" w:cs="仿宋_GB2312"/>
          <w:sz w:val="32"/>
          <w:szCs w:val="32"/>
        </w:rPr>
        <w:t xml:space="preserve">）系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（投标人名称）法定代表人，现授权委托我公司的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（姓名、职务或职称）为我单位本次项目的全权代表，以本公司的名义参加</w:t>
      </w:r>
      <w:r>
        <w:rPr>
          <w:rFonts w:hint="eastAsia" w:ascii="仿宋_GB2312" w:hAnsi="仿宋_GB2312" w:eastAsia="仿宋_GB2312" w:cs="仿宋_GB2312"/>
          <w:sz w:val="32"/>
          <w:szCs w:val="32"/>
          <w:lang w:val="en-US" w:eastAsia="zh-CN"/>
        </w:rPr>
        <w:t>海南卫生健康职业学院</w:t>
      </w:r>
      <w:r>
        <w:rPr>
          <w:rFonts w:hint="eastAsia" w:ascii="仿宋_GB2312" w:hAnsi="仿宋_GB2312" w:eastAsia="仿宋_GB2312" w:cs="仿宋_GB2312"/>
          <w:sz w:val="32"/>
          <w:szCs w:val="32"/>
        </w:rPr>
        <w:t>组织的                      （项目名称/项目编号）的招标，全权处理招标过程有关的一切事务。</w:t>
      </w:r>
    </w:p>
    <w:p w14:paraId="5D9F78FA">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被授权人在授权书有效期内</w:t>
      </w:r>
      <w:r>
        <w:rPr>
          <w:rFonts w:hint="eastAsia" w:ascii="仿宋_GB2312" w:hAnsi="仿宋_GB2312" w:eastAsia="仿宋_GB2312" w:cs="仿宋_GB2312"/>
          <w:sz w:val="32"/>
          <w:szCs w:val="32"/>
          <w:u w:val="single"/>
          <w:lang w:val="en-US" w:eastAsia="zh-CN"/>
        </w:rPr>
        <w:t xml:space="preserve">  年  月  日至  年  月  日</w:t>
      </w:r>
      <w:r>
        <w:rPr>
          <w:rFonts w:hint="eastAsia" w:ascii="仿宋_GB2312" w:hAnsi="仿宋_GB2312" w:eastAsia="仿宋_GB2312" w:cs="仿宋_GB2312"/>
          <w:sz w:val="32"/>
          <w:szCs w:val="32"/>
        </w:rPr>
        <w:t>签署的所有文件不因授权的撤消而失效。</w:t>
      </w:r>
    </w:p>
    <w:p w14:paraId="31AEC4E1">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全权代表无转委托权。特此委托。</w:t>
      </w:r>
    </w:p>
    <w:p w14:paraId="78F465CB">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p>
    <w:p w14:paraId="3FFAF534">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（附法定代表人、授权代理人身份证明复印件）</w:t>
      </w:r>
    </w:p>
    <w:p w14:paraId="5B8AF58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685ABCF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2AE1E7A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29C4CDEC">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投标人（盖章）：</w:t>
      </w:r>
    </w:p>
    <w:p w14:paraId="0A44AA76">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33F83045">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14:paraId="7E2DA5B8">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690E535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授权代理人：（签字）：</w:t>
      </w:r>
    </w:p>
    <w:p w14:paraId="1E84EAD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1EF4B36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07E065A6">
      <w:pPr>
        <w:pStyle w:val="2"/>
        <w:bidi w:val="0"/>
        <w:rPr>
          <w:rFonts w:hint="eastAsia" w:ascii="仿宋_GB2312" w:hAnsi="仿宋_GB2312" w:eastAsia="仿宋_GB2312" w:cs="仿宋_GB2312"/>
        </w:rPr>
      </w:pPr>
      <w:r>
        <w:rPr>
          <w:rFonts w:hint="eastAsia" w:ascii="仿宋_GB2312" w:hAnsi="仿宋_GB2312" w:eastAsia="仿宋_GB2312" w:cs="仿宋_GB2312"/>
          <w:sz w:val="28"/>
          <w:szCs w:val="28"/>
        </w:rPr>
        <w:br w:type="page"/>
      </w:r>
      <w:bookmarkStart w:id="84" w:name="_Toc22324"/>
      <w:bookmarkStart w:id="85" w:name="_Toc513627405"/>
      <w:bookmarkStart w:id="86" w:name="_Toc24686"/>
      <w:bookmarkStart w:id="87" w:name="_Toc40089810"/>
      <w:r>
        <w:rPr>
          <w:rFonts w:hint="eastAsia" w:ascii="仿宋_GB2312" w:hAnsi="仿宋_GB2312" w:eastAsia="仿宋_GB2312" w:cs="仿宋_GB2312"/>
          <w:b/>
          <w:bCs/>
          <w:kern w:val="0"/>
          <w:sz w:val="36"/>
          <w:szCs w:val="36"/>
          <w:lang w:val="en-US" w:eastAsia="zh-CN" w:bidi="ar-SA"/>
        </w:rPr>
        <w:t>附件3</w:t>
      </w:r>
      <w:bookmarkEnd w:id="84"/>
    </w:p>
    <w:p w14:paraId="07F050C9">
      <w:pPr>
        <w:rPr>
          <w:rFonts w:hint="eastAsia" w:ascii="仿宋_GB2312" w:hAnsi="仿宋_GB2312" w:eastAsia="仿宋_GB2312" w:cs="仿宋_GB2312"/>
        </w:rPr>
      </w:pPr>
    </w:p>
    <w:p w14:paraId="040316E9">
      <w:pPr>
        <w:pStyle w:val="15"/>
        <w:keepNext w:val="0"/>
        <w:keepLines w:val="0"/>
        <w:pageBreakBefore w:val="0"/>
        <w:widowControl w:val="0"/>
        <w:kinsoku/>
        <w:wordWrap/>
        <w:overflowPunct/>
        <w:topLinePunct w:val="0"/>
        <w:bidi w:val="0"/>
        <w:adjustRightInd/>
        <w:snapToGrid w:val="0"/>
        <w:spacing w:after="0" w:line="560" w:lineRule="exact"/>
        <w:jc w:val="center"/>
        <w:textAlignment w:val="auto"/>
        <w:rPr>
          <w:rFonts w:hint="default"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近三年内，在经营活动中没有重大违法记录的声明</w:t>
      </w:r>
      <w:bookmarkEnd w:id="85"/>
      <w:bookmarkEnd w:id="86"/>
      <w:bookmarkEnd w:id="87"/>
      <w:r>
        <w:rPr>
          <w:rFonts w:hint="eastAsia" w:ascii="仿宋_GB2312" w:hAnsi="仿宋_GB2312" w:eastAsia="仿宋_GB2312" w:cs="仿宋_GB2312"/>
          <w:b/>
          <w:bCs w:val="0"/>
          <w:kern w:val="2"/>
          <w:sz w:val="32"/>
          <w:szCs w:val="32"/>
          <w:lang w:val="en-US" w:eastAsia="zh-CN" w:bidi="ar-SA"/>
        </w:rPr>
        <w:t>函</w:t>
      </w:r>
    </w:p>
    <w:p w14:paraId="5B7B930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rPr>
      </w:pPr>
    </w:p>
    <w:p w14:paraId="7E837DB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海南卫生健康职业学院</w:t>
      </w:r>
    </w:p>
    <w:p w14:paraId="419BE2F5">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我单位近三年内在经营活动中没有重大违法记录，特此声明。</w:t>
      </w:r>
    </w:p>
    <w:p w14:paraId="2D1433C7">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若招标采购单位在本项目采购过程中，发现我单位近三年内在经营活动中有重大违法记录，我单位将无条件退出本项目的报价，并承担因此引起的一切后果。</w:t>
      </w:r>
    </w:p>
    <w:p w14:paraId="74304D8A">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rPr>
      </w:pPr>
    </w:p>
    <w:p w14:paraId="483BF3F2">
      <w:pPr>
        <w:keepNext w:val="0"/>
        <w:keepLines w:val="0"/>
        <w:pageBreakBefore w:val="0"/>
        <w:widowControl w:val="0"/>
        <w:kinsoku/>
        <w:wordWrap/>
        <w:overflowPunct/>
        <w:topLinePunct w:val="0"/>
        <w:bidi w:val="0"/>
        <w:adjustRightInd/>
        <w:snapToGrid w:val="0"/>
        <w:spacing w:line="560" w:lineRule="exact"/>
        <w:textAlignment w:val="auto"/>
        <w:rPr>
          <w:rFonts w:hint="eastAsia" w:ascii="仿宋_GB2312" w:hAnsi="仿宋_GB2312" w:eastAsia="仿宋_GB2312" w:cs="仿宋_GB2312"/>
          <w:sz w:val="32"/>
          <w:szCs w:val="32"/>
        </w:rPr>
      </w:pPr>
    </w:p>
    <w:p w14:paraId="418E38A9">
      <w:pPr>
        <w:keepNext w:val="0"/>
        <w:keepLines w:val="0"/>
        <w:pageBreakBefore w:val="0"/>
        <w:widowControl w:val="0"/>
        <w:kinsoku/>
        <w:wordWrap/>
        <w:overflowPunct/>
        <w:topLinePunct w:val="0"/>
        <w:bidi w:val="0"/>
        <w:adjustRightInd/>
        <w:snapToGrid w:val="0"/>
        <w:spacing w:line="560" w:lineRule="exact"/>
        <w:textAlignment w:val="auto"/>
        <w:rPr>
          <w:rFonts w:hint="eastAsia" w:ascii="仿宋_GB2312" w:hAnsi="仿宋_GB2312" w:eastAsia="仿宋_GB2312" w:cs="仿宋_GB2312"/>
          <w:sz w:val="32"/>
          <w:szCs w:val="32"/>
        </w:rPr>
      </w:pPr>
    </w:p>
    <w:p w14:paraId="0655B13C">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1DF45054">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483EBAD3">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0FC4606D">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解释：《中华人民共和国政府采购法实施条例》条例第十九条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政府采购法第二十二条第一款第五项所称重大违法记录，是指供应商因违法经营受到刑事处罚或者责令停产停业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吊销许可证或者执照、较大数额罚款等行政处罚。供应商在参加政府采购活动前3年内因违法经营被禁止在一定期限内参加政府采购活动，期限届满的，可以参加政府采购活动。</w:t>
      </w:r>
    </w:p>
    <w:p w14:paraId="03F25769">
      <w:pPr>
        <w:pStyle w:val="2"/>
        <w:spacing w:before="120" w:after="100"/>
        <w:rPr>
          <w:rFonts w:hint="eastAsia" w:ascii="仿宋_GB2312" w:hAnsi="仿宋_GB2312" w:eastAsia="仿宋_GB2312" w:cs="仿宋_GB2312"/>
        </w:rPr>
      </w:pPr>
      <w:r>
        <w:rPr>
          <w:rFonts w:hint="eastAsia" w:ascii="仿宋_GB2312" w:hAnsi="仿宋_GB2312" w:eastAsia="仿宋_GB2312" w:cs="仿宋_GB2312"/>
          <w:sz w:val="24"/>
        </w:rPr>
        <w:br w:type="page"/>
      </w:r>
      <w:bookmarkStart w:id="88" w:name="_Toc26136"/>
      <w:bookmarkStart w:id="89" w:name="_Toc9292"/>
      <w:bookmarkStart w:id="90" w:name="_Toc40089811"/>
      <w:r>
        <w:rPr>
          <w:rFonts w:hint="eastAsia" w:ascii="仿宋_GB2312" w:hAnsi="仿宋_GB2312" w:eastAsia="仿宋_GB2312" w:cs="仿宋_GB2312"/>
          <w:b/>
          <w:bCs/>
          <w:kern w:val="0"/>
          <w:sz w:val="36"/>
          <w:szCs w:val="36"/>
          <w:lang w:val="en-US" w:eastAsia="zh-CN" w:bidi="ar-SA"/>
        </w:rPr>
        <w:t>附件4</w:t>
      </w:r>
      <w:bookmarkEnd w:id="88"/>
      <w:bookmarkEnd w:id="89"/>
      <w:bookmarkEnd w:id="90"/>
    </w:p>
    <w:p w14:paraId="3C9F01FD">
      <w:pPr>
        <w:rPr>
          <w:rFonts w:hint="eastAsia" w:ascii="仿宋_GB2312" w:hAnsi="仿宋_GB2312" w:eastAsia="仿宋_GB2312" w:cs="仿宋_GB2312"/>
        </w:rPr>
      </w:pPr>
    </w:p>
    <w:p w14:paraId="16D1A02A">
      <w:pPr>
        <w:pStyle w:val="6"/>
        <w:spacing w:before="0" w:after="0"/>
        <w:ind w:right="378" w:rightChars="135"/>
        <w:jc w:val="center"/>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6"/>
          <w:szCs w:val="36"/>
          <w:lang w:val="en-US" w:eastAsia="zh-CN" w:bidi="ar-SA"/>
        </w:rPr>
        <w:t>商务响应表</w:t>
      </w:r>
    </w:p>
    <w:tbl>
      <w:tblPr>
        <w:tblStyle w:val="18"/>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3402"/>
        <w:gridCol w:w="1673"/>
        <w:gridCol w:w="2544"/>
      </w:tblGrid>
      <w:tr w14:paraId="70840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2" w:type="dxa"/>
            <w:noWrap w:val="0"/>
            <w:vAlign w:val="center"/>
          </w:tcPr>
          <w:p w14:paraId="4467F3E0">
            <w:pPr>
              <w:adjustRightInd w:val="0"/>
              <w:spacing w:line="500" w:lineRule="atLeas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项目</w:t>
            </w:r>
          </w:p>
        </w:tc>
        <w:tc>
          <w:tcPr>
            <w:tcW w:w="3402" w:type="dxa"/>
            <w:noWrap w:val="0"/>
            <w:vAlign w:val="center"/>
          </w:tcPr>
          <w:p w14:paraId="3919C82B">
            <w:pPr>
              <w:adjustRightInd w:val="0"/>
              <w:spacing w:line="500" w:lineRule="atLeas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谈判</w:t>
            </w:r>
            <w:r>
              <w:rPr>
                <w:rFonts w:hint="eastAsia" w:ascii="仿宋_GB2312" w:hAnsi="仿宋_GB2312" w:eastAsia="仿宋_GB2312" w:cs="仿宋_GB2312"/>
                <w:b/>
                <w:bCs/>
                <w:sz w:val="32"/>
                <w:szCs w:val="32"/>
              </w:rPr>
              <w:t>文件要求</w:t>
            </w:r>
          </w:p>
        </w:tc>
        <w:tc>
          <w:tcPr>
            <w:tcW w:w="1673" w:type="dxa"/>
            <w:noWrap w:val="0"/>
            <w:vAlign w:val="center"/>
          </w:tcPr>
          <w:p w14:paraId="71AA4A43">
            <w:pPr>
              <w:adjustRightInd w:val="0"/>
              <w:spacing w:line="500" w:lineRule="atLeas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响应程度</w:t>
            </w:r>
          </w:p>
        </w:tc>
        <w:tc>
          <w:tcPr>
            <w:tcW w:w="2544" w:type="dxa"/>
            <w:noWrap w:val="0"/>
            <w:vAlign w:val="center"/>
          </w:tcPr>
          <w:p w14:paraId="577C8A52">
            <w:pPr>
              <w:adjustRightInd w:val="0"/>
              <w:spacing w:line="500" w:lineRule="atLeas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正偏离理由</w:t>
            </w:r>
          </w:p>
        </w:tc>
      </w:tr>
      <w:tr w14:paraId="3AE2C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552" w:type="dxa"/>
            <w:noWrap w:val="0"/>
            <w:vAlign w:val="center"/>
          </w:tcPr>
          <w:p w14:paraId="42D19BA3">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3402" w:type="dxa"/>
            <w:noWrap w:val="0"/>
            <w:vAlign w:val="center"/>
          </w:tcPr>
          <w:p w14:paraId="2CDAEC9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noWrap w:val="0"/>
            <w:vAlign w:val="center"/>
          </w:tcPr>
          <w:p w14:paraId="09B608D4">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noWrap w:val="0"/>
            <w:vAlign w:val="center"/>
          </w:tcPr>
          <w:p w14:paraId="7FCB127A">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11E7F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552" w:type="dxa"/>
            <w:noWrap w:val="0"/>
            <w:vAlign w:val="center"/>
          </w:tcPr>
          <w:p w14:paraId="34FDBB6F">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3402" w:type="dxa"/>
            <w:noWrap w:val="0"/>
            <w:vAlign w:val="center"/>
          </w:tcPr>
          <w:p w14:paraId="0E1A3BAE">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noWrap w:val="0"/>
            <w:vAlign w:val="center"/>
          </w:tcPr>
          <w:p w14:paraId="148329D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noWrap w:val="0"/>
            <w:vAlign w:val="center"/>
          </w:tcPr>
          <w:p w14:paraId="5AA6D95F">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0829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552" w:type="dxa"/>
            <w:noWrap w:val="0"/>
            <w:vAlign w:val="center"/>
          </w:tcPr>
          <w:p w14:paraId="4F241822">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3402" w:type="dxa"/>
            <w:noWrap w:val="0"/>
            <w:vAlign w:val="center"/>
          </w:tcPr>
          <w:p w14:paraId="6C6E300B">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noWrap w:val="0"/>
            <w:vAlign w:val="center"/>
          </w:tcPr>
          <w:p w14:paraId="27C9E5AC">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noWrap w:val="0"/>
            <w:vAlign w:val="center"/>
          </w:tcPr>
          <w:p w14:paraId="77F68132">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1255F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552" w:type="dxa"/>
            <w:noWrap w:val="0"/>
            <w:vAlign w:val="center"/>
          </w:tcPr>
          <w:p w14:paraId="460E10B7">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w:t>
            </w:r>
          </w:p>
        </w:tc>
        <w:tc>
          <w:tcPr>
            <w:tcW w:w="3402" w:type="dxa"/>
            <w:noWrap w:val="0"/>
            <w:vAlign w:val="center"/>
          </w:tcPr>
          <w:p w14:paraId="3E187056">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noWrap w:val="0"/>
            <w:vAlign w:val="center"/>
          </w:tcPr>
          <w:p w14:paraId="29773032">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noWrap w:val="0"/>
            <w:vAlign w:val="center"/>
          </w:tcPr>
          <w:p w14:paraId="683FA02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bl>
    <w:p w14:paraId="36FFFECA">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sz w:val="32"/>
          <w:szCs w:val="32"/>
        </w:rPr>
        <w:t>注：1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谈判</w:t>
      </w:r>
      <w:r>
        <w:rPr>
          <w:rFonts w:hint="eastAsia" w:ascii="仿宋_GB2312" w:hAnsi="仿宋_GB2312" w:eastAsia="仿宋_GB2312" w:cs="仿宋_GB2312"/>
          <w:sz w:val="32"/>
          <w:szCs w:val="32"/>
        </w:rPr>
        <w:t>文件第四</w:t>
      </w:r>
      <w:r>
        <w:rPr>
          <w:rFonts w:hint="eastAsia" w:ascii="仿宋_GB2312" w:hAnsi="仿宋_GB2312" w:eastAsia="仿宋_GB2312" w:cs="仿宋_GB2312"/>
          <w:sz w:val="32"/>
          <w:szCs w:val="32"/>
          <w:lang w:val="en-US" w:eastAsia="zh-CN"/>
        </w:rPr>
        <w:t>部分商务</w:t>
      </w:r>
      <w:r>
        <w:rPr>
          <w:rFonts w:hint="eastAsia" w:ascii="仿宋_GB2312" w:hAnsi="仿宋_GB2312" w:eastAsia="仿宋_GB2312" w:cs="仿宋_GB2312"/>
          <w:sz w:val="32"/>
          <w:szCs w:val="32"/>
        </w:rPr>
        <w:t>需求的顺序对应逐条应答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val="0"/>
          <w:sz w:val="32"/>
          <w:szCs w:val="32"/>
        </w:rPr>
        <w:t>对照谈判文件要求在“响应程度”栏填写“无偏离”或“正偏离”或“负偏离”。</w:t>
      </w:r>
    </w:p>
    <w:p w14:paraId="11B0F2C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供应商必须据实填写，不得虚假填写，否则将取消其报价或中选</w:t>
      </w:r>
      <w:r>
        <w:rPr>
          <w:rFonts w:hint="eastAsia" w:ascii="仿宋_GB2312" w:hAnsi="仿宋_GB2312" w:eastAsia="仿宋_GB2312" w:cs="仿宋_GB2312"/>
          <w:sz w:val="32"/>
          <w:szCs w:val="32"/>
          <w:lang w:eastAsia="zh-CN"/>
        </w:rPr>
        <w:t>。</w:t>
      </w:r>
    </w:p>
    <w:p w14:paraId="4A9DFF06">
      <w:pPr>
        <w:spacing w:line="480" w:lineRule="auto"/>
        <w:ind w:firstLine="480"/>
        <w:rPr>
          <w:rFonts w:hint="eastAsia" w:ascii="仿宋_GB2312" w:hAnsi="仿宋_GB2312" w:eastAsia="仿宋_GB2312" w:cs="仿宋_GB2312"/>
          <w:sz w:val="24"/>
        </w:rPr>
      </w:pPr>
    </w:p>
    <w:p w14:paraId="6642D286">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left"/>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供应商（公章）：</w:t>
      </w:r>
      <w:r>
        <w:rPr>
          <w:rFonts w:hint="eastAsia" w:ascii="仿宋_GB2312" w:hAnsi="仿宋_GB2312" w:eastAsia="仿宋_GB2312" w:cs="仿宋_GB2312"/>
          <w:bCs w:val="0"/>
          <w:sz w:val="32"/>
          <w:szCs w:val="32"/>
          <w:u w:val="single"/>
          <w:lang w:val="en-US" w:eastAsia="zh-CN"/>
        </w:rPr>
        <w:t xml:space="preserve">                          </w:t>
      </w:r>
      <w:r>
        <w:rPr>
          <w:rFonts w:hint="eastAsia" w:ascii="仿宋_GB2312" w:hAnsi="仿宋_GB2312" w:eastAsia="仿宋_GB2312" w:cs="仿宋_GB2312"/>
          <w:bCs w:val="0"/>
          <w:sz w:val="32"/>
          <w:szCs w:val="32"/>
        </w:rPr>
        <w:t xml:space="preserve">                     </w:t>
      </w:r>
    </w:p>
    <w:p w14:paraId="1645C897">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left"/>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法人代表或其授权人（签字）：</w:t>
      </w:r>
      <w:r>
        <w:rPr>
          <w:rFonts w:hint="eastAsia" w:ascii="仿宋_GB2312" w:hAnsi="仿宋_GB2312" w:eastAsia="仿宋_GB2312" w:cs="仿宋_GB2312"/>
          <w:bCs w:val="0"/>
          <w:sz w:val="32"/>
          <w:szCs w:val="32"/>
          <w:u w:val="single"/>
          <w:lang w:val="en-US" w:eastAsia="zh-CN"/>
        </w:rPr>
        <w:t xml:space="preserve">              </w:t>
      </w:r>
      <w:r>
        <w:rPr>
          <w:rFonts w:hint="eastAsia" w:ascii="仿宋_GB2312" w:hAnsi="仿宋_GB2312" w:eastAsia="仿宋_GB2312" w:cs="仿宋_GB2312"/>
          <w:bCs w:val="0"/>
          <w:sz w:val="32"/>
          <w:szCs w:val="32"/>
        </w:rPr>
        <w:t xml:space="preserve">               </w:t>
      </w:r>
    </w:p>
    <w:p w14:paraId="4754A81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lef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Cs w:val="0"/>
          <w:sz w:val="32"/>
          <w:szCs w:val="32"/>
        </w:rPr>
        <w:t>日   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14:paraId="6702361D">
      <w:pPr>
        <w:rPr>
          <w:rFonts w:hint="eastAsia"/>
        </w:rPr>
      </w:pPr>
      <w:r>
        <w:rPr>
          <w:rFonts w:hint="eastAsia"/>
        </w:rPr>
        <w:br w:type="page"/>
      </w:r>
      <w:bookmarkStart w:id="91" w:name="_Toc23941"/>
      <w:bookmarkStart w:id="92" w:name="_Toc40089812"/>
    </w:p>
    <w:p w14:paraId="0E730908">
      <w:pPr>
        <w:rPr>
          <w:rFonts w:hint="eastAsia"/>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sz w:val="32"/>
          <w:szCs w:val="32"/>
          <w:lang w:val="en-US" w:eastAsia="zh-CN"/>
        </w:rPr>
        <w:t>提供估价人员资格证书复印件加盖公章</w:t>
      </w:r>
    </w:p>
    <w:p w14:paraId="7B60B9C0">
      <w:pPr>
        <w:rPr>
          <w:rFonts w:hint="eastAsia"/>
        </w:rPr>
      </w:pPr>
    </w:p>
    <w:p w14:paraId="13D144AD">
      <w:pPr>
        <w:rPr>
          <w:rFonts w:hint="eastAsia"/>
        </w:rPr>
      </w:pPr>
    </w:p>
    <w:p w14:paraId="5534A793">
      <w:pPr>
        <w:rPr>
          <w:rFonts w:hint="eastAsia"/>
        </w:rPr>
      </w:pPr>
    </w:p>
    <w:p w14:paraId="5907E2EA">
      <w:pPr>
        <w:rPr>
          <w:rFonts w:hint="eastAsia"/>
          <w:lang w:val="en-US" w:eastAsia="zh-CN"/>
        </w:rPr>
      </w:pPr>
    </w:p>
    <w:p w14:paraId="4949C82C">
      <w:pPr>
        <w:rPr>
          <w:rFonts w:hint="eastAsia"/>
          <w:lang w:val="en-US" w:eastAsia="zh-CN"/>
        </w:rPr>
      </w:pPr>
    </w:p>
    <w:p w14:paraId="0724B81F">
      <w:pPr>
        <w:rPr>
          <w:rFonts w:hint="eastAsia"/>
          <w:lang w:val="en-US" w:eastAsia="zh-CN"/>
        </w:rPr>
      </w:pPr>
    </w:p>
    <w:p w14:paraId="34C8CDF9">
      <w:pPr>
        <w:rPr>
          <w:rFonts w:hint="eastAsia"/>
          <w:lang w:val="en-US" w:eastAsia="zh-CN"/>
        </w:rPr>
      </w:pPr>
    </w:p>
    <w:p w14:paraId="5F6886D6">
      <w:pPr>
        <w:rPr>
          <w:rFonts w:hint="eastAsia"/>
          <w:lang w:val="en-US" w:eastAsia="zh-CN"/>
        </w:rPr>
      </w:pPr>
    </w:p>
    <w:p w14:paraId="32F8DA4F">
      <w:pPr>
        <w:rPr>
          <w:rFonts w:hint="eastAsia"/>
          <w:lang w:val="en-US" w:eastAsia="zh-CN"/>
        </w:rPr>
      </w:pPr>
    </w:p>
    <w:p w14:paraId="122FA3AF">
      <w:pPr>
        <w:rPr>
          <w:rFonts w:hint="eastAsia"/>
          <w:lang w:val="en-US" w:eastAsia="zh-CN"/>
        </w:rPr>
      </w:pPr>
    </w:p>
    <w:p w14:paraId="4BD68300">
      <w:pPr>
        <w:rPr>
          <w:rFonts w:hint="eastAsia"/>
          <w:lang w:val="en-US" w:eastAsia="zh-CN"/>
        </w:rPr>
      </w:pPr>
    </w:p>
    <w:p w14:paraId="1F9EAF58">
      <w:pPr>
        <w:rPr>
          <w:rFonts w:hint="eastAsia"/>
          <w:lang w:val="en-US" w:eastAsia="zh-CN"/>
        </w:rPr>
      </w:pPr>
    </w:p>
    <w:p w14:paraId="560E0347">
      <w:pPr>
        <w:rPr>
          <w:rFonts w:hint="eastAsia"/>
          <w:lang w:val="en-US" w:eastAsia="zh-CN"/>
        </w:rPr>
      </w:pPr>
    </w:p>
    <w:p w14:paraId="3E939DBC">
      <w:pPr>
        <w:rPr>
          <w:rFonts w:hint="eastAsia"/>
          <w:lang w:val="en-US" w:eastAsia="zh-CN"/>
        </w:rPr>
      </w:pPr>
    </w:p>
    <w:p w14:paraId="579DEC6A">
      <w:pPr>
        <w:rPr>
          <w:rFonts w:hint="eastAsia"/>
          <w:lang w:val="en-US" w:eastAsia="zh-CN"/>
        </w:rPr>
      </w:pPr>
    </w:p>
    <w:p w14:paraId="3C7A767D">
      <w:pPr>
        <w:rPr>
          <w:rFonts w:hint="eastAsia"/>
          <w:lang w:val="en-US" w:eastAsia="zh-CN"/>
        </w:rPr>
      </w:pPr>
    </w:p>
    <w:p w14:paraId="43DF985B">
      <w:pPr>
        <w:rPr>
          <w:rFonts w:hint="eastAsia"/>
          <w:lang w:val="en-US" w:eastAsia="zh-CN"/>
        </w:rPr>
      </w:pPr>
    </w:p>
    <w:p w14:paraId="0E9DF88F">
      <w:pPr>
        <w:rPr>
          <w:rFonts w:hint="eastAsia"/>
          <w:lang w:val="en-US" w:eastAsia="zh-CN"/>
        </w:rPr>
      </w:pPr>
    </w:p>
    <w:p w14:paraId="1C6A379D">
      <w:pPr>
        <w:rPr>
          <w:rFonts w:hint="eastAsia"/>
          <w:lang w:val="en-US" w:eastAsia="zh-CN"/>
        </w:rPr>
      </w:pPr>
    </w:p>
    <w:p w14:paraId="052CB8A7">
      <w:pPr>
        <w:rPr>
          <w:rFonts w:hint="eastAsia"/>
          <w:lang w:val="en-US" w:eastAsia="zh-CN"/>
        </w:rPr>
      </w:pPr>
    </w:p>
    <w:p w14:paraId="39293749">
      <w:pPr>
        <w:rPr>
          <w:rFonts w:hint="eastAsia"/>
          <w:lang w:val="en-US" w:eastAsia="zh-CN"/>
        </w:rPr>
      </w:pPr>
    </w:p>
    <w:p w14:paraId="257AE9C9">
      <w:pPr>
        <w:rPr>
          <w:rFonts w:hint="eastAsia"/>
          <w:lang w:val="en-US" w:eastAsia="zh-CN"/>
        </w:rPr>
      </w:pPr>
    </w:p>
    <w:p w14:paraId="51B53B94">
      <w:pPr>
        <w:rPr>
          <w:rFonts w:hint="eastAsia"/>
          <w:lang w:val="en-US" w:eastAsia="zh-CN"/>
        </w:rPr>
      </w:pPr>
    </w:p>
    <w:p w14:paraId="375F48B9">
      <w:pPr>
        <w:rPr>
          <w:rFonts w:hint="eastAsia"/>
          <w:lang w:val="en-US" w:eastAsia="zh-CN"/>
        </w:rPr>
      </w:pPr>
    </w:p>
    <w:p w14:paraId="153CBA34">
      <w:pPr>
        <w:rPr>
          <w:rFonts w:hint="eastAsia"/>
          <w:lang w:val="en-US" w:eastAsia="zh-CN"/>
        </w:rPr>
      </w:pPr>
    </w:p>
    <w:p w14:paraId="7821F3C0">
      <w:pPr>
        <w:rPr>
          <w:rFonts w:hint="eastAsia"/>
          <w:lang w:val="en-US" w:eastAsia="zh-CN"/>
        </w:rPr>
      </w:pPr>
    </w:p>
    <w:p w14:paraId="3D2DF1E4">
      <w:pPr>
        <w:rPr>
          <w:rFonts w:hint="eastAsia"/>
          <w:lang w:val="en-US" w:eastAsia="zh-CN"/>
        </w:rPr>
      </w:pPr>
    </w:p>
    <w:p w14:paraId="427BDF53">
      <w:pPr>
        <w:rPr>
          <w:rFonts w:hint="eastAsia"/>
          <w:lang w:val="en-US" w:eastAsia="zh-CN"/>
        </w:rPr>
      </w:pPr>
    </w:p>
    <w:p w14:paraId="0B237FE0">
      <w:pPr>
        <w:rPr>
          <w:rFonts w:hint="eastAsia"/>
          <w:lang w:val="en-US" w:eastAsia="zh-CN"/>
        </w:rPr>
      </w:pPr>
    </w:p>
    <w:p w14:paraId="5A96703B">
      <w:pPr>
        <w:rPr>
          <w:rFonts w:hint="eastAsia"/>
          <w:lang w:val="en-US" w:eastAsia="zh-CN"/>
        </w:rPr>
      </w:pPr>
    </w:p>
    <w:p w14:paraId="5BDC243E">
      <w:pPr>
        <w:rPr>
          <w:rFonts w:hint="eastAsia"/>
          <w:lang w:val="en-US" w:eastAsia="zh-CN"/>
        </w:rPr>
      </w:pPr>
    </w:p>
    <w:p w14:paraId="68E6976C">
      <w:pPr>
        <w:rPr>
          <w:rFonts w:hint="eastAsia"/>
          <w:lang w:val="en-US" w:eastAsia="zh-CN"/>
        </w:rPr>
      </w:pPr>
    </w:p>
    <w:p w14:paraId="3F0EE0BA">
      <w:pPr>
        <w:rPr>
          <w:rFonts w:hint="eastAsia"/>
          <w:lang w:val="en-US" w:eastAsia="zh-CN"/>
        </w:rPr>
      </w:pPr>
    </w:p>
    <w:p w14:paraId="62D7C0D5">
      <w:pPr>
        <w:rPr>
          <w:rFonts w:hint="eastAsia"/>
          <w:lang w:val="en-US" w:eastAsia="zh-CN"/>
        </w:rPr>
      </w:pPr>
    </w:p>
    <w:p w14:paraId="07796FF6">
      <w:pPr>
        <w:rPr>
          <w:rFonts w:hint="eastAsia"/>
          <w:lang w:val="en-US" w:eastAsia="zh-CN"/>
        </w:rPr>
      </w:pPr>
    </w:p>
    <w:p w14:paraId="122CDD06">
      <w:pPr>
        <w:rPr>
          <w:rFonts w:hint="eastAsia"/>
          <w:lang w:val="en-US" w:eastAsia="zh-CN"/>
        </w:rPr>
      </w:pPr>
    </w:p>
    <w:p w14:paraId="25B45820">
      <w:pPr>
        <w:pStyle w:val="3"/>
        <w:numPr>
          <w:ilvl w:val="0"/>
          <w:numId w:val="2"/>
        </w:numPr>
        <w:bidi w:val="0"/>
        <w:spacing w:line="240" w:lineRule="auto"/>
        <w:rPr>
          <w:rFonts w:hint="eastAsia" w:hAnsi="Times New Roman" w:cs="Times New Roman"/>
          <w:lang w:val="en-US" w:eastAsia="zh-CN"/>
        </w:rPr>
      </w:pPr>
      <w:bookmarkStart w:id="93" w:name="_Toc10334"/>
      <w:bookmarkStart w:id="94" w:name="_Toc24759"/>
      <w:r>
        <w:rPr>
          <w:rFonts w:hint="eastAsia" w:hAnsi="Times New Roman" w:cs="Times New Roman"/>
          <w:lang w:val="en-US" w:eastAsia="zh-CN"/>
        </w:rPr>
        <w:t>资信部分</w:t>
      </w:r>
      <w:bookmarkEnd w:id="93"/>
      <w:bookmarkEnd w:id="94"/>
    </w:p>
    <w:p w14:paraId="2B3DFAF9">
      <w:pPr>
        <w:rPr>
          <w:rFonts w:hint="eastAsia"/>
          <w:lang w:val="en-US" w:eastAsia="zh-CN"/>
        </w:rPr>
      </w:pPr>
    </w:p>
    <w:p w14:paraId="0E78B68A">
      <w:pPr>
        <w:pStyle w:val="24"/>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left"/>
        <w:textAlignment w:val="center"/>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1.符合《中华人民共和国政府采购法》第二十二条规定，在中国境内注册的具有独立法人资格或个体户（提供营业执照）。</w:t>
      </w:r>
    </w:p>
    <w:p w14:paraId="35ED876E">
      <w:pPr>
        <w:pStyle w:val="24"/>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center"/>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2.</w:t>
      </w:r>
      <w:r>
        <w:rPr>
          <w:rFonts w:hint="eastAsia" w:ascii="仿宋_GB2312" w:hAnsi="仿宋_GB2312" w:eastAsia="仿宋_GB2312" w:cs="仿宋_GB2312"/>
          <w:color w:val="auto"/>
          <w:kern w:val="0"/>
          <w:sz w:val="32"/>
          <w:szCs w:val="32"/>
          <w:lang w:val="en-US" w:eastAsia="zh-CN"/>
        </w:rPr>
        <w:t>投标人具备</w:t>
      </w:r>
      <w:r>
        <w:rPr>
          <w:rFonts w:hint="eastAsia" w:ascii="仿宋_GB2312" w:hAnsi="仿宋_GB2312" w:eastAsia="仿宋_GB2312" w:cs="仿宋_GB2312"/>
          <w:i w:val="0"/>
          <w:iCs w:val="0"/>
          <w:caps w:val="0"/>
          <w:color w:val="auto"/>
          <w:spacing w:val="0"/>
          <w:sz w:val="32"/>
          <w:szCs w:val="32"/>
          <w:shd w:val="clear" w:color="auto" w:fill="auto"/>
        </w:rPr>
        <w:t>从事</w:t>
      </w:r>
      <w:r>
        <w:rPr>
          <w:rFonts w:hint="eastAsia" w:ascii="仿宋_GB2312" w:hAnsi="仿宋_GB2312" w:eastAsia="仿宋_GB2312" w:cs="仿宋_GB2312"/>
          <w:i w:val="0"/>
          <w:iCs w:val="0"/>
          <w:caps w:val="0"/>
          <w:color w:val="auto"/>
          <w:spacing w:val="0"/>
          <w:sz w:val="32"/>
          <w:szCs w:val="32"/>
          <w:shd w:val="clear" w:color="auto" w:fill="auto"/>
          <w:lang w:val="en-US" w:eastAsia="zh-CN"/>
        </w:rPr>
        <w:t>房地产估价机构备案</w:t>
      </w:r>
      <w:r>
        <w:rPr>
          <w:rFonts w:hint="eastAsia" w:ascii="仿宋_GB2312" w:hAnsi="仿宋_GB2312" w:eastAsia="仿宋_GB2312" w:cs="仿宋_GB2312"/>
          <w:color w:val="auto"/>
          <w:kern w:val="0"/>
          <w:sz w:val="32"/>
          <w:szCs w:val="32"/>
          <w:lang w:val="en-US" w:eastAsia="zh-CN"/>
        </w:rPr>
        <w:t>资质证书</w:t>
      </w:r>
      <w:r>
        <w:rPr>
          <w:rFonts w:hint="eastAsia" w:ascii="仿宋_GB2312" w:hAnsi="仿宋_GB2312" w:eastAsia="仿宋_GB2312" w:cs="仿宋_GB2312"/>
          <w:bCs/>
          <w:color w:val="auto"/>
          <w:kern w:val="0"/>
          <w:sz w:val="32"/>
          <w:szCs w:val="32"/>
          <w:lang w:val="en-US" w:eastAsia="zh-CN" w:bidi="ar-SA"/>
        </w:rPr>
        <w:t>。</w:t>
      </w:r>
    </w:p>
    <w:p w14:paraId="56AA190C">
      <w:pPr>
        <w:numPr>
          <w:ilvl w:val="0"/>
          <w:numId w:val="0"/>
        </w:numPr>
        <w:ind w:firstLine="640" w:firstLineChars="200"/>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3.未被“信用中国”网站（www.creditchina.gov.cn）列入失信被执行人、重大税收违法案件当事人名单、政府采购严重失信行为记录名单（提供网上截图加盖公章）或信用报告。</w:t>
      </w:r>
    </w:p>
    <w:p w14:paraId="0773E90B">
      <w:pPr>
        <w:pStyle w:val="15"/>
        <w:keepNext w:val="0"/>
        <w:keepLines w:val="0"/>
        <w:pageBreakBefore w:val="0"/>
        <w:widowControl w:val="0"/>
        <w:kinsoku/>
        <w:wordWrap/>
        <w:overflowPunct/>
        <w:topLinePunct w:val="0"/>
        <w:bidi w:val="0"/>
        <w:adjustRightInd/>
        <w:snapToGrid w:val="0"/>
        <w:spacing w:after="0" w:line="560" w:lineRule="exact"/>
        <w:ind w:firstLine="640" w:firstLineChars="200"/>
        <w:jc w:val="both"/>
        <w:textAlignment w:val="auto"/>
        <w:rPr>
          <w:rFonts w:hint="default"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4.承诺函(样本)</w:t>
      </w:r>
    </w:p>
    <w:p w14:paraId="766002C9">
      <w:pPr>
        <w:rPr>
          <w:rFonts w:hint="eastAsia"/>
          <w:lang w:val="en-US" w:eastAsia="zh-CN"/>
        </w:rPr>
      </w:pPr>
    </w:p>
    <w:p w14:paraId="130110BD">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rPr>
      </w:pPr>
    </w:p>
    <w:p w14:paraId="66CDBE18">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jc w:val="center"/>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承诺函</w:t>
      </w:r>
    </w:p>
    <w:p w14:paraId="071B31A7">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jc w:val="center"/>
        <w:textAlignment w:val="auto"/>
        <w:rPr>
          <w:rFonts w:hint="eastAsia" w:ascii="仿宋_GB2312" w:hAnsi="仿宋_GB2312" w:eastAsia="仿宋_GB2312" w:cs="仿宋_GB2312"/>
          <w:bCs/>
          <w:color w:val="auto"/>
          <w:kern w:val="0"/>
          <w:sz w:val="32"/>
          <w:szCs w:val="32"/>
          <w:lang w:val="en-US" w:eastAsia="zh-CN" w:bidi="ar-SA"/>
        </w:rPr>
      </w:pPr>
    </w:p>
    <w:p w14:paraId="5E625FB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海南卫生健康职业学院</w:t>
      </w:r>
    </w:p>
    <w:p w14:paraId="29ECBE1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w:t>
      </w:r>
      <w:r>
        <w:rPr>
          <w:rFonts w:hint="eastAsia" w:ascii="仿宋_GB2312" w:hAnsi="仿宋_GB2312" w:eastAsia="仿宋_GB2312" w:cs="仿宋_GB2312"/>
          <w:color w:val="auto"/>
          <w:kern w:val="0"/>
          <w:sz w:val="32"/>
          <w:szCs w:val="32"/>
          <w:lang w:val="en-US" w:eastAsia="zh-CN"/>
        </w:rPr>
        <w:t>不是</w:t>
      </w:r>
      <w:r>
        <w:rPr>
          <w:rFonts w:hint="eastAsia" w:ascii="仿宋_GB2312" w:hAnsi="仿宋_GB2312" w:eastAsia="仿宋_GB2312" w:cs="仿宋_GB2312"/>
          <w:color w:val="auto"/>
          <w:kern w:val="0"/>
          <w:sz w:val="32"/>
          <w:szCs w:val="32"/>
        </w:rPr>
        <w:t>联合体参与报价，</w:t>
      </w:r>
      <w:r>
        <w:rPr>
          <w:rFonts w:hint="eastAsia" w:ascii="仿宋_GB2312" w:hAnsi="仿宋_GB2312" w:eastAsia="仿宋_GB2312" w:cs="仿宋_GB2312"/>
          <w:color w:val="auto"/>
          <w:kern w:val="0"/>
          <w:sz w:val="32"/>
          <w:szCs w:val="32"/>
          <w:lang w:val="en-US" w:eastAsia="zh-CN"/>
        </w:rPr>
        <w:t>我单位承诺</w:t>
      </w:r>
      <w:r>
        <w:rPr>
          <w:rFonts w:hint="eastAsia" w:ascii="仿宋_GB2312" w:hAnsi="仿宋_GB2312" w:eastAsia="仿宋_GB2312" w:cs="仿宋_GB2312"/>
          <w:color w:val="auto"/>
          <w:kern w:val="0"/>
          <w:sz w:val="32"/>
          <w:szCs w:val="32"/>
        </w:rPr>
        <w:t>成交后不转包</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不分包</w:t>
      </w:r>
      <w:r>
        <w:rPr>
          <w:rFonts w:hint="eastAsia" w:ascii="仿宋_GB2312" w:hAnsi="仿宋_GB2312" w:eastAsia="仿宋_GB2312" w:cs="仿宋_GB2312"/>
          <w:sz w:val="32"/>
          <w:szCs w:val="32"/>
        </w:rPr>
        <w:t>，并承担因此引起的一切后果。</w:t>
      </w:r>
    </w:p>
    <w:p w14:paraId="1F69E182">
      <w:pPr>
        <w:keepNext w:val="0"/>
        <w:keepLines w:val="0"/>
        <w:pageBreakBefore w:val="0"/>
        <w:widowControl w:val="0"/>
        <w:kinsoku/>
        <w:wordWrap/>
        <w:overflowPunct/>
        <w:topLinePunct w:val="0"/>
        <w:bidi w:val="0"/>
        <w:adjustRightInd/>
        <w:snapToGrid w:val="0"/>
        <w:spacing w:line="560" w:lineRule="exact"/>
        <w:textAlignment w:val="auto"/>
        <w:rPr>
          <w:rFonts w:hint="eastAsia" w:ascii="仿宋_GB2312" w:hAnsi="仿宋_GB2312" w:eastAsia="仿宋_GB2312" w:cs="仿宋_GB2312"/>
          <w:sz w:val="32"/>
          <w:szCs w:val="32"/>
        </w:rPr>
      </w:pPr>
    </w:p>
    <w:p w14:paraId="2F0A10B1">
      <w:pPr>
        <w:keepNext w:val="0"/>
        <w:keepLines w:val="0"/>
        <w:pageBreakBefore w:val="0"/>
        <w:widowControl w:val="0"/>
        <w:kinsoku/>
        <w:wordWrap/>
        <w:overflowPunct/>
        <w:topLinePunct w:val="0"/>
        <w:bidi w:val="0"/>
        <w:adjustRightInd/>
        <w:snapToGrid w:val="0"/>
        <w:spacing w:line="560" w:lineRule="exact"/>
        <w:textAlignment w:val="auto"/>
        <w:rPr>
          <w:rFonts w:hint="eastAsia" w:ascii="仿宋_GB2312" w:hAnsi="仿宋_GB2312" w:eastAsia="仿宋_GB2312" w:cs="仿宋_GB2312"/>
          <w:sz w:val="32"/>
          <w:szCs w:val="32"/>
        </w:rPr>
      </w:pPr>
    </w:p>
    <w:p w14:paraId="2F825E29">
      <w:pPr>
        <w:keepNext w:val="0"/>
        <w:keepLines w:val="0"/>
        <w:pageBreakBefore w:val="0"/>
        <w:widowControl w:val="0"/>
        <w:kinsoku/>
        <w:wordWrap/>
        <w:overflowPunct/>
        <w:topLinePunct w:val="0"/>
        <w:bidi w:val="0"/>
        <w:adjustRightInd/>
        <w:snapToGrid w:val="0"/>
        <w:spacing w:line="560" w:lineRule="exact"/>
        <w:textAlignment w:val="auto"/>
        <w:rPr>
          <w:rFonts w:hint="eastAsia" w:ascii="仿宋_GB2312" w:hAnsi="仿宋_GB2312" w:eastAsia="仿宋_GB2312" w:cs="仿宋_GB2312"/>
          <w:sz w:val="32"/>
          <w:szCs w:val="32"/>
        </w:rPr>
      </w:pPr>
    </w:p>
    <w:p w14:paraId="39B670F9">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0ED6F95F">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1546963E">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48C8AB73">
      <w:pPr>
        <w:rPr>
          <w:rFonts w:hint="eastAsia"/>
          <w:lang w:val="en-US" w:eastAsia="zh-CN"/>
        </w:rPr>
      </w:pPr>
    </w:p>
    <w:p w14:paraId="0A33AC06">
      <w:pPr>
        <w:rPr>
          <w:rFonts w:hint="eastAsia"/>
          <w:lang w:val="en-US" w:eastAsia="zh-CN"/>
        </w:rPr>
      </w:pPr>
    </w:p>
    <w:p w14:paraId="02B3D016">
      <w:pPr>
        <w:rPr>
          <w:rFonts w:hint="eastAsia"/>
          <w:lang w:val="en-US" w:eastAsia="zh-CN"/>
        </w:rPr>
      </w:pPr>
    </w:p>
    <w:p w14:paraId="0E1C0104">
      <w:pPr>
        <w:rPr>
          <w:rFonts w:hint="eastAsia"/>
          <w:lang w:val="en-US" w:eastAsia="zh-CN"/>
        </w:rPr>
      </w:pPr>
    </w:p>
    <w:p w14:paraId="751343D7">
      <w:pPr>
        <w:rPr>
          <w:rFonts w:hint="eastAsia"/>
          <w:lang w:val="en-US" w:eastAsia="zh-CN"/>
        </w:rPr>
      </w:pPr>
    </w:p>
    <w:p w14:paraId="2585B1C3">
      <w:pPr>
        <w:rPr>
          <w:rFonts w:hint="eastAsia"/>
          <w:lang w:val="en-US" w:eastAsia="zh-CN"/>
        </w:rPr>
      </w:pPr>
    </w:p>
    <w:p w14:paraId="53E4A6F9">
      <w:pPr>
        <w:rPr>
          <w:rFonts w:hint="eastAsia"/>
          <w:lang w:val="en-US" w:eastAsia="zh-CN"/>
        </w:rPr>
      </w:pPr>
    </w:p>
    <w:p w14:paraId="72ED69ED">
      <w:pPr>
        <w:pStyle w:val="3"/>
        <w:numPr>
          <w:ilvl w:val="0"/>
          <w:numId w:val="2"/>
        </w:numPr>
        <w:bidi w:val="0"/>
        <w:spacing w:line="240" w:lineRule="auto"/>
        <w:rPr>
          <w:rFonts w:hint="eastAsia" w:hAnsi="Times New Roman" w:cs="Times New Roman"/>
          <w:lang w:val="en-US" w:eastAsia="zh-CN"/>
        </w:rPr>
      </w:pPr>
      <w:bookmarkStart w:id="95" w:name="_Toc999"/>
      <w:bookmarkStart w:id="96" w:name="_Toc19227"/>
      <w:r>
        <w:rPr>
          <w:rFonts w:hint="eastAsia" w:hAnsi="Times New Roman" w:cs="Times New Roman"/>
          <w:lang w:val="en-US" w:eastAsia="zh-CN"/>
        </w:rPr>
        <w:t>技术部分</w:t>
      </w:r>
      <w:bookmarkEnd w:id="95"/>
      <w:bookmarkEnd w:id="96"/>
    </w:p>
    <w:p w14:paraId="7E9C9F8E">
      <w:pPr>
        <w:rPr>
          <w:rFonts w:hint="eastAsia"/>
          <w:lang w:val="en-US" w:eastAsia="zh-CN"/>
        </w:rPr>
      </w:pPr>
    </w:p>
    <w:p w14:paraId="631A7E7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对本项目的技术服务类总体要求的理解（如有）</w:t>
      </w:r>
    </w:p>
    <w:p w14:paraId="1FE867C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项目总体架构及技术解决方案、技术保证措施、供货方案等（如有）</w:t>
      </w:r>
    </w:p>
    <w:p w14:paraId="6822F70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投标货物产品图片等证明货物的合格性和符合</w:t>
      </w:r>
      <w:r>
        <w:rPr>
          <w:rFonts w:hint="eastAsia" w:ascii="仿宋_GB2312" w:hAnsi="仿宋_GB2312" w:eastAsia="仿宋_GB2312" w:cs="仿宋_GB2312"/>
          <w:color w:val="auto"/>
          <w:sz w:val="32"/>
          <w:szCs w:val="32"/>
          <w:lang w:eastAsia="zh-CN"/>
        </w:rPr>
        <w:t>谈判</w:t>
      </w:r>
      <w:r>
        <w:rPr>
          <w:rFonts w:hint="eastAsia" w:ascii="仿宋_GB2312" w:hAnsi="仿宋_GB2312" w:eastAsia="仿宋_GB2312" w:cs="仿宋_GB2312"/>
          <w:color w:val="auto"/>
          <w:sz w:val="32"/>
          <w:szCs w:val="32"/>
        </w:rPr>
        <w:t>文件规定的技术资料（如有）</w:t>
      </w:r>
      <w:r>
        <w:rPr>
          <w:rFonts w:hint="eastAsia" w:ascii="仿宋_GB2312" w:hAnsi="仿宋_GB2312" w:eastAsia="仿宋_GB2312" w:cs="仿宋_GB2312"/>
          <w:color w:val="auto"/>
          <w:sz w:val="32"/>
          <w:szCs w:val="32"/>
          <w:lang w:eastAsia="zh-CN"/>
        </w:rPr>
        <w:t>。。</w:t>
      </w:r>
    </w:p>
    <w:p w14:paraId="6D8A19B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供应商或制造商在采购人所属地区的售后服务维修机构数量及分布情况（如有）</w:t>
      </w:r>
      <w:r>
        <w:rPr>
          <w:rFonts w:hint="eastAsia" w:ascii="仿宋_GB2312" w:hAnsi="仿宋_GB2312" w:eastAsia="仿宋_GB2312" w:cs="仿宋_GB2312"/>
          <w:color w:val="auto"/>
          <w:sz w:val="32"/>
          <w:szCs w:val="32"/>
          <w:lang w:eastAsia="zh-CN"/>
        </w:rPr>
        <w:t>。</w:t>
      </w:r>
    </w:p>
    <w:p w14:paraId="20D9E41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技术服务、技术培训、售后服务的内容和措施（如有）</w:t>
      </w:r>
      <w:r>
        <w:rPr>
          <w:rFonts w:hint="eastAsia" w:ascii="仿宋_GB2312" w:hAnsi="仿宋_GB2312" w:eastAsia="仿宋_GB2312" w:cs="仿宋_GB2312"/>
          <w:color w:val="auto"/>
          <w:sz w:val="32"/>
          <w:szCs w:val="32"/>
          <w:lang w:eastAsia="zh-CN"/>
        </w:rPr>
        <w:t>。</w:t>
      </w:r>
    </w:p>
    <w:p w14:paraId="1D7039E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供应商同类项目实施情况一览表并提供能证明其业绩属实的合同复印件（如有）</w:t>
      </w:r>
      <w:r>
        <w:rPr>
          <w:rFonts w:hint="eastAsia" w:ascii="仿宋_GB2312" w:hAnsi="仿宋_GB2312" w:eastAsia="仿宋_GB2312" w:cs="仿宋_GB2312"/>
          <w:color w:val="auto"/>
          <w:sz w:val="32"/>
          <w:szCs w:val="32"/>
          <w:lang w:eastAsia="zh-CN"/>
        </w:rPr>
        <w:t>。</w:t>
      </w:r>
    </w:p>
    <w:p w14:paraId="7822F28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选配件、</w:t>
      </w:r>
      <w:r>
        <w:rPr>
          <w:rFonts w:hint="eastAsia" w:ascii="仿宋_GB2312" w:hAnsi="仿宋_GB2312" w:eastAsia="仿宋_GB2312" w:cs="仿宋_GB2312"/>
          <w:color w:val="auto"/>
          <w:sz w:val="32"/>
          <w:szCs w:val="32"/>
          <w:lang w:val="en-US" w:eastAsia="zh-CN"/>
        </w:rPr>
        <w:t>专用耗材、售后服务优惠表（如有）。</w:t>
      </w:r>
    </w:p>
    <w:p w14:paraId="5F0F301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8.谈判文件中规定或供应商认为其它应介绍或提交的资料和文件（供应商认为对响应有利的其他证明材料）</w:t>
      </w:r>
    </w:p>
    <w:p w14:paraId="76828AE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p>
    <w:p w14:paraId="577E01FB">
      <w:pPr>
        <w:rPr>
          <w:rFonts w:hint="eastAsia"/>
          <w:lang w:val="en-US" w:eastAsia="zh-CN"/>
        </w:rPr>
      </w:pPr>
    </w:p>
    <w:p w14:paraId="2E03F851">
      <w:pPr>
        <w:rPr>
          <w:rFonts w:hint="eastAsia"/>
          <w:lang w:val="en-US" w:eastAsia="zh-CN"/>
        </w:rPr>
      </w:pPr>
    </w:p>
    <w:bookmarkEnd w:id="91"/>
    <w:bookmarkEnd w:id="92"/>
    <w:p w14:paraId="647A755A">
      <w:pPr>
        <w:rPr>
          <w:rFonts w:hint="eastAsia" w:ascii="仿宋_GB2312" w:hAnsi="仿宋_GB2312" w:eastAsia="仿宋_GB2312" w:cs="仿宋_GB2312"/>
        </w:rPr>
      </w:pPr>
      <w:r>
        <w:rPr>
          <w:rFonts w:hint="eastAsia" w:ascii="仿宋_GB2312" w:hAnsi="仿宋_GB2312" w:eastAsia="仿宋_GB2312" w:cs="仿宋_GB2312"/>
          <w:sz w:val="32"/>
          <w:szCs w:val="32"/>
          <w:u w:val="single"/>
        </w:rPr>
        <w:br w:type="page"/>
      </w:r>
      <w:bookmarkStart w:id="97" w:name="_Toc28595"/>
      <w:bookmarkStart w:id="98" w:name="_Toc40089814"/>
    </w:p>
    <w:p w14:paraId="7ACBB947">
      <w:pPr>
        <w:pStyle w:val="3"/>
        <w:bidi w:val="0"/>
        <w:spacing w:line="240" w:lineRule="auto"/>
        <w:rPr>
          <w:rFonts w:hint="eastAsia" w:hAnsi="Times New Roman" w:cs="Times New Roman"/>
          <w:lang w:val="en-US" w:eastAsia="zh-CN"/>
        </w:rPr>
      </w:pPr>
      <w:bookmarkStart w:id="99" w:name="_Toc31919"/>
      <w:r>
        <w:rPr>
          <w:rFonts w:hint="eastAsia" w:hAnsi="Times New Roman" w:cs="Times New Roman"/>
          <w:lang w:val="en-US" w:eastAsia="zh-CN"/>
        </w:rPr>
        <w:t>四、报价部分</w:t>
      </w:r>
      <w:bookmarkEnd w:id="99"/>
    </w:p>
    <w:p w14:paraId="3118AF66">
      <w:pPr>
        <w:rPr>
          <w:rFonts w:hint="eastAsia"/>
        </w:rPr>
      </w:pPr>
    </w:p>
    <w:p w14:paraId="5997322B">
      <w:pPr>
        <w:pStyle w:val="2"/>
        <w:spacing w:before="120"/>
        <w:rPr>
          <w:rFonts w:hint="eastAsia" w:ascii="仿宋_GB2312" w:hAnsi="仿宋_GB2312" w:eastAsia="仿宋_GB2312" w:cs="仿宋_GB2312"/>
          <w:sz w:val="36"/>
          <w:szCs w:val="36"/>
          <w:lang w:val="en-US" w:eastAsia="zh-CN"/>
        </w:rPr>
      </w:pPr>
      <w:bookmarkStart w:id="100" w:name="_Toc22751"/>
      <w:r>
        <w:rPr>
          <w:rFonts w:hint="eastAsia" w:ascii="仿宋_GB2312" w:hAnsi="仿宋_GB2312" w:eastAsia="仿宋_GB2312" w:cs="仿宋_GB2312"/>
          <w:sz w:val="36"/>
          <w:szCs w:val="36"/>
        </w:rPr>
        <w:t>附件</w:t>
      </w:r>
      <w:bookmarkEnd w:id="82"/>
      <w:bookmarkEnd w:id="83"/>
      <w:bookmarkEnd w:id="97"/>
      <w:bookmarkEnd w:id="98"/>
      <w:r>
        <w:rPr>
          <w:rFonts w:hint="eastAsia" w:ascii="仿宋_GB2312" w:hAnsi="仿宋_GB2312" w:eastAsia="仿宋_GB2312" w:cs="仿宋_GB2312"/>
          <w:sz w:val="36"/>
          <w:szCs w:val="36"/>
          <w:lang w:val="en-US" w:eastAsia="zh-CN"/>
        </w:rPr>
        <w:t>5</w:t>
      </w:r>
      <w:bookmarkEnd w:id="100"/>
    </w:p>
    <w:p w14:paraId="1C513EED">
      <w:pPr>
        <w:bidi w:val="0"/>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报价一览表</w:t>
      </w:r>
    </w:p>
    <w:p w14:paraId="036493D7">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both"/>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项目编号：                  </w:t>
      </w:r>
    </w:p>
    <w:p w14:paraId="2F3EE6BB">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both"/>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p>
    <w:tbl>
      <w:tblPr>
        <w:tblStyle w:val="18"/>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7141"/>
      </w:tblGrid>
      <w:tr w14:paraId="5F7C9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2167" w:type="dxa"/>
            <w:noWrap w:val="0"/>
            <w:vAlign w:val="center"/>
          </w:tcPr>
          <w:p w14:paraId="610A22A8">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投标人名称</w:t>
            </w:r>
          </w:p>
        </w:tc>
        <w:tc>
          <w:tcPr>
            <w:tcW w:w="7141" w:type="dxa"/>
            <w:noWrap w:val="0"/>
            <w:vAlign w:val="center"/>
          </w:tcPr>
          <w:p w14:paraId="39BE601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textAlignment w:val="auto"/>
              <w:rPr>
                <w:rFonts w:hint="eastAsia" w:ascii="仿宋_GB2312" w:hAnsi="仿宋_GB2312" w:eastAsia="仿宋_GB2312" w:cs="仿宋_GB2312"/>
                <w:sz w:val="32"/>
                <w:szCs w:val="32"/>
              </w:rPr>
            </w:pPr>
          </w:p>
        </w:tc>
      </w:tr>
      <w:tr w14:paraId="141B1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2167" w:type="dxa"/>
            <w:noWrap w:val="0"/>
            <w:vAlign w:val="center"/>
          </w:tcPr>
          <w:p w14:paraId="76D7293C">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总报价</w:t>
            </w:r>
          </w:p>
          <w:p w14:paraId="73D359B4">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（人民币/元）</w:t>
            </w:r>
          </w:p>
        </w:tc>
        <w:tc>
          <w:tcPr>
            <w:tcW w:w="7141" w:type="dxa"/>
            <w:noWrap w:val="0"/>
            <w:vAlign w:val="center"/>
          </w:tcPr>
          <w:p w14:paraId="64B58385">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3D8A1BC8">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小写：</w:t>
            </w:r>
            <w:r>
              <w:rPr>
                <w:rFonts w:hint="eastAsia" w:ascii="仿宋_GB2312" w:hAnsi="仿宋_GB2312" w:eastAsia="仿宋_GB2312" w:cs="仿宋_GB2312"/>
                <w:sz w:val="32"/>
                <w:szCs w:val="32"/>
                <w:u w:val="single"/>
              </w:rPr>
              <w:t xml:space="preserve">                         </w:t>
            </w:r>
          </w:p>
        </w:tc>
      </w:tr>
      <w:tr w14:paraId="06C9C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jc w:val="center"/>
        </w:trPr>
        <w:tc>
          <w:tcPr>
            <w:tcW w:w="2167" w:type="dxa"/>
            <w:noWrap w:val="0"/>
            <w:vAlign w:val="center"/>
          </w:tcPr>
          <w:p w14:paraId="3E6E62E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评估日期</w:t>
            </w:r>
          </w:p>
        </w:tc>
        <w:tc>
          <w:tcPr>
            <w:tcW w:w="7141" w:type="dxa"/>
            <w:noWrap w:val="0"/>
            <w:vAlign w:val="center"/>
          </w:tcPr>
          <w:p w14:paraId="13BFD971">
            <w:pPr>
              <w:keepNext w:val="0"/>
              <w:keepLines w:val="0"/>
              <w:pageBreakBefore w:val="0"/>
              <w:widowControl w:val="0"/>
              <w:kinsoku/>
              <w:wordWrap/>
              <w:overflowPunct/>
              <w:topLinePunct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u w:val="single"/>
              </w:rPr>
            </w:pPr>
          </w:p>
        </w:tc>
      </w:tr>
      <w:tr w14:paraId="6E4D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2167" w:type="dxa"/>
            <w:noWrap w:val="0"/>
            <w:vAlign w:val="center"/>
          </w:tcPr>
          <w:p w14:paraId="57F68C2D">
            <w:pPr>
              <w:keepNext w:val="0"/>
              <w:keepLines w:val="0"/>
              <w:pageBreakBefore w:val="0"/>
              <w:widowControl w:val="0"/>
              <w:tabs>
                <w:tab w:val="left" w:pos="720"/>
                <w:tab w:val="left" w:pos="144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文件的</w:t>
            </w:r>
          </w:p>
          <w:p w14:paraId="7747D94B">
            <w:pPr>
              <w:keepNext w:val="0"/>
              <w:keepLines w:val="0"/>
              <w:pageBreakBefore w:val="0"/>
              <w:widowControl w:val="0"/>
              <w:tabs>
                <w:tab w:val="left" w:pos="720"/>
                <w:tab w:val="left" w:pos="144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认同程度</w:t>
            </w:r>
          </w:p>
        </w:tc>
        <w:tc>
          <w:tcPr>
            <w:tcW w:w="7141" w:type="dxa"/>
            <w:noWrap w:val="0"/>
            <w:vAlign w:val="center"/>
          </w:tcPr>
          <w:p w14:paraId="6C5A78A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textAlignment w:val="auto"/>
              <w:rPr>
                <w:rFonts w:hint="eastAsia" w:ascii="仿宋_GB2312" w:hAnsi="仿宋_GB2312" w:eastAsia="仿宋_GB2312" w:cs="仿宋_GB2312"/>
                <w:sz w:val="32"/>
                <w:szCs w:val="32"/>
              </w:rPr>
            </w:pPr>
          </w:p>
        </w:tc>
      </w:tr>
      <w:tr w14:paraId="0E94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2167" w:type="dxa"/>
            <w:noWrap w:val="0"/>
            <w:vAlign w:val="center"/>
          </w:tcPr>
          <w:p w14:paraId="783305F6">
            <w:pPr>
              <w:keepNext w:val="0"/>
              <w:keepLines w:val="0"/>
              <w:pageBreakBefore w:val="0"/>
              <w:widowControl w:val="0"/>
              <w:tabs>
                <w:tab w:val="left" w:pos="720"/>
                <w:tab w:val="left" w:pos="144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7141" w:type="dxa"/>
            <w:noWrap w:val="0"/>
            <w:vAlign w:val="center"/>
          </w:tcPr>
          <w:p w14:paraId="5E47DA72">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textAlignment w:val="auto"/>
              <w:rPr>
                <w:rFonts w:hint="eastAsia" w:ascii="仿宋_GB2312" w:hAnsi="仿宋_GB2312" w:eastAsia="仿宋_GB2312" w:cs="仿宋_GB2312"/>
                <w:sz w:val="32"/>
                <w:szCs w:val="32"/>
              </w:rPr>
            </w:pPr>
          </w:p>
        </w:tc>
      </w:tr>
    </w:tbl>
    <w:p w14:paraId="31474FBB">
      <w:pPr>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rPr>
          <w:rFonts w:hint="eastAsia" w:ascii="仿宋_GB2312" w:hAnsi="仿宋_GB2312" w:eastAsia="仿宋_GB2312" w:cs="仿宋_GB2312"/>
          <w:bCs w:val="0"/>
          <w:sz w:val="32"/>
          <w:szCs w:val="32"/>
        </w:rPr>
      </w:pPr>
    </w:p>
    <w:p w14:paraId="08453568">
      <w:pPr>
        <w:keepNext w:val="0"/>
        <w:keepLines w:val="0"/>
        <w:pageBreakBefore w:val="0"/>
        <w:widowControl w:val="0"/>
        <w:kinsoku/>
        <w:wordWrap/>
        <w:overflowPunct/>
        <w:topLinePunct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bCs w:val="0"/>
          <w:sz w:val="32"/>
          <w:szCs w:val="32"/>
          <w:u w:val="single"/>
          <w:lang w:eastAsia="zh-CN"/>
        </w:rPr>
      </w:pPr>
      <w:r>
        <w:rPr>
          <w:rFonts w:hint="eastAsia" w:ascii="仿宋_GB2312" w:hAnsi="仿宋_GB2312" w:eastAsia="仿宋_GB2312" w:cs="仿宋_GB2312"/>
          <w:sz w:val="32"/>
          <w:szCs w:val="32"/>
        </w:rPr>
        <w:t>投标人名称（公章）</w:t>
      </w:r>
      <w:r>
        <w:rPr>
          <w:rFonts w:hint="eastAsia" w:ascii="仿宋_GB2312" w:hAnsi="仿宋_GB2312" w:eastAsia="仿宋_GB2312" w:cs="仿宋_GB2312"/>
          <w:sz w:val="32"/>
          <w:szCs w:val="32"/>
          <w:lang w:eastAsia="zh-CN"/>
        </w:rPr>
        <w:t>：</w:t>
      </w:r>
    </w:p>
    <w:p w14:paraId="2961CB82">
      <w:pPr>
        <w:keepNext w:val="0"/>
        <w:keepLines w:val="0"/>
        <w:pageBreakBefore w:val="0"/>
        <w:widowControl w:val="0"/>
        <w:kinsoku/>
        <w:wordWrap/>
        <w:overflowPunct/>
        <w:topLinePunct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sz w:val="32"/>
          <w:szCs w:val="32"/>
        </w:rPr>
      </w:pPr>
    </w:p>
    <w:p w14:paraId="357C28D7">
      <w:pPr>
        <w:keepNext w:val="0"/>
        <w:keepLines w:val="0"/>
        <w:pageBreakBefore w:val="0"/>
        <w:widowControl w:val="0"/>
        <w:kinsoku/>
        <w:wordWrap/>
        <w:overflowPunct/>
        <w:topLinePunct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bCs w:val="0"/>
          <w:sz w:val="32"/>
          <w:szCs w:val="32"/>
          <w:lang w:eastAsia="zh-CN"/>
        </w:rPr>
      </w:pPr>
      <w:r>
        <w:rPr>
          <w:rFonts w:hint="eastAsia" w:ascii="仿宋_GB2312" w:hAnsi="仿宋_GB2312" w:eastAsia="仿宋_GB2312" w:cs="仿宋_GB2312"/>
          <w:sz w:val="32"/>
          <w:szCs w:val="32"/>
        </w:rPr>
        <w:t>法定代表人或授权代理人（签字）</w:t>
      </w:r>
      <w:r>
        <w:rPr>
          <w:rFonts w:hint="eastAsia" w:ascii="仿宋_GB2312" w:hAnsi="仿宋_GB2312" w:eastAsia="仿宋_GB2312" w:cs="仿宋_GB2312"/>
          <w:sz w:val="32"/>
          <w:szCs w:val="32"/>
          <w:lang w:eastAsia="zh-CN"/>
        </w:rPr>
        <w:t>：</w:t>
      </w:r>
    </w:p>
    <w:p w14:paraId="04245AE6">
      <w:pPr>
        <w:keepNext w:val="0"/>
        <w:keepLines w:val="0"/>
        <w:pageBreakBefore w:val="0"/>
        <w:widowControl w:val="0"/>
        <w:kinsoku/>
        <w:wordWrap/>
        <w:overflowPunct/>
        <w:topLinePunct w:val="0"/>
        <w:bidi w:val="0"/>
        <w:adjustRightInd w:val="0"/>
        <w:snapToGrid w:val="0"/>
        <w:spacing w:line="560" w:lineRule="exact"/>
        <w:ind w:left="0" w:leftChars="0" w:right="0" w:righ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日 </w:t>
      </w:r>
    </w:p>
    <w:p w14:paraId="77E9ED6D">
      <w:pPr>
        <w:spacing w:line="440" w:lineRule="exact"/>
        <w:rPr>
          <w:rFonts w:hint="eastAsia" w:ascii="仿宋_GB2312" w:hAnsi="仿宋_GB2312" w:eastAsia="仿宋_GB2312" w:cs="仿宋_GB2312"/>
          <w:sz w:val="24"/>
        </w:rPr>
      </w:pPr>
      <w:r>
        <w:rPr>
          <w:rFonts w:hint="eastAsia" w:ascii="仿宋_GB2312" w:hAnsi="仿宋_GB2312" w:eastAsia="仿宋_GB2312" w:cs="仿宋_GB2312"/>
          <w:sz w:val="24"/>
        </w:rPr>
        <w:br w:type="page"/>
      </w:r>
    </w:p>
    <w:p w14:paraId="3CF46213">
      <w:pPr>
        <w:pStyle w:val="2"/>
        <w:spacing w:before="120"/>
        <w:rPr>
          <w:rFonts w:hint="eastAsia" w:ascii="仿宋_GB2312" w:hAnsi="仿宋_GB2312" w:eastAsia="仿宋_GB2312" w:cs="仿宋_GB2312"/>
          <w:lang w:val="en-US" w:eastAsia="zh-CN"/>
        </w:rPr>
      </w:pPr>
      <w:bookmarkStart w:id="101" w:name="_Toc262"/>
      <w:bookmarkStart w:id="102" w:name="_Toc40089825"/>
      <w:bookmarkStart w:id="103" w:name="_Toc30373"/>
      <w:r>
        <w:rPr>
          <w:rFonts w:hint="eastAsia" w:ascii="仿宋_GB2312" w:hAnsi="仿宋_GB2312" w:eastAsia="仿宋_GB2312" w:cs="仿宋_GB2312"/>
        </w:rPr>
        <w:t>附件</w:t>
      </w:r>
      <w:bookmarkEnd w:id="101"/>
      <w:bookmarkEnd w:id="102"/>
      <w:r>
        <w:rPr>
          <w:rFonts w:hint="eastAsia" w:ascii="仿宋_GB2312" w:hAnsi="仿宋_GB2312" w:eastAsia="仿宋_GB2312" w:cs="仿宋_GB2312"/>
          <w:lang w:val="en-US" w:eastAsia="zh-CN"/>
        </w:rPr>
        <w:t>6</w:t>
      </w:r>
      <w:bookmarkEnd w:id="103"/>
    </w:p>
    <w:p w14:paraId="381215E6">
      <w:pPr>
        <w:pStyle w:val="9"/>
        <w:spacing w:line="240" w:lineRule="auto"/>
        <w:ind w:firstLine="0" w:firstLineChars="0"/>
        <w:jc w:val="center"/>
        <w:rPr>
          <w:rFonts w:hint="eastAsia" w:ascii="仿宋_GB2312" w:hAnsi="仿宋_GB2312" w:eastAsia="仿宋_GB2312" w:cs="仿宋_GB2312"/>
        </w:rPr>
      </w:pPr>
    </w:p>
    <w:p w14:paraId="26D35142">
      <w:pPr>
        <w:pStyle w:val="2"/>
        <w:keepNext w:val="0"/>
        <w:keepLines w:val="0"/>
        <w:pageBreakBefore w:val="0"/>
        <w:kinsoku/>
        <w:wordWrap/>
        <w:overflowPunct/>
        <w:topLinePunct w:val="0"/>
        <w:bidi w:val="0"/>
        <w:adjustRightInd w:val="0"/>
        <w:snapToGrid w:val="0"/>
        <w:spacing w:before="0" w:beforeLines="0" w:line="560" w:lineRule="exact"/>
        <w:jc w:val="center"/>
        <w:textAlignment w:val="auto"/>
        <w:rPr>
          <w:rFonts w:hint="eastAsia" w:ascii="仿宋_GB2312" w:hAnsi="仿宋_GB2312" w:eastAsia="仿宋_GB2312" w:cs="仿宋_GB2312"/>
          <w:sz w:val="32"/>
          <w:szCs w:val="32"/>
          <w:lang w:val="en-US" w:eastAsia="zh-CN"/>
        </w:rPr>
      </w:pPr>
      <w:bookmarkStart w:id="104" w:name="_Toc4812"/>
      <w:bookmarkStart w:id="105" w:name="_Toc13443"/>
      <w:r>
        <w:rPr>
          <w:rFonts w:hint="eastAsia" w:ascii="仿宋_GB2312" w:hAnsi="仿宋_GB2312" w:eastAsia="仿宋_GB2312" w:cs="仿宋_GB2312"/>
          <w:sz w:val="32"/>
          <w:szCs w:val="32"/>
        </w:rPr>
        <w:t>封套格式</w:t>
      </w:r>
      <w:bookmarkEnd w:id="104"/>
      <w:bookmarkEnd w:id="105"/>
    </w:p>
    <w:tbl>
      <w:tblPr>
        <w:tblStyle w:val="18"/>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14:paraId="7968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9" w:hRule="atLeast"/>
          <w:jc w:val="center"/>
        </w:trPr>
        <w:tc>
          <w:tcPr>
            <w:tcW w:w="9080" w:type="dxa"/>
            <w:noWrap w:val="0"/>
            <w:vAlign w:val="top"/>
          </w:tcPr>
          <w:p w14:paraId="6FF4E81E">
            <w:pPr>
              <w:pStyle w:val="9"/>
              <w:keepNext w:val="0"/>
              <w:keepLines w:val="0"/>
              <w:pageBreakBefore w:val="0"/>
              <w:kinsoku/>
              <w:wordWrap/>
              <w:overflowPunct/>
              <w:topLinePunct w:val="0"/>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p>
          <w:p w14:paraId="25C71BC5">
            <w:pPr>
              <w:pStyle w:val="9"/>
              <w:keepNext w:val="0"/>
              <w:keepLines w:val="0"/>
              <w:pageBreakBefore w:val="0"/>
              <w:kinsoku/>
              <w:wordWrap/>
              <w:overflowPunct/>
              <w:topLinePunct w:val="0"/>
              <w:bidi w:val="0"/>
              <w:adjustRightInd w:val="0"/>
              <w:snapToGrid w:val="0"/>
              <w:spacing w:line="560" w:lineRule="exact"/>
              <w:ind w:firstLine="0" w:firstLineChars="0"/>
              <w:jc w:val="center"/>
              <w:textAlignment w:val="auto"/>
              <w:rPr>
                <w:rFonts w:hint="eastAsia" w:ascii="仿宋_GB2312" w:hAnsi="仿宋_GB2312" w:eastAsia="仿宋_GB2312" w:cs="仿宋_GB2312"/>
                <w:sz w:val="32"/>
                <w:szCs w:val="32"/>
              </w:rPr>
            </w:pPr>
          </w:p>
          <w:p w14:paraId="18B34E6B">
            <w:pPr>
              <w:pStyle w:val="9"/>
              <w:keepNext w:val="0"/>
              <w:keepLines w:val="0"/>
              <w:pageBreakBefore w:val="0"/>
              <w:kinsoku/>
              <w:wordWrap/>
              <w:overflowPunct/>
              <w:topLinePunct w:val="0"/>
              <w:bidi w:val="0"/>
              <w:adjustRightInd w:val="0"/>
              <w:snapToGrid w:val="0"/>
              <w:spacing w:line="560" w:lineRule="exact"/>
              <w:ind w:firstLine="0" w:firstLineChars="0"/>
              <w:jc w:val="center"/>
              <w:textAlignment w:val="auto"/>
              <w:rPr>
                <w:rFonts w:hint="default"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报价文件（正本/副本）/电子文档</w:t>
            </w:r>
          </w:p>
          <w:p w14:paraId="4FA2248D">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 xml:space="preserve">项目编号：      </w:t>
            </w:r>
          </w:p>
          <w:p w14:paraId="6EC73AD4">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项目名称：</w:t>
            </w:r>
          </w:p>
          <w:p w14:paraId="73AA8149">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投标人名称（公章）：</w:t>
            </w:r>
          </w:p>
          <w:p w14:paraId="5439CED1">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地址：</w:t>
            </w:r>
          </w:p>
          <w:p w14:paraId="61325205">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电话：</w:t>
            </w:r>
          </w:p>
          <w:p w14:paraId="77660711">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lang w:val="en-US" w:eastAsia="zh-CN"/>
              </w:rPr>
              <w:t>传真：</w:t>
            </w:r>
          </w:p>
        </w:tc>
      </w:tr>
    </w:tbl>
    <w:p w14:paraId="75C727B9">
      <w:pPr>
        <w:keepNext w:val="0"/>
        <w:keepLines w:val="0"/>
        <w:pageBreakBefore w:val="0"/>
        <w:kinsoku/>
        <w:wordWrap/>
        <w:overflowPunct/>
        <w:topLinePunct w:val="0"/>
        <w:bidi w:val="0"/>
        <w:adjustRightInd w:val="0"/>
        <w:snapToGrid w:val="0"/>
        <w:spacing w:line="560" w:lineRule="exact"/>
        <w:textAlignment w:val="auto"/>
        <w:rPr>
          <w:rFonts w:hint="eastAsia" w:ascii="仿宋_GB2312" w:hAnsi="仿宋_GB2312" w:eastAsia="仿宋_GB2312" w:cs="仿宋_GB2312"/>
          <w:vanish/>
          <w:sz w:val="32"/>
          <w:szCs w:val="32"/>
        </w:rPr>
      </w:pPr>
    </w:p>
    <w:p w14:paraId="19832D6C">
      <w:pPr>
        <w:keepNext w:val="0"/>
        <w:keepLines w:val="0"/>
        <w:pageBreakBefore w:val="0"/>
        <w:kinsoku/>
        <w:wordWrap/>
        <w:overflowPunct/>
        <w:topLinePunct w:val="0"/>
        <w:bidi w:val="0"/>
        <w:adjustRightInd w:val="0"/>
        <w:snapToGrid w:val="0"/>
        <w:spacing w:line="560" w:lineRule="exact"/>
        <w:textAlignment w:val="auto"/>
        <w:rPr>
          <w:rFonts w:hint="eastAsia" w:ascii="仿宋_GB2312" w:hAnsi="仿宋_GB2312" w:eastAsia="仿宋_GB2312" w:cs="仿宋_GB2312"/>
          <w:vanish/>
          <w:sz w:val="32"/>
          <w:szCs w:val="32"/>
        </w:rPr>
      </w:pPr>
    </w:p>
    <w:tbl>
      <w:tblPr>
        <w:tblStyle w:val="18"/>
        <w:tblpPr w:leftFromText="180" w:rightFromText="180" w:vertAnchor="text" w:horzAnchor="page" w:tblpX="1608" w:tblpY="9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4"/>
      </w:tblGrid>
      <w:tr w14:paraId="14DD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964" w:type="dxa"/>
            <w:tcBorders>
              <w:bottom w:val="single" w:color="auto" w:sz="4" w:space="0"/>
            </w:tcBorders>
            <w:noWrap w:val="0"/>
            <w:vAlign w:val="center"/>
          </w:tcPr>
          <w:p w14:paraId="1D7282DE">
            <w:pPr>
              <w:pStyle w:val="9"/>
              <w:keepNext w:val="0"/>
              <w:keepLines w:val="0"/>
              <w:pageBreakBefore w:val="0"/>
              <w:kinsoku/>
              <w:wordWrap/>
              <w:overflowPunct/>
              <w:topLinePunct w:val="0"/>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时之前不准启封（公章）………</w:t>
            </w:r>
          </w:p>
        </w:tc>
      </w:tr>
    </w:tbl>
    <w:p w14:paraId="70543199">
      <w:pPr>
        <w:keepNext w:val="0"/>
        <w:keepLines w:val="0"/>
        <w:pageBreakBefore w:val="0"/>
        <w:kinsoku/>
        <w:wordWrap/>
        <w:overflowPunct/>
        <w:topLinePunct w:val="0"/>
        <w:bidi w:val="0"/>
        <w:adjustRightInd w:val="0"/>
        <w:snapToGrid w:val="0"/>
        <w:spacing w:line="560" w:lineRule="exact"/>
        <w:textAlignment w:val="auto"/>
        <w:rPr>
          <w:rFonts w:hint="eastAsia" w:ascii="仿宋_GB2312" w:hAnsi="仿宋_GB2312" w:eastAsia="仿宋_GB2312" w:cs="仿宋_GB2312"/>
          <w:sz w:val="32"/>
          <w:szCs w:val="32"/>
        </w:rPr>
      </w:pPr>
    </w:p>
    <w:sectPr>
      <w:headerReference r:id="rId8" w:type="first"/>
      <w:headerReference r:id="rId7" w:type="default"/>
      <w:footerReference r:id="rId9" w:type="default"/>
      <w:footerReference r:id="rId10" w:type="even"/>
      <w:pgSz w:w="11907" w:h="16840"/>
      <w:pgMar w:top="1247" w:right="1587" w:bottom="1418" w:left="1587" w:header="851" w:footer="992" w:gutter="0"/>
      <w:pgBorders>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80FD57-63EA-4824-B27A-2C29B9599F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embedRegular r:id="rId2" w:fontKey="{DF73398B-9122-437E-9057-83365756EAFE}"/>
  </w:font>
  <w:font w:name="仿宋_GB2312">
    <w:panose1 w:val="02010609030101010101"/>
    <w:charset w:val="86"/>
    <w:family w:val="modern"/>
    <w:pitch w:val="default"/>
    <w:sig w:usb0="00000001" w:usb1="080E0000" w:usb2="00000000" w:usb3="00000000" w:csb0="00040000" w:csb1="00000000"/>
    <w:embedRegular r:id="rId3" w:fontKey="{DA9FF827-EAEA-4B35-84FE-8B7C13454198}"/>
  </w:font>
  <w:font w:name="方正仿宋_GB2312">
    <w:panose1 w:val="02000000000000000000"/>
    <w:charset w:val="86"/>
    <w:family w:val="auto"/>
    <w:pitch w:val="default"/>
    <w:sig w:usb0="A00002BF" w:usb1="184F6CFA" w:usb2="00000012" w:usb3="00000000" w:csb0="00040001" w:csb1="00000000"/>
    <w:embedRegular r:id="rId4" w:fontKey="{43E426A6-87E3-4330-A199-0C24BB339F59}"/>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30112">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03F87">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B903F87">
                    <w:pPr>
                      <w:pStyle w:val="11"/>
                    </w:pPr>
                    <w:r>
                      <w:fldChar w:fldCharType="begin"/>
                    </w:r>
                    <w:r>
                      <w:instrText xml:space="preserve"> PAGE  \* MERGEFORMAT </w:instrText>
                    </w:r>
                    <w:r>
                      <w:fldChar w:fldCharType="separate"/>
                    </w:r>
                    <w:r>
                      <w:t>1</w:t>
                    </w:r>
                    <w:r>
                      <w:fldChar w:fldCharType="end"/>
                    </w:r>
                  </w:p>
                </w:txbxContent>
              </v:textbox>
            </v:shape>
          </w:pict>
        </mc:Fallback>
      </mc:AlternateContent>
    </w:r>
  </w:p>
  <w:p w14:paraId="5E6B142E">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A91FB">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posOffset>28575</wp:posOffset>
              </wp:positionH>
              <wp:positionV relativeFrom="paragraph">
                <wp:posOffset>-104775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6C48A3">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5pt;margin-top:-8.25pt;height:144pt;width:144pt;mso-position-horizontal-relative:margin;mso-wrap-style:none;z-index:251661312;mso-width-relative:page;mso-height-relative:page;" filled="f" stroked="f" coordsize="21600,21600" o:gfxdata="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XNevHWAAAACQEAAA8AAAAAAAAAAQAgAAAAIgAAAGRycy9kb3ducmV2LnhtbFBL&#10;AQIUABQAAAAIAIdO4kDrADh6MQIAAGMEAAAOAAAAAAAAAAEAIAAAACUBAABkcnMvZTJvRG9jLnht&#10;bFBLBQYAAAAABgAGAFkBAADIBQAAAAA=&#10;">
              <v:fill on="f" focussize="0,0"/>
              <v:stroke on="f" weight="0.5pt"/>
              <v:imagedata o:title=""/>
              <o:lock v:ext="edit" aspectratio="f"/>
              <v:textbox inset="0mm,0mm,0mm,0mm" style="mso-fit-shape-to-text:t;">
                <w:txbxContent>
                  <w:p w14:paraId="026C48A3">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7D205">
    <w:pPr>
      <w:pStyle w:val="11"/>
      <w:ind w:right="360" w:firstLine="4860" w:firstLineChars="2700"/>
    </w:pPr>
    <w:r>
      <w:rPr>
        <w:sz w:val="18"/>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25D5F4">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025D5F4">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498F3">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32</w:t>
    </w:r>
    <w:r>
      <w:fldChar w:fldCharType="end"/>
    </w:r>
  </w:p>
  <w:p w14:paraId="2C2B8C09">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0D58D">
    <w:pPr>
      <w:pStyle w:val="12"/>
      <w:pBdr>
        <w:top w:val="none" w:color="auto" w:sz="0" w:space="1"/>
        <w:left w:val="none" w:color="auto" w:sz="0" w:space="4"/>
        <w:bottom w:val="none" w:color="auto" w:sz="0" w:space="0"/>
        <w:right w:val="none" w:color="auto" w:sz="0" w:space="4"/>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BA0B2">
    <w:pPr>
      <w:pStyle w:val="12"/>
      <w:pBdr>
        <w:top w:val="none" w:color="auto" w:sz="0" w:space="1"/>
        <w:left w:val="none" w:color="auto" w:sz="0" w:space="4"/>
        <w:bottom w:val="none" w:color="auto" w:sz="0" w:space="1"/>
        <w:right w:val="none" w:color="auto" w:sz="0" w:space="4"/>
      </w:pBdr>
      <w:ind w:right="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460AA">
    <w:pPr>
      <w:pStyle w:val="12"/>
      <w:pBdr>
        <w:top w:val="none" w:color="auto" w:sz="0" w:space="1"/>
        <w:left w:val="none" w:color="auto" w:sz="0" w:space="4"/>
        <w:bottom w:val="none" w:color="auto" w:sz="0" w:space="0"/>
        <w:right w:val="none" w:color="auto" w:sz="0" w:space="4"/>
      </w:pBdr>
      <w:jc w:val="both"/>
    </w:pPr>
    <w:r>
      <w:rPr>
        <w:rFonts w:hint="eastAsia" w:hAnsi="宋体"/>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7FA7D">
    <w:pPr>
      <w:pStyle w:val="12"/>
    </w:pPr>
    <w:r>
      <w:rPr>
        <w:rFonts w:hint="eastAsia"/>
        <w:kern w:val="0"/>
        <w:szCs w:val="21"/>
      </w:rPr>
      <w:t>山东鲁育招标有限公司                                                                   SDJZ2006-11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1BF37"/>
    <w:multiLevelType w:val="singleLevel"/>
    <w:tmpl w:val="A111BF37"/>
    <w:lvl w:ilvl="0" w:tentative="0">
      <w:start w:val="2"/>
      <w:numFmt w:val="chineseCounting"/>
      <w:suff w:val="nothing"/>
      <w:lvlText w:val="%1、"/>
      <w:lvlJc w:val="left"/>
      <w:rPr>
        <w:rFonts w:hint="eastAsia"/>
      </w:rPr>
    </w:lvl>
  </w:abstractNum>
  <w:abstractNum w:abstractNumId="1">
    <w:nsid w:val="35A95F97"/>
    <w:multiLevelType w:val="multilevel"/>
    <w:tmpl w:val="35A95F97"/>
    <w:lvl w:ilvl="0" w:tentative="0">
      <w:start w:val="1"/>
      <w:numFmt w:val="chineseCountingThousand"/>
      <w:lvlText w:val="%1、"/>
      <w:lvlJc w:val="left"/>
      <w:pPr>
        <w:ind w:left="432" w:hanging="432"/>
      </w:pPr>
      <w:rPr>
        <w:rFonts w:hint="eastAsia"/>
      </w:rPr>
    </w:lvl>
    <w:lvl w:ilvl="1" w:tentative="0">
      <w:start w:val="1"/>
      <w:numFmt w:val="decimal"/>
      <w:isLgl/>
      <w:lvlText w:val="%1.%2"/>
      <w:lvlJc w:val="left"/>
      <w:pPr>
        <w:ind w:left="576" w:hanging="576"/>
      </w:pPr>
      <w:rPr>
        <w:rFonts w:hint="default" w:ascii="Times New Roman" w:hAnsi="Times New Roman"/>
      </w:rPr>
    </w:lvl>
    <w:lvl w:ilvl="2" w:tentative="0">
      <w:start w:val="1"/>
      <w:numFmt w:val="decimal"/>
      <w:isLgl/>
      <w:lvlText w:val="%1.%2.%3"/>
      <w:lvlJc w:val="left"/>
      <w:pPr>
        <w:ind w:left="720" w:hanging="720"/>
      </w:pPr>
      <w:rPr>
        <w:rFonts w:hint="eastAsia"/>
      </w:rPr>
    </w:lvl>
    <w:lvl w:ilvl="3" w:tentative="0">
      <w:start w:val="1"/>
      <w:numFmt w:val="decimal"/>
      <w:pStyle w:val="4"/>
      <w:isLgl/>
      <w:lvlText w:val="%1.%2.%3.%4"/>
      <w:lvlJc w:val="left"/>
      <w:pPr>
        <w:ind w:left="864" w:hanging="864"/>
      </w:pPr>
      <w:rPr>
        <w:rFonts w:hint="default" w:ascii="Times New Roman" w:hAnsi="Times New Roman"/>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2" w:hanging="1152"/>
      </w:pPr>
      <w:rPr>
        <w:rFonts w:hint="default" w:ascii="Times New Roman" w:hAnsi="Times New Roman"/>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86C49"/>
    <w:rsid w:val="00210C3B"/>
    <w:rsid w:val="00A3707C"/>
    <w:rsid w:val="00D21804"/>
    <w:rsid w:val="010E4F6E"/>
    <w:rsid w:val="013712F7"/>
    <w:rsid w:val="01535BBA"/>
    <w:rsid w:val="01AF3A4F"/>
    <w:rsid w:val="026F7BA0"/>
    <w:rsid w:val="028C62E2"/>
    <w:rsid w:val="02EC2996"/>
    <w:rsid w:val="02FE5FA0"/>
    <w:rsid w:val="03215DBB"/>
    <w:rsid w:val="03B92498"/>
    <w:rsid w:val="04210BBD"/>
    <w:rsid w:val="04BD1B14"/>
    <w:rsid w:val="04C21C5A"/>
    <w:rsid w:val="0521245C"/>
    <w:rsid w:val="0524197F"/>
    <w:rsid w:val="06220A34"/>
    <w:rsid w:val="063D115E"/>
    <w:rsid w:val="063D7F45"/>
    <w:rsid w:val="06515A71"/>
    <w:rsid w:val="06B362BB"/>
    <w:rsid w:val="06E03B70"/>
    <w:rsid w:val="06E67100"/>
    <w:rsid w:val="07854B6B"/>
    <w:rsid w:val="079C7B23"/>
    <w:rsid w:val="08DA0EE6"/>
    <w:rsid w:val="09A432A2"/>
    <w:rsid w:val="0A3F0100"/>
    <w:rsid w:val="0B16263E"/>
    <w:rsid w:val="0BED6A7B"/>
    <w:rsid w:val="0C3703FE"/>
    <w:rsid w:val="0C6C07D5"/>
    <w:rsid w:val="0C8353F1"/>
    <w:rsid w:val="0CA5180B"/>
    <w:rsid w:val="0CB63A18"/>
    <w:rsid w:val="0CF74AB8"/>
    <w:rsid w:val="0D181FDD"/>
    <w:rsid w:val="0D3D1A44"/>
    <w:rsid w:val="0D766D04"/>
    <w:rsid w:val="0D7816AE"/>
    <w:rsid w:val="0E812BF3"/>
    <w:rsid w:val="0E9733D5"/>
    <w:rsid w:val="0EB10E23"/>
    <w:rsid w:val="0EF07055"/>
    <w:rsid w:val="0F2A08A5"/>
    <w:rsid w:val="0F317386"/>
    <w:rsid w:val="0F5574D8"/>
    <w:rsid w:val="0FA1275E"/>
    <w:rsid w:val="0FB76D11"/>
    <w:rsid w:val="0FE16FFE"/>
    <w:rsid w:val="1088396D"/>
    <w:rsid w:val="111700D2"/>
    <w:rsid w:val="11B83D8F"/>
    <w:rsid w:val="12DE7825"/>
    <w:rsid w:val="12E070F9"/>
    <w:rsid w:val="131821D8"/>
    <w:rsid w:val="132A2348"/>
    <w:rsid w:val="13347445"/>
    <w:rsid w:val="133C34EE"/>
    <w:rsid w:val="1347549A"/>
    <w:rsid w:val="138F79D2"/>
    <w:rsid w:val="13E56991"/>
    <w:rsid w:val="145C05DA"/>
    <w:rsid w:val="14933F62"/>
    <w:rsid w:val="15877583"/>
    <w:rsid w:val="15945E81"/>
    <w:rsid w:val="15DF7B3C"/>
    <w:rsid w:val="167F131F"/>
    <w:rsid w:val="16D96054"/>
    <w:rsid w:val="17141B46"/>
    <w:rsid w:val="17417AEF"/>
    <w:rsid w:val="17617B9E"/>
    <w:rsid w:val="17B4740C"/>
    <w:rsid w:val="184721DD"/>
    <w:rsid w:val="18583BD5"/>
    <w:rsid w:val="18C33745"/>
    <w:rsid w:val="191C2DD1"/>
    <w:rsid w:val="19A46172"/>
    <w:rsid w:val="19F245C4"/>
    <w:rsid w:val="1A0A7151"/>
    <w:rsid w:val="1A18186E"/>
    <w:rsid w:val="1A2C531A"/>
    <w:rsid w:val="1A361CF4"/>
    <w:rsid w:val="1A5361CB"/>
    <w:rsid w:val="1A986BDD"/>
    <w:rsid w:val="1AA2382E"/>
    <w:rsid w:val="1B46065D"/>
    <w:rsid w:val="1BA50EE0"/>
    <w:rsid w:val="1BAB583C"/>
    <w:rsid w:val="1BDD4B1E"/>
    <w:rsid w:val="1CED1811"/>
    <w:rsid w:val="1DE91A1B"/>
    <w:rsid w:val="1E122A78"/>
    <w:rsid w:val="1E7554E1"/>
    <w:rsid w:val="1E7A7A86"/>
    <w:rsid w:val="1EF62324"/>
    <w:rsid w:val="1F765554"/>
    <w:rsid w:val="20350AB8"/>
    <w:rsid w:val="209B0A84"/>
    <w:rsid w:val="20C0056A"/>
    <w:rsid w:val="21DB2A55"/>
    <w:rsid w:val="21E87D78"/>
    <w:rsid w:val="22A33169"/>
    <w:rsid w:val="22AD2D70"/>
    <w:rsid w:val="22B660C8"/>
    <w:rsid w:val="23005595"/>
    <w:rsid w:val="233139A1"/>
    <w:rsid w:val="2412563B"/>
    <w:rsid w:val="24442DF4"/>
    <w:rsid w:val="24A0565C"/>
    <w:rsid w:val="258D630C"/>
    <w:rsid w:val="25C94365"/>
    <w:rsid w:val="269A09F7"/>
    <w:rsid w:val="27433CA3"/>
    <w:rsid w:val="278136ED"/>
    <w:rsid w:val="27A75FE0"/>
    <w:rsid w:val="28B3769A"/>
    <w:rsid w:val="29E9585C"/>
    <w:rsid w:val="2A3115A9"/>
    <w:rsid w:val="2A566664"/>
    <w:rsid w:val="2A701253"/>
    <w:rsid w:val="2A8274CB"/>
    <w:rsid w:val="2AAF03D5"/>
    <w:rsid w:val="2AF1729B"/>
    <w:rsid w:val="2B9A2D80"/>
    <w:rsid w:val="2BCE427D"/>
    <w:rsid w:val="2C301C6E"/>
    <w:rsid w:val="2CBC077F"/>
    <w:rsid w:val="2CBC252D"/>
    <w:rsid w:val="2DD732E8"/>
    <w:rsid w:val="2DEF248E"/>
    <w:rsid w:val="2E1E55CD"/>
    <w:rsid w:val="2E9B79E3"/>
    <w:rsid w:val="2ED40002"/>
    <w:rsid w:val="2F2C3498"/>
    <w:rsid w:val="2F487110"/>
    <w:rsid w:val="2F544C9F"/>
    <w:rsid w:val="2F7470EF"/>
    <w:rsid w:val="2FDC5D4D"/>
    <w:rsid w:val="302E54F0"/>
    <w:rsid w:val="3058256D"/>
    <w:rsid w:val="32986C49"/>
    <w:rsid w:val="32A7158A"/>
    <w:rsid w:val="339E1D4A"/>
    <w:rsid w:val="33FB7DDF"/>
    <w:rsid w:val="344828F8"/>
    <w:rsid w:val="34E44900"/>
    <w:rsid w:val="35487054"/>
    <w:rsid w:val="35B74975"/>
    <w:rsid w:val="35E52AF5"/>
    <w:rsid w:val="371207B5"/>
    <w:rsid w:val="37FA5416"/>
    <w:rsid w:val="38B13162"/>
    <w:rsid w:val="39532EFC"/>
    <w:rsid w:val="3A7B57D6"/>
    <w:rsid w:val="3B153CF8"/>
    <w:rsid w:val="3B7D32FB"/>
    <w:rsid w:val="3C137C90"/>
    <w:rsid w:val="3C1C4D96"/>
    <w:rsid w:val="3C577B7C"/>
    <w:rsid w:val="3C6D183D"/>
    <w:rsid w:val="3CD15B81"/>
    <w:rsid w:val="3CE112D9"/>
    <w:rsid w:val="3DAA05FF"/>
    <w:rsid w:val="3DBF1E7D"/>
    <w:rsid w:val="3DDC1999"/>
    <w:rsid w:val="3E6B3412"/>
    <w:rsid w:val="3E976956"/>
    <w:rsid w:val="3EFA354B"/>
    <w:rsid w:val="3F7A2D95"/>
    <w:rsid w:val="3F8841F5"/>
    <w:rsid w:val="3FCC0881"/>
    <w:rsid w:val="40795EA8"/>
    <w:rsid w:val="408D71EA"/>
    <w:rsid w:val="40F25411"/>
    <w:rsid w:val="419D4069"/>
    <w:rsid w:val="41A97E1E"/>
    <w:rsid w:val="43291B47"/>
    <w:rsid w:val="43344A35"/>
    <w:rsid w:val="448B0D0B"/>
    <w:rsid w:val="451F3201"/>
    <w:rsid w:val="45394A3E"/>
    <w:rsid w:val="45856265"/>
    <w:rsid w:val="45EF39DA"/>
    <w:rsid w:val="45FF375F"/>
    <w:rsid w:val="486453C9"/>
    <w:rsid w:val="4891774B"/>
    <w:rsid w:val="48A50E28"/>
    <w:rsid w:val="48A62471"/>
    <w:rsid w:val="49935F6C"/>
    <w:rsid w:val="49AE6013"/>
    <w:rsid w:val="4A1365B8"/>
    <w:rsid w:val="4A3D2AA8"/>
    <w:rsid w:val="4B1878F5"/>
    <w:rsid w:val="4B4C383A"/>
    <w:rsid w:val="4B670273"/>
    <w:rsid w:val="4B746C0F"/>
    <w:rsid w:val="4C51283A"/>
    <w:rsid w:val="4C574A64"/>
    <w:rsid w:val="4C581661"/>
    <w:rsid w:val="4C5E6D05"/>
    <w:rsid w:val="4C7F417C"/>
    <w:rsid w:val="4C875185"/>
    <w:rsid w:val="4C940979"/>
    <w:rsid w:val="4DA91E14"/>
    <w:rsid w:val="4F2B26E0"/>
    <w:rsid w:val="4FB93147"/>
    <w:rsid w:val="4FCD4A8E"/>
    <w:rsid w:val="503462A6"/>
    <w:rsid w:val="511E6A63"/>
    <w:rsid w:val="51501312"/>
    <w:rsid w:val="516B7B44"/>
    <w:rsid w:val="524644C3"/>
    <w:rsid w:val="529F7C3F"/>
    <w:rsid w:val="52A1781D"/>
    <w:rsid w:val="544F44F7"/>
    <w:rsid w:val="54E57FC4"/>
    <w:rsid w:val="54F77CF7"/>
    <w:rsid w:val="5587107B"/>
    <w:rsid w:val="55AB5C7A"/>
    <w:rsid w:val="55CE0A58"/>
    <w:rsid w:val="55D4285A"/>
    <w:rsid w:val="5616066A"/>
    <w:rsid w:val="57212E09"/>
    <w:rsid w:val="583848AE"/>
    <w:rsid w:val="585D494D"/>
    <w:rsid w:val="586B6A32"/>
    <w:rsid w:val="58CB5722"/>
    <w:rsid w:val="590757B1"/>
    <w:rsid w:val="59581206"/>
    <w:rsid w:val="5A6D6B7A"/>
    <w:rsid w:val="5AA82EA1"/>
    <w:rsid w:val="5AE34010"/>
    <w:rsid w:val="5AE57128"/>
    <w:rsid w:val="5B2F5660"/>
    <w:rsid w:val="5C421DD1"/>
    <w:rsid w:val="5C4E58CF"/>
    <w:rsid w:val="5C78796F"/>
    <w:rsid w:val="5CF632CA"/>
    <w:rsid w:val="5D4F6922"/>
    <w:rsid w:val="5D6109F5"/>
    <w:rsid w:val="5DB03139"/>
    <w:rsid w:val="5E40270F"/>
    <w:rsid w:val="5E82108D"/>
    <w:rsid w:val="5E824AD5"/>
    <w:rsid w:val="5F1F2324"/>
    <w:rsid w:val="5F4927E1"/>
    <w:rsid w:val="5FB44B2E"/>
    <w:rsid w:val="60667D3B"/>
    <w:rsid w:val="60D47FE9"/>
    <w:rsid w:val="613F7EC8"/>
    <w:rsid w:val="6192071F"/>
    <w:rsid w:val="623D4279"/>
    <w:rsid w:val="626F614B"/>
    <w:rsid w:val="62DB2A06"/>
    <w:rsid w:val="631D6B7A"/>
    <w:rsid w:val="63D7141F"/>
    <w:rsid w:val="64306D81"/>
    <w:rsid w:val="64524F4A"/>
    <w:rsid w:val="678533FB"/>
    <w:rsid w:val="67A94E81"/>
    <w:rsid w:val="6819678B"/>
    <w:rsid w:val="68660FC4"/>
    <w:rsid w:val="68EF0FB9"/>
    <w:rsid w:val="6933534A"/>
    <w:rsid w:val="69375D48"/>
    <w:rsid w:val="69534C6C"/>
    <w:rsid w:val="6B7036D0"/>
    <w:rsid w:val="6B841E8D"/>
    <w:rsid w:val="6BFB5EC7"/>
    <w:rsid w:val="6C3A69EF"/>
    <w:rsid w:val="6C714041"/>
    <w:rsid w:val="6C89702F"/>
    <w:rsid w:val="6C9A748E"/>
    <w:rsid w:val="6CB31D0E"/>
    <w:rsid w:val="6D8F4B19"/>
    <w:rsid w:val="6DAA3701"/>
    <w:rsid w:val="6DB17E51"/>
    <w:rsid w:val="6E0E3C8F"/>
    <w:rsid w:val="6E4C2A0A"/>
    <w:rsid w:val="6EA97E5C"/>
    <w:rsid w:val="6EB2111B"/>
    <w:rsid w:val="702F68EB"/>
    <w:rsid w:val="708E6BCE"/>
    <w:rsid w:val="70AD748E"/>
    <w:rsid w:val="70BB1F0C"/>
    <w:rsid w:val="71092E34"/>
    <w:rsid w:val="711E68DF"/>
    <w:rsid w:val="7141437C"/>
    <w:rsid w:val="714874B8"/>
    <w:rsid w:val="71EC129E"/>
    <w:rsid w:val="728038A7"/>
    <w:rsid w:val="72AE2727"/>
    <w:rsid w:val="73F70C5C"/>
    <w:rsid w:val="741E10D9"/>
    <w:rsid w:val="748A31AB"/>
    <w:rsid w:val="74DC4AE7"/>
    <w:rsid w:val="753955FE"/>
    <w:rsid w:val="759E1D9D"/>
    <w:rsid w:val="759E7FEF"/>
    <w:rsid w:val="77035C3C"/>
    <w:rsid w:val="77334767"/>
    <w:rsid w:val="77790089"/>
    <w:rsid w:val="781F1BE1"/>
    <w:rsid w:val="78C23FF4"/>
    <w:rsid w:val="79F521A7"/>
    <w:rsid w:val="7AAC0AB8"/>
    <w:rsid w:val="7AEC35AA"/>
    <w:rsid w:val="7B252618"/>
    <w:rsid w:val="7B5F5B2A"/>
    <w:rsid w:val="7BDA78A7"/>
    <w:rsid w:val="7C8141C6"/>
    <w:rsid w:val="7CC14D89"/>
    <w:rsid w:val="7D7A4E9D"/>
    <w:rsid w:val="7D983576"/>
    <w:rsid w:val="7DBD489D"/>
    <w:rsid w:val="7DFA0FA7"/>
    <w:rsid w:val="7E1A2770"/>
    <w:rsid w:val="7ED76320"/>
    <w:rsid w:val="7F547970"/>
    <w:rsid w:val="7F8A5218"/>
    <w:rsid w:val="7FE42AA2"/>
    <w:rsid w:val="9FFB1B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bCs/>
      <w:kern w:val="2"/>
      <w:sz w:val="28"/>
      <w:szCs w:val="24"/>
      <w:lang w:val="en-US" w:eastAsia="zh-CN" w:bidi="ar-SA"/>
    </w:rPr>
  </w:style>
  <w:style w:type="paragraph" w:styleId="3">
    <w:name w:val="heading 1"/>
    <w:basedOn w:val="1"/>
    <w:next w:val="1"/>
    <w:link w:val="23"/>
    <w:qFormat/>
    <w:uiPriority w:val="0"/>
    <w:pPr>
      <w:keepNext/>
      <w:keepLines/>
      <w:spacing w:line="360" w:lineRule="auto"/>
      <w:jc w:val="center"/>
      <w:outlineLvl w:val="0"/>
    </w:pPr>
    <w:rPr>
      <w:b/>
      <w:kern w:val="44"/>
      <w:sz w:val="36"/>
      <w:szCs w:val="44"/>
    </w:rPr>
  </w:style>
  <w:style w:type="paragraph" w:styleId="2">
    <w:name w:val="heading 2"/>
    <w:basedOn w:val="1"/>
    <w:next w:val="1"/>
    <w:qFormat/>
    <w:uiPriority w:val="0"/>
    <w:pPr>
      <w:widowControl/>
      <w:spacing w:before="50" w:beforeLines="50"/>
      <w:jc w:val="left"/>
      <w:outlineLvl w:val="1"/>
    </w:pPr>
    <w:rPr>
      <w:rFonts w:hAnsi="宋体" w:cs="宋体"/>
      <w:b/>
      <w:kern w:val="0"/>
      <w:sz w:val="36"/>
      <w:szCs w:val="36"/>
    </w:rPr>
  </w:style>
  <w:style w:type="paragraph" w:styleId="4">
    <w:name w:val="heading 4"/>
    <w:basedOn w:val="1"/>
    <w:next w:val="1"/>
    <w:unhideWhenUsed/>
    <w:qFormat/>
    <w:uiPriority w:val="9"/>
    <w:pPr>
      <w:keepNext/>
      <w:keepLines/>
      <w:numPr>
        <w:ilvl w:val="3"/>
        <w:numId w:val="1"/>
      </w:numPr>
      <w:spacing w:line="377" w:lineRule="auto"/>
      <w:outlineLvl w:val="3"/>
    </w:pPr>
    <w:rPr>
      <w:rFonts w:asciiTheme="majorHAnsi" w:hAnsiTheme="majorHAnsi" w:cstheme="majorBidi"/>
      <w:b/>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utoSpaceDE w:val="0"/>
      <w:autoSpaceDN w:val="0"/>
      <w:ind w:left="181" w:firstLine="420"/>
    </w:pPr>
    <w:rPr>
      <w:szCs w:val="20"/>
    </w:rPr>
  </w:style>
  <w:style w:type="paragraph" w:styleId="6">
    <w:name w:val="caption"/>
    <w:basedOn w:val="1"/>
    <w:next w:val="1"/>
    <w:qFormat/>
    <w:uiPriority w:val="0"/>
    <w:pPr>
      <w:spacing w:before="152" w:after="160"/>
    </w:pPr>
    <w:rPr>
      <w:rFonts w:ascii="Arial" w:hAnsi="Arial" w:eastAsia="黑体" w:cs="Arial"/>
      <w:bCs w:val="0"/>
      <w:sz w:val="20"/>
      <w:szCs w:val="20"/>
    </w:rPr>
  </w:style>
  <w:style w:type="paragraph" w:styleId="7">
    <w:name w:val="annotation text"/>
    <w:basedOn w:val="1"/>
    <w:qFormat/>
    <w:uiPriority w:val="0"/>
    <w:pPr>
      <w:jc w:val="left"/>
    </w:pPr>
  </w:style>
  <w:style w:type="paragraph" w:styleId="8">
    <w:name w:val="Body Text"/>
    <w:basedOn w:val="1"/>
    <w:qFormat/>
    <w:uiPriority w:val="0"/>
    <w:rPr>
      <w:rFonts w:hAnsi="宋体"/>
      <w:sz w:val="32"/>
      <w:szCs w:val="20"/>
    </w:rPr>
  </w:style>
  <w:style w:type="paragraph" w:styleId="9">
    <w:name w:val="Body Text Indent"/>
    <w:basedOn w:val="1"/>
    <w:qFormat/>
    <w:uiPriority w:val="0"/>
    <w:pPr>
      <w:spacing w:line="480" w:lineRule="exact"/>
      <w:ind w:firstLine="538" w:firstLineChars="192"/>
      <w:jc w:val="left"/>
    </w:pPr>
    <w:rPr>
      <w:bCs w:val="0"/>
    </w:rPr>
  </w:style>
  <w:style w:type="paragraph" w:styleId="10">
    <w:name w:val="Body Text Indent 2"/>
    <w:basedOn w:val="1"/>
    <w:qFormat/>
    <w:uiPriority w:val="0"/>
    <w:pPr>
      <w:spacing w:after="120" w:line="480" w:lineRule="auto"/>
      <w:ind w:left="420" w:leftChars="200"/>
    </w:pPr>
    <w:rPr>
      <w:kern w:val="0"/>
      <w:sz w:val="20"/>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qFormat/>
    <w:uiPriority w:val="0"/>
    <w:pPr>
      <w:ind w:left="420" w:leftChars="200"/>
    </w:pPr>
  </w:style>
  <w:style w:type="paragraph" w:styleId="15">
    <w:name w:val="Body Text 2"/>
    <w:basedOn w:val="1"/>
    <w:qFormat/>
    <w:uiPriority w:val="0"/>
    <w:pPr>
      <w:spacing w:after="120" w:line="480" w:lineRule="auto"/>
    </w:pPr>
  </w:style>
  <w:style w:type="paragraph" w:styleId="16">
    <w:name w:val="Title"/>
    <w:basedOn w:val="1"/>
    <w:next w:val="1"/>
    <w:qFormat/>
    <w:uiPriority w:val="99"/>
    <w:pPr>
      <w:spacing w:before="240" w:after="60"/>
      <w:jc w:val="left"/>
      <w:outlineLvl w:val="0"/>
    </w:pPr>
    <w:rPr>
      <w:rFonts w:ascii="Cambria" w:hAnsi="Cambria"/>
      <w:b/>
      <w:szCs w:val="32"/>
    </w:rPr>
  </w:style>
  <w:style w:type="paragraph" w:styleId="17">
    <w:name w:val="Body Text First Indent 2"/>
    <w:basedOn w:val="9"/>
    <w:unhideWhenUsed/>
    <w:qFormat/>
    <w:uiPriority w:val="99"/>
    <w:pPr>
      <w:ind w:firstLine="420" w:firstLineChars="200"/>
    </w:pPr>
    <w:rPr>
      <w:rFonts w:ascii="Arial" w:hAnsi="Arial"/>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annotation reference"/>
    <w:qFormat/>
    <w:uiPriority w:val="0"/>
    <w:rPr>
      <w:sz w:val="21"/>
      <w:szCs w:val="21"/>
    </w:rPr>
  </w:style>
  <w:style w:type="character" w:customStyle="1" w:styleId="23">
    <w:name w:val="标题 1 Char"/>
    <w:link w:val="3"/>
    <w:qFormat/>
    <w:uiPriority w:val="0"/>
    <w:rPr>
      <w:b/>
      <w:kern w:val="44"/>
      <w:sz w:val="36"/>
      <w:szCs w:val="44"/>
    </w:rPr>
  </w:style>
  <w:style w:type="paragraph" w:styleId="24">
    <w:name w:val="List Paragraph"/>
    <w:basedOn w:val="1"/>
    <w:qFormat/>
    <w:uiPriority w:val="99"/>
    <w:pPr>
      <w:ind w:firstLine="420" w:firstLineChars="200"/>
    </w:pPr>
    <w:rPr>
      <w:rFonts w:ascii="Times New Roman"/>
      <w:bCs w:val="0"/>
      <w:sz w:val="21"/>
      <w:szCs w:val="20"/>
    </w:rPr>
  </w:style>
  <w:style w:type="character" w:customStyle="1" w:styleId="25">
    <w:name w:val="样式 仿宋"/>
    <w:qFormat/>
    <w:uiPriority w:val="0"/>
    <w:rPr>
      <w:rFonts w:ascii="仿宋" w:hAnsi="仿宋" w:eastAsia="仿宋"/>
      <w:kern w:val="1"/>
    </w:rPr>
  </w:style>
  <w:style w:type="table" w:customStyle="1" w:styleId="26">
    <w:name w:val="网格型1"/>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D正文"/>
    <w:basedOn w:val="17"/>
    <w:qFormat/>
    <w:uiPriority w:val="0"/>
    <w:pPr>
      <w:spacing w:before="100" w:beforeAutospacing="1" w:after="100" w:afterAutospacing="1"/>
      <w:ind w:left="0" w:leftChars="0"/>
    </w:pPr>
  </w:style>
  <w:style w:type="paragraph" w:customStyle="1" w:styleId="28">
    <w:name w:val="0正文"/>
    <w:basedOn w:val="1"/>
    <w:qFormat/>
    <w:uiPriority w:val="0"/>
    <w:pPr>
      <w:adjustRightInd w:val="0"/>
      <w:ind w:firstLine="480" w:firstLineChars="200"/>
      <w:textAlignment w:val="baseline"/>
    </w:pPr>
    <w:rPr>
      <w:rFonts w:ascii="Verdana" w:hAnsi="Verdana" w:eastAsia="华文中宋"/>
      <w:color w:val="FF0000"/>
    </w:rPr>
  </w:style>
  <w:style w:type="paragraph" w:customStyle="1" w:styleId="29">
    <w:name w:val="列表段落1"/>
    <w:basedOn w:val="1"/>
    <w:qFormat/>
    <w:uiPriority w:val="34"/>
    <w:pPr>
      <w:adjustRightInd w:val="0"/>
      <w:snapToGrid w:val="0"/>
      <w:ind w:firstLine="0" w:firstLineChars="0"/>
    </w:pPr>
    <w:rPr>
      <w:rFonts w:hAnsi="宋体"/>
    </w:rPr>
  </w:style>
  <w:style w:type="paragraph" w:customStyle="1" w:styleId="30">
    <w:name w:val="列出段落1"/>
    <w:basedOn w:val="1"/>
    <w:qFormat/>
    <w:uiPriority w:val="99"/>
    <w:pPr>
      <w:ind w:firstLine="420" w:firstLineChars="200"/>
    </w:pPr>
  </w:style>
  <w:style w:type="paragraph" w:customStyle="1" w:styleId="31">
    <w:name w:val="石墨文档正文"/>
    <w:qFormat/>
    <w:uiPriority w:val="0"/>
    <w:rPr>
      <w:rFonts w:ascii="微软雅黑" w:hAnsi="微软雅黑" w:eastAsia="微软雅黑" w:cs="微软雅黑"/>
      <w:sz w:val="24"/>
      <w:szCs w:val="24"/>
      <w:lang w:val="en-US" w:eastAsia="zh-CN" w:bidi="ar-SA"/>
    </w:rPr>
  </w:style>
  <w:style w:type="character" w:customStyle="1" w:styleId="32">
    <w:name w:val="10"/>
    <w:basedOn w:val="20"/>
    <w:qFormat/>
    <w:uiPriority w:val="0"/>
    <w:rPr>
      <w:rFonts w:hint="default" w:ascii="Times New Roman" w:hAnsi="Times New Roman" w:cs="Times New Roman"/>
    </w:rPr>
  </w:style>
  <w:style w:type="character" w:customStyle="1" w:styleId="33">
    <w:name w:val="15"/>
    <w:basedOn w:val="20"/>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Words>8255</Words>
  <Characters>8617</Characters>
  <Lines>0</Lines>
  <Paragraphs>0</Paragraphs>
  <TotalTime>2</TotalTime>
  <ScaleCrop>false</ScaleCrop>
  <LinksUpToDate>false</LinksUpToDate>
  <CharactersWithSpaces>9526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2024-12-09T20:17:00Z</dcterms:created>
  <dc:creator>水岸听涛</dc:creator>
  <cp:lastModifiedBy>15103004526</cp:lastModifiedBy>
  <cp:lastPrinted>2024-12-10T16:14:00Z</cp:lastPrinted>
  <dcterms:modified xsi:type="dcterms:W3CDTF">2025-05-01T00:11:13Z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7FE85727B218440FA885D3EF829484B7_13</vt:lpwstr>
  </property>
  <property fmtid="{D5CDD505-2E9C-101B-9397-08002B2CF9AE}" pid="4" name="KSOTemplateDocerSaveRecord">
    <vt:lpwstr>eyJoZGlkIjoiOGJjMTdhZDI3YmRmZDhlZDg3MzdiM2M0ODc4NjRiZWIiLCJ1c2VySWQiOiI3NTE2MzkyOTIifQ==</vt:lpwstr>
  </property>
</Properties>
</file>