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EEAAB">
      <w:pPr>
        <w:spacing w:line="600" w:lineRule="exact"/>
        <w:rPr>
          <w:rFonts w:ascii="方正公文小标宋" w:hAnsi="方正公文小标宋" w:eastAsia="方正公文小标宋" w:cs="方正公文小标宋"/>
        </w:rPr>
      </w:pPr>
      <w:r>
        <w:rPr>
          <w:rFonts w:hint="eastAsia" w:ascii="方正公文小标宋" w:hAnsi="方正公文小标宋" w:eastAsia="方正公文小标宋" w:cs="方正公文小标宋"/>
        </w:rPr>
        <w:t xml:space="preserve"> </w:t>
      </w:r>
    </w:p>
    <w:p w14:paraId="479A672D">
      <w:pPr>
        <w:adjustRightInd w:val="0"/>
        <w:snapToGrid w:val="0"/>
        <w:spacing w:line="560" w:lineRule="exact"/>
        <w:jc w:val="center"/>
        <w:rPr>
          <w:rFonts w:asciiTheme="minorEastAsia" w:hAnsiTheme="minorEastAsia" w:eastAsiaTheme="minorEastAsia" w:cstheme="minorEastAsia"/>
          <w:b/>
          <w:bCs w:val="0"/>
          <w:sz w:val="44"/>
          <w:szCs w:val="44"/>
        </w:rPr>
      </w:pPr>
      <w:bookmarkStart w:id="0" w:name="_Toc415058575"/>
      <w:bookmarkStart w:id="1" w:name="_Toc415058499"/>
      <w:bookmarkStart w:id="2" w:name="_Toc375561633"/>
    </w:p>
    <w:p w14:paraId="7205C897">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Theme="majorEastAsia" w:hAnsiTheme="majorEastAsia" w:eastAsiaTheme="majorEastAsia" w:cstheme="majorEastAsia"/>
          <w:b/>
          <w:color w:val="auto"/>
          <w:sz w:val="52"/>
          <w:szCs w:val="52"/>
          <w:lang w:val="en-US" w:eastAsia="zh-CN"/>
        </w:rPr>
      </w:pPr>
      <w:r>
        <w:rPr>
          <w:rFonts w:hint="eastAsia" w:asciiTheme="majorEastAsia" w:hAnsiTheme="majorEastAsia" w:eastAsiaTheme="majorEastAsia" w:cstheme="majorEastAsia"/>
          <w:b/>
          <w:color w:val="auto"/>
          <w:sz w:val="52"/>
          <w:szCs w:val="52"/>
          <w:lang w:val="en-US" w:eastAsia="zh-CN"/>
        </w:rPr>
        <w:t>海南卫生健康职业学院</w:t>
      </w:r>
    </w:p>
    <w:p w14:paraId="50701EB5">
      <w:pPr>
        <w:jc w:val="center"/>
        <w:rPr>
          <w:rFonts w:hint="eastAsia" w:asciiTheme="majorEastAsia" w:hAnsiTheme="majorEastAsia" w:eastAsiaTheme="majorEastAsia" w:cstheme="majorEastAsia"/>
          <w:b/>
          <w:color w:val="auto"/>
          <w:sz w:val="52"/>
          <w:szCs w:val="52"/>
          <w:lang w:eastAsia="zh-CN"/>
        </w:rPr>
      </w:pPr>
      <w:r>
        <w:rPr>
          <w:rFonts w:hint="eastAsia" w:hAnsi="宋体" w:cs="Times New Roman"/>
          <w:b/>
          <w:sz w:val="52"/>
          <w:szCs w:val="52"/>
          <w:highlight w:val="none"/>
          <w:lang w:val="en-US" w:eastAsia="zh-CN"/>
        </w:rPr>
        <w:t>智能外卖柜服务</w:t>
      </w:r>
      <w:r>
        <w:rPr>
          <w:rFonts w:hint="eastAsia" w:ascii="宋体" w:hAnsi="宋体" w:eastAsia="宋体" w:cs="Times New Roman"/>
          <w:b/>
          <w:sz w:val="52"/>
          <w:szCs w:val="52"/>
          <w:highlight w:val="none"/>
          <w:lang w:val="en-US" w:eastAsia="zh-CN"/>
        </w:rPr>
        <w:t>项目</w:t>
      </w:r>
    </w:p>
    <w:p w14:paraId="78B24DC2"/>
    <w:p w14:paraId="6C647806">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Cs w:val="0"/>
          <w:sz w:val="36"/>
          <w:szCs w:val="36"/>
          <w:highlight w:val="none"/>
        </w:rPr>
      </w:pPr>
    </w:p>
    <w:p w14:paraId="324EA809">
      <w:pPr>
        <w:adjustRightInd w:val="0"/>
        <w:snapToGrid w:val="0"/>
        <w:spacing w:line="560" w:lineRule="exact"/>
        <w:ind w:firstLine="720" w:firstLineChars="200"/>
        <w:jc w:val="center"/>
        <w:rPr>
          <w:rFonts w:hint="default" w:asciiTheme="minorEastAsia" w:hAnsiTheme="minorEastAsia" w:eastAsiaTheme="minorEastAsia" w:cstheme="minorEastAsia"/>
          <w:bCs w:val="0"/>
          <w:sz w:val="36"/>
          <w:szCs w:val="36"/>
          <w:highlight w:val="none"/>
          <w:lang w:val="en-US" w:eastAsia="zh-CN"/>
        </w:rPr>
      </w:pPr>
      <w:r>
        <w:rPr>
          <w:rFonts w:hint="eastAsia" w:asciiTheme="minorEastAsia" w:hAnsiTheme="minorEastAsia" w:eastAsiaTheme="minorEastAsia" w:cstheme="minorEastAsia"/>
          <w:bCs w:val="0"/>
          <w:sz w:val="36"/>
          <w:szCs w:val="36"/>
          <w:highlight w:val="none"/>
        </w:rPr>
        <w:t>项目编号：HNWJY-FW20250</w:t>
      </w:r>
      <w:r>
        <w:rPr>
          <w:rFonts w:hint="eastAsia" w:asciiTheme="minorEastAsia" w:hAnsiTheme="minorEastAsia" w:eastAsiaTheme="minorEastAsia" w:cstheme="minorEastAsia"/>
          <w:bCs w:val="0"/>
          <w:sz w:val="36"/>
          <w:szCs w:val="36"/>
          <w:highlight w:val="none"/>
          <w:lang w:val="en-US" w:eastAsia="zh-CN"/>
        </w:rPr>
        <w:t>44</w:t>
      </w:r>
    </w:p>
    <w:p w14:paraId="4C1BE733">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bCs w:val="0"/>
          <w:spacing w:val="40"/>
          <w:sz w:val="36"/>
          <w:szCs w:val="36"/>
          <w:highlight w:val="none"/>
        </w:rPr>
      </w:pPr>
    </w:p>
    <w:p w14:paraId="04084FA9">
      <w:pPr>
        <w:adjustRightInd w:val="0"/>
        <w:snapToGrid w:val="0"/>
        <w:spacing w:line="420" w:lineRule="auto"/>
        <w:jc w:val="center"/>
        <w:rPr>
          <w:rFonts w:hint="eastAsia" w:asciiTheme="minorEastAsia" w:hAnsiTheme="minorEastAsia" w:eastAsiaTheme="minorEastAsia" w:cstheme="minorEastAsia"/>
          <w:bCs w:val="0"/>
          <w:sz w:val="36"/>
          <w:szCs w:val="36"/>
          <w:shd w:val="clear" w:color="auto" w:fill="FFFF00"/>
          <w:lang w:val="en-US" w:eastAsia="zh-CN"/>
        </w:rPr>
      </w:pPr>
    </w:p>
    <w:p w14:paraId="0C7E081C">
      <w:pPr>
        <w:adjustRightInd w:val="0"/>
        <w:snapToGrid w:val="0"/>
        <w:spacing w:line="420" w:lineRule="auto"/>
        <w:rPr>
          <w:rFonts w:asciiTheme="minorEastAsia" w:hAnsiTheme="minorEastAsia" w:eastAsiaTheme="minorEastAsia" w:cstheme="minorEastAsia"/>
          <w:b/>
          <w:bCs w:val="0"/>
          <w:spacing w:val="40"/>
          <w:sz w:val="36"/>
          <w:szCs w:val="36"/>
        </w:rPr>
      </w:pPr>
    </w:p>
    <w:bookmarkEnd w:id="0"/>
    <w:bookmarkEnd w:id="1"/>
    <w:bookmarkEnd w:id="2"/>
    <w:p w14:paraId="1BA44FEE">
      <w:pPr>
        <w:spacing w:line="360" w:lineRule="auto"/>
        <w:ind w:firstLine="723" w:firstLineChars="100"/>
        <w:jc w:val="center"/>
        <w:rPr>
          <w:rFonts w:hAnsi="宋体"/>
          <w:b/>
          <w:sz w:val="72"/>
          <w:szCs w:val="72"/>
        </w:rPr>
      </w:pPr>
      <w:bookmarkStart w:id="3" w:name="_Toc325731733"/>
      <w:bookmarkStart w:id="4" w:name="_Toc326783408"/>
      <w:bookmarkStart w:id="5" w:name="_Toc325446794"/>
    </w:p>
    <w:p w14:paraId="1CCA5596">
      <w:pPr>
        <w:spacing w:line="360" w:lineRule="auto"/>
        <w:ind w:firstLine="723" w:firstLineChars="100"/>
        <w:jc w:val="center"/>
        <w:rPr>
          <w:rFonts w:hAnsi="宋体"/>
          <w:b/>
          <w:sz w:val="72"/>
          <w:szCs w:val="72"/>
        </w:rPr>
      </w:pPr>
      <w:r>
        <w:rPr>
          <w:rFonts w:hint="eastAsia" w:hAnsi="宋体"/>
          <w:b/>
          <w:sz w:val="72"/>
          <w:szCs w:val="72"/>
        </w:rPr>
        <w:t>竞争性磋商文件</w:t>
      </w:r>
    </w:p>
    <w:p w14:paraId="33F81C18"/>
    <w:bookmarkEnd w:id="3"/>
    <w:bookmarkEnd w:id="4"/>
    <w:bookmarkEnd w:id="5"/>
    <w:p w14:paraId="6455D573"/>
    <w:p w14:paraId="6F71582E"/>
    <w:p w14:paraId="734B898A"/>
    <w:p w14:paraId="038CF10A"/>
    <w:p w14:paraId="4637A200">
      <w:pPr>
        <w:adjustRightInd w:val="0"/>
        <w:snapToGrid w:val="0"/>
        <w:spacing w:line="560" w:lineRule="exact"/>
        <w:rPr>
          <w:rFonts w:asciiTheme="minorEastAsia" w:hAnsiTheme="minorEastAsia" w:eastAsiaTheme="minorEastAsia" w:cstheme="minorEastAsia"/>
          <w:b/>
          <w:sz w:val="36"/>
          <w:szCs w:val="36"/>
        </w:rPr>
      </w:pPr>
    </w:p>
    <w:p w14:paraId="34D2D938">
      <w:pPr>
        <w:adjustRightInd w:val="0"/>
        <w:snapToGrid w:val="0"/>
        <w:spacing w:line="560" w:lineRule="exact"/>
        <w:jc w:val="center"/>
        <w:rPr>
          <w:rFonts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60288;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633EADD6">
      <w:pPr>
        <w:adjustRightInd w:val="0"/>
        <w:snapToGrid w:val="0"/>
        <w:spacing w:line="560" w:lineRule="exact"/>
        <w:jc w:val="center"/>
        <w:rPr>
          <w:rFonts w:hint="eastAsia" w:asciiTheme="minorEastAsia" w:hAnsiTheme="minorEastAsia" w:eastAsiaTheme="minorEastAsia" w:cstheme="minorEastAsia"/>
          <w:b/>
          <w:bCs w:val="0"/>
          <w:color w:val="FF0000"/>
          <w:sz w:val="36"/>
          <w:szCs w:val="36"/>
        </w:rPr>
        <w:sectPr>
          <w:headerReference r:id="rId4" w:type="first"/>
          <w:headerReference r:id="rId3" w:type="default"/>
          <w:footerReference r:id="rId5" w:type="default"/>
          <w:pgSz w:w="11907" w:h="16840"/>
          <w:pgMar w:top="141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bCs w:val="0"/>
          <w:sz w:val="36"/>
          <w:szCs w:val="36"/>
        </w:rPr>
        <w:t>编制时间</w:t>
      </w:r>
      <w:r>
        <w:rPr>
          <w:rFonts w:hint="eastAsia" w:asciiTheme="minorEastAsia" w:hAnsiTheme="minorEastAsia" w:eastAsiaTheme="minorEastAsia" w:cstheme="minorEastAsia"/>
          <w:b/>
          <w:bCs w:val="0"/>
          <w:color w:val="auto"/>
          <w:sz w:val="36"/>
          <w:szCs w:val="36"/>
        </w:rPr>
        <w:t>：2025年</w:t>
      </w:r>
      <w:r>
        <w:rPr>
          <w:rFonts w:hint="eastAsia" w:asciiTheme="minorEastAsia" w:hAnsiTheme="minorEastAsia" w:eastAsiaTheme="minorEastAsia" w:cstheme="minorEastAsia"/>
          <w:b/>
          <w:bCs w:val="0"/>
          <w:color w:val="auto"/>
          <w:sz w:val="36"/>
          <w:szCs w:val="36"/>
          <w:lang w:val="en-US" w:eastAsia="zh-CN"/>
        </w:rPr>
        <w:t>11</w:t>
      </w:r>
      <w:r>
        <w:rPr>
          <w:rFonts w:hint="eastAsia" w:asciiTheme="minorEastAsia" w:hAnsiTheme="minorEastAsia" w:eastAsiaTheme="minorEastAsia" w:cstheme="minorEastAsia"/>
          <w:b/>
          <w:bCs w:val="0"/>
          <w:color w:val="auto"/>
          <w:sz w:val="36"/>
          <w:szCs w:val="36"/>
        </w:rPr>
        <w:t>月</w:t>
      </w:r>
      <w:r>
        <w:rPr>
          <w:rFonts w:hint="eastAsia" w:asciiTheme="minorEastAsia" w:hAnsiTheme="minorEastAsia" w:eastAsiaTheme="minorEastAsia" w:cstheme="minorEastAsia"/>
          <w:b/>
          <w:bCs w:val="0"/>
          <w:color w:val="auto"/>
          <w:sz w:val="36"/>
          <w:szCs w:val="36"/>
          <w:lang w:val="en-US" w:eastAsia="zh-CN"/>
        </w:rPr>
        <w:t>14</w:t>
      </w:r>
      <w:r>
        <w:rPr>
          <w:rFonts w:hint="eastAsia" w:asciiTheme="minorEastAsia" w:hAnsiTheme="minorEastAsia" w:eastAsiaTheme="minorEastAsia" w:cstheme="minorEastAsia"/>
          <w:b/>
          <w:bCs w:val="0"/>
          <w:color w:val="auto"/>
          <w:sz w:val="36"/>
          <w:szCs w:val="36"/>
        </w:rPr>
        <w:t>日</w:t>
      </w:r>
    </w:p>
    <w:p w14:paraId="27395291">
      <w:pPr>
        <w:pStyle w:val="19"/>
        <w:tabs>
          <w:tab w:val="right" w:leader="dot" w:pos="9746"/>
        </w:tabs>
        <w:jc w:val="center"/>
        <w:rPr>
          <w:rStyle w:val="30"/>
          <w:rFonts w:asciiTheme="minorEastAsia" w:hAnsiTheme="minorEastAsia" w:eastAsiaTheme="minorEastAsia" w:cstheme="minorEastAsia"/>
          <w:sz w:val="32"/>
          <w:szCs w:val="32"/>
        </w:rPr>
      </w:pPr>
      <w:bookmarkStart w:id="6" w:name="_Toc9970"/>
      <w:bookmarkStart w:id="7" w:name="_Toc356491305"/>
      <w:bookmarkStart w:id="8" w:name="_Toc40089788"/>
    </w:p>
    <w:p w14:paraId="01759626">
      <w:pPr>
        <w:pStyle w:val="19"/>
        <w:tabs>
          <w:tab w:val="right" w:leader="dot" w:pos="9746"/>
        </w:tabs>
        <w:jc w:val="center"/>
        <w:rPr>
          <w:rStyle w:val="30"/>
          <w:rFonts w:asciiTheme="minorEastAsia" w:hAnsiTheme="minorEastAsia" w:eastAsiaTheme="minorEastAsia" w:cstheme="minorEastAsia"/>
          <w:sz w:val="32"/>
          <w:szCs w:val="32"/>
        </w:rPr>
      </w:pPr>
      <w:bookmarkStart w:id="9" w:name="_Toc20015"/>
      <w:r>
        <w:rPr>
          <w:rStyle w:val="30"/>
          <w:rFonts w:hint="eastAsia" w:asciiTheme="minorEastAsia" w:hAnsiTheme="minorEastAsia" w:eastAsiaTheme="minorEastAsia" w:cstheme="minorEastAsia"/>
          <w:sz w:val="32"/>
          <w:szCs w:val="32"/>
        </w:rPr>
        <w:t>目  录</w:t>
      </w:r>
    </w:p>
    <w:bookmarkEnd w:id="6"/>
    <w:bookmarkEnd w:id="9"/>
    <w:p w14:paraId="44FF83FF">
      <w:pPr>
        <w:pStyle w:val="19"/>
        <w:tabs>
          <w:tab w:val="right" w:leader="dot" w:pos="8732"/>
        </w:tabs>
        <w:rPr>
          <w:rFonts w:hint="eastAsia" w:ascii="仿宋" w:hAnsi="仿宋" w:eastAsia="仿宋" w:cs="仿宋"/>
          <w:sz w:val="32"/>
          <w:szCs w:val="32"/>
        </w:rPr>
      </w:pPr>
      <w:r>
        <w:rPr>
          <w:rStyle w:val="30"/>
          <w:rFonts w:hint="eastAsia" w:ascii="仿宋" w:hAnsi="仿宋" w:eastAsia="仿宋" w:cs="仿宋"/>
          <w:sz w:val="32"/>
          <w:szCs w:val="32"/>
        </w:rPr>
        <w:fldChar w:fldCharType="begin"/>
      </w:r>
      <w:r>
        <w:rPr>
          <w:rStyle w:val="30"/>
          <w:rFonts w:hint="eastAsia" w:ascii="仿宋" w:hAnsi="仿宋" w:eastAsia="仿宋" w:cs="仿宋"/>
          <w:sz w:val="32"/>
          <w:szCs w:val="32"/>
        </w:rPr>
        <w:instrText xml:space="preserve">TOC \o "1-2" \h \u </w:instrText>
      </w:r>
      <w:r>
        <w:rPr>
          <w:rStyle w:val="30"/>
          <w:rFonts w:hint="eastAsia" w:ascii="仿宋" w:hAnsi="仿宋" w:eastAsia="仿宋" w:cs="仿宋"/>
          <w:sz w:val="32"/>
          <w:szCs w:val="32"/>
        </w:rPr>
        <w:fldChar w:fldCharType="separate"/>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_Toc20015 </w:instrText>
      </w:r>
      <w:r>
        <w:rPr>
          <w:rFonts w:hint="eastAsia" w:ascii="仿宋" w:hAnsi="仿宋" w:eastAsia="仿宋" w:cs="仿宋"/>
          <w:sz w:val="32"/>
          <w:szCs w:val="32"/>
        </w:rPr>
        <w:fldChar w:fldCharType="separate"/>
      </w:r>
      <w:r>
        <w:rPr>
          <w:rFonts w:hint="eastAsia" w:ascii="仿宋" w:hAnsi="仿宋" w:eastAsia="仿宋" w:cs="仿宋"/>
          <w:sz w:val="32"/>
          <w:szCs w:val="32"/>
        </w:rPr>
        <w:t>目  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_Toc20015 \h </w:instrText>
      </w:r>
      <w:r>
        <w:rPr>
          <w:rFonts w:hint="eastAsia" w:ascii="仿宋" w:hAnsi="仿宋" w:eastAsia="仿宋" w:cs="仿宋"/>
          <w:sz w:val="32"/>
          <w:szCs w:val="32"/>
        </w:rPr>
        <w:fldChar w:fldCharType="separate"/>
      </w:r>
      <w:r>
        <w:rPr>
          <w:rFonts w:hint="eastAsia" w:ascii="仿宋" w:hAnsi="仿宋" w:eastAsia="仿宋" w:cs="仿宋"/>
          <w:sz w:val="32"/>
          <w:szCs w:val="32"/>
        </w:rPr>
        <w:t>- 1 -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C4AAD1D">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_Toc19324 </w:instrText>
      </w:r>
      <w:r>
        <w:rPr>
          <w:rFonts w:hint="eastAsia" w:ascii="仿宋" w:hAnsi="仿宋" w:eastAsia="仿宋" w:cs="仿宋"/>
          <w:sz w:val="32"/>
          <w:szCs w:val="32"/>
        </w:rPr>
        <w:fldChar w:fldCharType="separate"/>
      </w:r>
      <w:r>
        <w:rPr>
          <w:rFonts w:hint="eastAsia" w:ascii="仿宋" w:hAnsi="仿宋" w:eastAsia="仿宋" w:cs="仿宋"/>
          <w:sz w:val="32"/>
          <w:szCs w:val="32"/>
        </w:rPr>
        <w:t>第一部分 竞争性磋商公告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_Toc19324 \h </w:instrText>
      </w:r>
      <w:r>
        <w:rPr>
          <w:rFonts w:hint="eastAsia" w:ascii="仿宋" w:hAnsi="仿宋" w:eastAsia="仿宋" w:cs="仿宋"/>
          <w:sz w:val="32"/>
          <w:szCs w:val="32"/>
        </w:rPr>
        <w:fldChar w:fldCharType="separate"/>
      </w:r>
      <w:r>
        <w:rPr>
          <w:rFonts w:hint="eastAsia" w:ascii="仿宋" w:hAnsi="仿宋" w:eastAsia="仿宋" w:cs="仿宋"/>
          <w:sz w:val="32"/>
          <w:szCs w:val="32"/>
        </w:rPr>
        <w:t>- 1 -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5E29B8B">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_Toc22920 </w:instrText>
      </w:r>
      <w:r>
        <w:rPr>
          <w:rFonts w:hint="eastAsia" w:ascii="仿宋" w:hAnsi="仿宋" w:eastAsia="仿宋" w:cs="仿宋"/>
          <w:sz w:val="32"/>
          <w:szCs w:val="32"/>
        </w:rPr>
        <w:fldChar w:fldCharType="separate"/>
      </w:r>
      <w:r>
        <w:rPr>
          <w:rFonts w:hint="eastAsia" w:ascii="仿宋" w:hAnsi="仿宋" w:eastAsia="仿宋" w:cs="仿宋"/>
          <w:sz w:val="32"/>
          <w:szCs w:val="32"/>
        </w:rPr>
        <w:t>第二部分 供应商须知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_Toc22920 \h </w:instrText>
      </w:r>
      <w:r>
        <w:rPr>
          <w:rFonts w:hint="eastAsia" w:ascii="仿宋" w:hAnsi="仿宋" w:eastAsia="仿宋" w:cs="仿宋"/>
          <w:sz w:val="32"/>
          <w:szCs w:val="32"/>
        </w:rPr>
        <w:fldChar w:fldCharType="separate"/>
      </w:r>
      <w:r>
        <w:rPr>
          <w:rFonts w:hint="eastAsia" w:ascii="仿宋" w:hAnsi="仿宋" w:eastAsia="仿宋" w:cs="仿宋"/>
          <w:sz w:val="32"/>
          <w:szCs w:val="32"/>
        </w:rPr>
        <w:t>- 5 -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AE1587C">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_Toc19325 </w:instrText>
      </w:r>
      <w:r>
        <w:rPr>
          <w:rFonts w:hint="eastAsia" w:ascii="仿宋" w:hAnsi="仿宋" w:eastAsia="仿宋" w:cs="仿宋"/>
          <w:sz w:val="32"/>
          <w:szCs w:val="32"/>
        </w:rPr>
        <w:fldChar w:fldCharType="separate"/>
      </w:r>
      <w:r>
        <w:rPr>
          <w:rFonts w:hint="eastAsia" w:ascii="仿宋" w:hAnsi="仿宋" w:eastAsia="仿宋" w:cs="仿宋"/>
          <w:sz w:val="32"/>
          <w:szCs w:val="32"/>
        </w:rPr>
        <w:t>第三部分 评审办法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_Toc19325 \h </w:instrText>
      </w:r>
      <w:r>
        <w:rPr>
          <w:rFonts w:hint="eastAsia" w:ascii="仿宋" w:hAnsi="仿宋" w:eastAsia="仿宋" w:cs="仿宋"/>
          <w:sz w:val="32"/>
          <w:szCs w:val="32"/>
        </w:rPr>
        <w:fldChar w:fldCharType="separate"/>
      </w:r>
      <w:r>
        <w:rPr>
          <w:rFonts w:hint="eastAsia" w:ascii="仿宋" w:hAnsi="仿宋" w:eastAsia="仿宋" w:cs="仿宋"/>
          <w:sz w:val="32"/>
          <w:szCs w:val="32"/>
        </w:rPr>
        <w:t>- 11 -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DCC163F">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_Toc22407 </w:instrText>
      </w:r>
      <w:r>
        <w:rPr>
          <w:rFonts w:hint="eastAsia" w:ascii="仿宋" w:hAnsi="仿宋" w:eastAsia="仿宋" w:cs="仿宋"/>
          <w:sz w:val="32"/>
          <w:szCs w:val="32"/>
        </w:rPr>
        <w:fldChar w:fldCharType="separate"/>
      </w:r>
      <w:r>
        <w:rPr>
          <w:rFonts w:hint="eastAsia" w:ascii="仿宋" w:hAnsi="仿宋" w:eastAsia="仿宋" w:cs="仿宋"/>
          <w:sz w:val="32"/>
          <w:szCs w:val="32"/>
        </w:rPr>
        <w:t>第四部分 授予合同</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_Toc22407 \h </w:instrText>
      </w:r>
      <w:r>
        <w:rPr>
          <w:rFonts w:hint="eastAsia" w:ascii="仿宋" w:hAnsi="仿宋" w:eastAsia="仿宋" w:cs="仿宋"/>
          <w:sz w:val="32"/>
          <w:szCs w:val="32"/>
        </w:rPr>
        <w:fldChar w:fldCharType="separate"/>
      </w:r>
      <w:r>
        <w:rPr>
          <w:rFonts w:hint="eastAsia" w:ascii="仿宋" w:hAnsi="仿宋" w:eastAsia="仿宋" w:cs="仿宋"/>
          <w:sz w:val="32"/>
          <w:szCs w:val="32"/>
        </w:rPr>
        <w:t>- 15 -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16DC069">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_Toc11038 </w:instrText>
      </w:r>
      <w:r>
        <w:rPr>
          <w:rFonts w:hint="eastAsia" w:ascii="仿宋" w:hAnsi="仿宋" w:eastAsia="仿宋" w:cs="仿宋"/>
          <w:sz w:val="32"/>
          <w:szCs w:val="32"/>
        </w:rPr>
        <w:fldChar w:fldCharType="separate"/>
      </w:r>
      <w:r>
        <w:rPr>
          <w:rFonts w:hint="eastAsia" w:ascii="仿宋" w:hAnsi="仿宋" w:eastAsia="仿宋" w:cs="仿宋"/>
          <w:sz w:val="32"/>
          <w:szCs w:val="32"/>
        </w:rPr>
        <w:t>第五部分 项目需求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_Toc11038 \h </w:instrText>
      </w:r>
      <w:r>
        <w:rPr>
          <w:rFonts w:hint="eastAsia" w:ascii="仿宋" w:hAnsi="仿宋" w:eastAsia="仿宋" w:cs="仿宋"/>
          <w:sz w:val="32"/>
          <w:szCs w:val="32"/>
        </w:rPr>
        <w:fldChar w:fldCharType="separate"/>
      </w:r>
      <w:r>
        <w:rPr>
          <w:rFonts w:hint="eastAsia" w:ascii="仿宋" w:hAnsi="仿宋" w:eastAsia="仿宋" w:cs="仿宋"/>
          <w:sz w:val="32"/>
          <w:szCs w:val="32"/>
        </w:rPr>
        <w:t>- 18 -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D06E2E0">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_Toc12517 </w:instrText>
      </w:r>
      <w:r>
        <w:rPr>
          <w:rFonts w:hint="eastAsia" w:ascii="仿宋" w:hAnsi="仿宋" w:eastAsia="仿宋" w:cs="仿宋"/>
          <w:sz w:val="32"/>
          <w:szCs w:val="32"/>
        </w:rPr>
        <w:fldChar w:fldCharType="separate"/>
      </w:r>
      <w:r>
        <w:rPr>
          <w:rFonts w:hint="eastAsia" w:ascii="仿宋" w:hAnsi="仿宋" w:eastAsia="仿宋" w:cs="仿宋"/>
          <w:sz w:val="32"/>
          <w:szCs w:val="32"/>
        </w:rPr>
        <w:t>第六部分 报价文件格式</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_Toc12517 \h </w:instrText>
      </w:r>
      <w:r>
        <w:rPr>
          <w:rFonts w:hint="eastAsia" w:ascii="仿宋" w:hAnsi="仿宋" w:eastAsia="仿宋" w:cs="仿宋"/>
          <w:sz w:val="32"/>
          <w:szCs w:val="32"/>
        </w:rPr>
        <w:fldChar w:fldCharType="separate"/>
      </w:r>
      <w:r>
        <w:rPr>
          <w:rFonts w:hint="eastAsia" w:ascii="仿宋" w:hAnsi="仿宋" w:eastAsia="仿宋" w:cs="仿宋"/>
          <w:sz w:val="32"/>
          <w:szCs w:val="32"/>
        </w:rPr>
        <w:t>- 26 -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57E4242">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_Toc9943 </w:instrText>
      </w:r>
      <w:r>
        <w:rPr>
          <w:rFonts w:hint="eastAsia" w:ascii="仿宋" w:hAnsi="仿宋" w:eastAsia="仿宋" w:cs="仿宋"/>
          <w:sz w:val="32"/>
          <w:szCs w:val="32"/>
        </w:rPr>
        <w:fldChar w:fldCharType="separate"/>
      </w:r>
      <w:r>
        <w:rPr>
          <w:rFonts w:hint="eastAsia" w:ascii="仿宋" w:hAnsi="仿宋" w:eastAsia="仿宋" w:cs="仿宋"/>
          <w:sz w:val="32"/>
          <w:szCs w:val="32"/>
        </w:rPr>
        <w:t>一、商务部分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_Toc9943 \h </w:instrText>
      </w:r>
      <w:r>
        <w:rPr>
          <w:rFonts w:hint="eastAsia" w:ascii="仿宋" w:hAnsi="仿宋" w:eastAsia="仿宋" w:cs="仿宋"/>
          <w:sz w:val="32"/>
          <w:szCs w:val="32"/>
        </w:rPr>
        <w:fldChar w:fldCharType="separate"/>
      </w:r>
      <w:r>
        <w:rPr>
          <w:rFonts w:hint="eastAsia" w:ascii="仿宋" w:hAnsi="仿宋" w:eastAsia="仿宋" w:cs="仿宋"/>
          <w:sz w:val="32"/>
          <w:szCs w:val="32"/>
        </w:rPr>
        <w:t>- 29 -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F4B26AC">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_Toc21595 </w:instrText>
      </w:r>
      <w:r>
        <w:rPr>
          <w:rFonts w:hint="eastAsia" w:ascii="仿宋" w:hAnsi="仿宋" w:eastAsia="仿宋" w:cs="仿宋"/>
          <w:sz w:val="32"/>
          <w:szCs w:val="32"/>
        </w:rPr>
        <w:fldChar w:fldCharType="separate"/>
      </w:r>
      <w:r>
        <w:rPr>
          <w:rFonts w:hint="eastAsia" w:ascii="仿宋" w:hAnsi="仿宋" w:eastAsia="仿宋" w:cs="仿宋"/>
          <w:sz w:val="32"/>
          <w:szCs w:val="32"/>
        </w:rPr>
        <w:t>二、 资信部分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_Toc21595 \h </w:instrText>
      </w:r>
      <w:r>
        <w:rPr>
          <w:rFonts w:hint="eastAsia" w:ascii="仿宋" w:hAnsi="仿宋" w:eastAsia="仿宋" w:cs="仿宋"/>
          <w:sz w:val="32"/>
          <w:szCs w:val="32"/>
        </w:rPr>
        <w:fldChar w:fldCharType="separate"/>
      </w:r>
      <w:r>
        <w:rPr>
          <w:rFonts w:hint="eastAsia" w:ascii="仿宋" w:hAnsi="仿宋" w:eastAsia="仿宋" w:cs="仿宋"/>
          <w:sz w:val="32"/>
          <w:szCs w:val="32"/>
        </w:rPr>
        <w:t>- 35 -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4D7A643">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_Toc28212 </w:instrText>
      </w:r>
      <w:r>
        <w:rPr>
          <w:rFonts w:hint="eastAsia" w:ascii="仿宋" w:hAnsi="仿宋" w:eastAsia="仿宋" w:cs="仿宋"/>
          <w:sz w:val="32"/>
          <w:szCs w:val="32"/>
        </w:rPr>
        <w:fldChar w:fldCharType="separate"/>
      </w:r>
      <w:r>
        <w:rPr>
          <w:rFonts w:hint="eastAsia" w:ascii="仿宋" w:hAnsi="仿宋" w:eastAsia="仿宋" w:cs="仿宋"/>
          <w:sz w:val="32"/>
          <w:szCs w:val="32"/>
        </w:rPr>
        <w:t>三、 技术部分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_Toc28212 \h </w:instrText>
      </w:r>
      <w:r>
        <w:rPr>
          <w:rFonts w:hint="eastAsia" w:ascii="仿宋" w:hAnsi="仿宋" w:eastAsia="仿宋" w:cs="仿宋"/>
          <w:sz w:val="32"/>
          <w:szCs w:val="32"/>
        </w:rPr>
        <w:fldChar w:fldCharType="separate"/>
      </w:r>
      <w:r>
        <w:rPr>
          <w:rFonts w:hint="eastAsia" w:ascii="仿宋" w:hAnsi="仿宋" w:eastAsia="仿宋" w:cs="仿宋"/>
          <w:sz w:val="32"/>
          <w:szCs w:val="32"/>
        </w:rPr>
        <w:t>- 36 -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1663C82">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_Toc2093 </w:instrText>
      </w:r>
      <w:r>
        <w:rPr>
          <w:rFonts w:hint="eastAsia" w:ascii="仿宋" w:hAnsi="仿宋" w:eastAsia="仿宋" w:cs="仿宋"/>
          <w:sz w:val="32"/>
          <w:szCs w:val="32"/>
        </w:rPr>
        <w:fldChar w:fldCharType="separate"/>
      </w:r>
      <w:r>
        <w:rPr>
          <w:rFonts w:hint="eastAsia" w:ascii="仿宋" w:hAnsi="仿宋" w:eastAsia="仿宋" w:cs="仿宋"/>
          <w:sz w:val="32"/>
          <w:szCs w:val="32"/>
        </w:rPr>
        <w:t>四、报价部分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_Toc2093 \h </w:instrText>
      </w:r>
      <w:r>
        <w:rPr>
          <w:rFonts w:hint="eastAsia" w:ascii="仿宋" w:hAnsi="仿宋" w:eastAsia="仿宋" w:cs="仿宋"/>
          <w:sz w:val="32"/>
          <w:szCs w:val="32"/>
        </w:rPr>
        <w:fldChar w:fldCharType="separate"/>
      </w:r>
      <w:r>
        <w:rPr>
          <w:rFonts w:hint="eastAsia" w:ascii="仿宋" w:hAnsi="仿宋" w:eastAsia="仿宋" w:cs="仿宋"/>
          <w:sz w:val="32"/>
          <w:szCs w:val="32"/>
        </w:rPr>
        <w:t>- 38 -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DBD633A">
      <w:pPr>
        <w:pStyle w:val="19"/>
        <w:tabs>
          <w:tab w:val="right" w:leader="dot" w:pos="8732"/>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_Toc22438 </w:instrText>
      </w:r>
      <w:r>
        <w:rPr>
          <w:rFonts w:hint="eastAsia" w:ascii="仿宋" w:hAnsi="仿宋" w:eastAsia="仿宋" w:cs="仿宋"/>
          <w:sz w:val="32"/>
          <w:szCs w:val="32"/>
        </w:rPr>
        <w:fldChar w:fldCharType="separate"/>
      </w:r>
      <w:r>
        <w:rPr>
          <w:rFonts w:hint="eastAsia" w:ascii="仿宋" w:hAnsi="仿宋" w:eastAsia="仿宋" w:cs="仿宋"/>
          <w:sz w:val="32"/>
          <w:szCs w:val="32"/>
        </w:rPr>
        <w:t>封套格式</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_Toc22438 \h </w:instrText>
      </w:r>
      <w:r>
        <w:rPr>
          <w:rFonts w:hint="eastAsia" w:ascii="仿宋" w:hAnsi="仿宋" w:eastAsia="仿宋" w:cs="仿宋"/>
          <w:sz w:val="32"/>
          <w:szCs w:val="32"/>
        </w:rPr>
        <w:fldChar w:fldCharType="separate"/>
      </w:r>
      <w:r>
        <w:rPr>
          <w:rFonts w:hint="eastAsia" w:ascii="仿宋" w:hAnsi="仿宋" w:eastAsia="仿宋" w:cs="仿宋"/>
          <w:sz w:val="32"/>
          <w:szCs w:val="32"/>
        </w:rPr>
        <w:t>- 39 -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97F69BE">
      <w:pPr>
        <w:rPr>
          <w:rFonts w:hint="eastAsia" w:ascii="仿宋" w:hAnsi="仿宋" w:eastAsia="仿宋" w:cs="仿宋"/>
          <w:szCs w:val="32"/>
        </w:rPr>
      </w:pPr>
      <w:r>
        <w:rPr>
          <w:rFonts w:hint="eastAsia" w:ascii="仿宋" w:hAnsi="仿宋" w:eastAsia="仿宋" w:cs="仿宋"/>
          <w:szCs w:val="32"/>
        </w:rPr>
        <w:fldChar w:fldCharType="end"/>
      </w:r>
      <w:bookmarkStart w:id="10" w:name="_Toc19324"/>
    </w:p>
    <w:p w14:paraId="19BDD23C">
      <w:pPr>
        <w:rPr>
          <w:rFonts w:hint="eastAsia" w:ascii="仿宋" w:hAnsi="仿宋" w:eastAsia="仿宋" w:cs="仿宋"/>
          <w:szCs w:val="32"/>
        </w:rPr>
      </w:pPr>
    </w:p>
    <w:p w14:paraId="53F8FFC2">
      <w:pPr>
        <w:rPr>
          <w:rFonts w:hint="eastAsia" w:ascii="仿宋" w:hAnsi="仿宋" w:eastAsia="仿宋" w:cs="仿宋"/>
          <w:szCs w:val="32"/>
        </w:rPr>
      </w:pPr>
    </w:p>
    <w:p w14:paraId="056FC0FD">
      <w:pPr>
        <w:rPr>
          <w:rFonts w:hint="eastAsia" w:ascii="仿宋" w:hAnsi="仿宋" w:eastAsia="仿宋" w:cs="仿宋"/>
          <w:szCs w:val="32"/>
        </w:rPr>
      </w:pPr>
    </w:p>
    <w:p w14:paraId="65B15ED5">
      <w:pPr>
        <w:rPr>
          <w:rFonts w:hint="eastAsia" w:ascii="仿宋" w:hAnsi="仿宋" w:eastAsia="仿宋" w:cs="仿宋"/>
          <w:szCs w:val="32"/>
        </w:rPr>
      </w:pPr>
    </w:p>
    <w:p w14:paraId="53B02E06">
      <w:pPr>
        <w:rPr>
          <w:rFonts w:hint="eastAsia" w:ascii="仿宋" w:hAnsi="仿宋" w:eastAsia="仿宋" w:cs="仿宋"/>
          <w:szCs w:val="32"/>
        </w:rPr>
      </w:pPr>
    </w:p>
    <w:p w14:paraId="29756F0F">
      <w:pPr>
        <w:rPr>
          <w:rStyle w:val="30"/>
          <w:rFonts w:hint="eastAsia" w:eastAsia="仿宋" w:asciiTheme="minorEastAsia" w:hAnsiTheme="minorEastAsia" w:cstheme="minorEastAsia"/>
          <w:b/>
          <w:sz w:val="44"/>
          <w:lang w:val="en-US" w:eastAsia="zh-CN"/>
        </w:rPr>
      </w:pPr>
    </w:p>
    <w:p w14:paraId="56FDF8DC">
      <w:pPr>
        <w:pStyle w:val="3"/>
        <w:jc w:val="center"/>
        <w:rPr>
          <w:rStyle w:val="30"/>
          <w:rFonts w:hint="eastAsia" w:asciiTheme="minorEastAsia" w:hAnsiTheme="minorEastAsia" w:eastAsiaTheme="minorEastAsia" w:cstheme="minorEastAsia"/>
          <w:b/>
          <w:sz w:val="44"/>
        </w:rPr>
      </w:pPr>
      <w:r>
        <w:rPr>
          <w:rStyle w:val="30"/>
          <w:rFonts w:hint="eastAsia" w:asciiTheme="minorEastAsia" w:hAnsiTheme="minorEastAsia" w:eastAsiaTheme="minorEastAsia" w:cstheme="minorEastAsia"/>
          <w:b/>
          <w:sz w:val="44"/>
        </w:rPr>
        <w:t xml:space="preserve">第一部分 </w:t>
      </w:r>
      <w:bookmarkEnd w:id="7"/>
      <w:bookmarkEnd w:id="8"/>
      <w:r>
        <w:rPr>
          <w:rStyle w:val="30"/>
          <w:rFonts w:hint="eastAsia" w:asciiTheme="minorEastAsia" w:hAnsiTheme="minorEastAsia" w:eastAsiaTheme="minorEastAsia" w:cstheme="minorEastAsia"/>
          <w:b/>
          <w:sz w:val="44"/>
        </w:rPr>
        <w:t>竞争性磋商公告</w:t>
      </w:r>
      <w:bookmarkEnd w:id="10"/>
      <w:bookmarkStart w:id="11" w:name="_Toc325620702"/>
      <w:bookmarkStart w:id="12" w:name="_Toc325582571"/>
      <w:bookmarkStart w:id="13" w:name="_Toc325582066"/>
    </w:p>
    <w:p w14:paraId="2CEA7EB4"/>
    <w:p w14:paraId="37413EFB">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一、采购项目名称</w:t>
      </w:r>
    </w:p>
    <w:p w14:paraId="39BF0DBB">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default" w:ascii="黑体" w:hAnsi="黑体" w:eastAsia="黑体" w:cs="黑体"/>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海南卫生健康职业学院</w:t>
      </w:r>
      <w:r>
        <w:rPr>
          <w:rFonts w:hint="eastAsia" w:ascii="仿宋" w:hAnsi="仿宋" w:eastAsia="仿宋" w:cs="仿宋"/>
          <w:sz w:val="32"/>
          <w:szCs w:val="32"/>
          <w:lang w:val="en-US" w:eastAsia="zh-CN"/>
        </w:rPr>
        <w:t>智能外卖柜服务项目</w:t>
      </w:r>
    </w:p>
    <w:p w14:paraId="475FED2E">
      <w:pPr>
        <w:adjustRightInd w:val="0"/>
        <w:snapToGrid w:val="0"/>
        <w:spacing w:line="560" w:lineRule="exact"/>
        <w:ind w:firstLine="640" w:firstLineChars="200"/>
        <w:jc w:val="left"/>
        <w:rPr>
          <w:rFonts w:ascii="黑体" w:hAnsi="黑体" w:eastAsia="黑体" w:cs="黑体"/>
          <w:color w:val="auto"/>
          <w:sz w:val="32"/>
          <w:szCs w:val="32"/>
        </w:rPr>
      </w:pPr>
      <w:r>
        <w:rPr>
          <w:rFonts w:hint="eastAsia" w:ascii="黑体" w:hAnsi="黑体" w:eastAsia="黑体" w:cs="黑体"/>
          <w:color w:val="auto"/>
          <w:sz w:val="32"/>
          <w:szCs w:val="32"/>
        </w:rPr>
        <w:t>二、采购项目编号</w:t>
      </w:r>
    </w:p>
    <w:p w14:paraId="6E764D3C">
      <w:pPr>
        <w:adjustRightInd w:val="0"/>
        <w:snapToGrid w:val="0"/>
        <w:spacing w:line="560" w:lineRule="exact"/>
        <w:ind w:firstLine="640" w:firstLineChars="200"/>
        <w:jc w:val="left"/>
        <w:rPr>
          <w:rFonts w:hint="default"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rPr>
        <w:t>HNWJY-FW</w:t>
      </w:r>
      <w:r>
        <w:rPr>
          <w:rFonts w:hint="eastAsia" w:ascii="仿宋" w:hAnsi="仿宋" w:eastAsia="仿宋" w:cs="仿宋"/>
          <w:sz w:val="32"/>
          <w:szCs w:val="32"/>
          <w:lang w:val="en-US" w:eastAsia="zh-CN"/>
        </w:rPr>
        <w:t>2025044</w:t>
      </w:r>
    </w:p>
    <w:p w14:paraId="14514F1B">
      <w:pPr>
        <w:adjustRightInd w:val="0"/>
        <w:snapToGrid w:val="0"/>
        <w:spacing w:line="560" w:lineRule="exact"/>
        <w:ind w:firstLine="640" w:firstLineChars="200"/>
        <w:jc w:val="left"/>
        <w:rPr>
          <w:rFonts w:ascii="黑体" w:hAnsi="黑体" w:eastAsia="黑体" w:cs="黑体"/>
          <w:color w:val="auto"/>
          <w:sz w:val="32"/>
          <w:szCs w:val="32"/>
        </w:rPr>
      </w:pPr>
      <w:r>
        <w:rPr>
          <w:rFonts w:hint="eastAsia" w:ascii="黑体" w:hAnsi="黑体" w:eastAsia="黑体" w:cs="黑体"/>
          <w:color w:val="auto"/>
          <w:sz w:val="32"/>
          <w:szCs w:val="32"/>
        </w:rPr>
        <w:t>三、采购项目</w:t>
      </w:r>
    </w:p>
    <w:tbl>
      <w:tblPr>
        <w:tblStyle w:val="25"/>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6443"/>
        <w:gridCol w:w="2211"/>
      </w:tblGrid>
      <w:tr w14:paraId="7CA3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8" w:hRule="atLeast"/>
          <w:jc w:val="center"/>
        </w:trPr>
        <w:tc>
          <w:tcPr>
            <w:tcW w:w="1378" w:type="dxa"/>
            <w:vAlign w:val="center"/>
          </w:tcPr>
          <w:p w14:paraId="5018CE48">
            <w:pPr>
              <w:keepNext w:val="0"/>
              <w:keepLines w:val="0"/>
              <w:suppressLineNumbers w:val="0"/>
              <w:adjustRightInd w:val="0"/>
              <w:snapToGrid w:val="0"/>
              <w:spacing w:before="0" w:beforeAutospacing="0" w:after="0" w:afterAutospacing="0" w:line="520" w:lineRule="exact"/>
              <w:ind w:left="0" w:right="0"/>
              <w:jc w:val="center"/>
              <w:rPr>
                <w:rFonts w:hint="default" w:ascii="仿宋" w:hAnsi="仿宋" w:eastAsia="仿宋" w:cs="仿宋"/>
                <w:color w:val="auto"/>
                <w:sz w:val="32"/>
                <w:szCs w:val="32"/>
              </w:rPr>
            </w:pPr>
            <w:r>
              <w:rPr>
                <w:rFonts w:hint="eastAsia" w:ascii="仿宋" w:hAnsi="仿宋" w:eastAsia="仿宋" w:cs="仿宋"/>
                <w:color w:val="auto"/>
                <w:sz w:val="32"/>
                <w:szCs w:val="32"/>
              </w:rPr>
              <w:t>项目</w:t>
            </w:r>
          </w:p>
          <w:p w14:paraId="2233548B">
            <w:pPr>
              <w:keepNext w:val="0"/>
              <w:keepLines w:val="0"/>
              <w:suppressLineNumbers w:val="0"/>
              <w:adjustRightInd w:val="0"/>
              <w:snapToGrid w:val="0"/>
              <w:spacing w:before="0" w:beforeAutospacing="0" w:after="0" w:afterAutospacing="0" w:line="520" w:lineRule="exact"/>
              <w:ind w:left="0" w:right="0"/>
              <w:jc w:val="center"/>
              <w:rPr>
                <w:rFonts w:hint="default" w:ascii="仿宋" w:hAnsi="仿宋" w:eastAsia="仿宋" w:cs="仿宋"/>
                <w:color w:val="auto"/>
                <w:sz w:val="32"/>
                <w:szCs w:val="32"/>
              </w:rPr>
            </w:pPr>
            <w:r>
              <w:rPr>
                <w:rFonts w:hint="eastAsia" w:ascii="仿宋" w:hAnsi="仿宋" w:eastAsia="仿宋" w:cs="仿宋"/>
                <w:color w:val="auto"/>
                <w:sz w:val="32"/>
                <w:szCs w:val="32"/>
              </w:rPr>
              <w:t>名称</w:t>
            </w:r>
          </w:p>
        </w:tc>
        <w:tc>
          <w:tcPr>
            <w:tcW w:w="6443" w:type="dxa"/>
            <w:vAlign w:val="center"/>
          </w:tcPr>
          <w:p w14:paraId="363049AC">
            <w:pPr>
              <w:keepNext w:val="0"/>
              <w:keepLines w:val="0"/>
              <w:suppressLineNumbers w:val="0"/>
              <w:adjustRightInd w:val="0"/>
              <w:snapToGrid w:val="0"/>
              <w:spacing w:before="0" w:beforeAutospacing="0" w:after="0" w:afterAutospacing="0" w:line="520" w:lineRule="exact"/>
              <w:ind w:left="0" w:right="0" w:firstLine="640" w:firstLineChars="200"/>
              <w:jc w:val="center"/>
              <w:rPr>
                <w:rFonts w:hint="default" w:ascii="仿宋" w:hAnsi="仿宋" w:eastAsia="仿宋" w:cs="仿宋"/>
                <w:color w:val="auto"/>
                <w:sz w:val="32"/>
                <w:szCs w:val="32"/>
              </w:rPr>
            </w:pPr>
            <w:r>
              <w:rPr>
                <w:rFonts w:hint="eastAsia" w:ascii="仿宋" w:hAnsi="仿宋" w:eastAsia="仿宋" w:cs="仿宋"/>
                <w:color w:val="auto"/>
                <w:sz w:val="32"/>
                <w:szCs w:val="32"/>
              </w:rPr>
              <w:t>供应商资格要求</w:t>
            </w:r>
          </w:p>
        </w:tc>
        <w:tc>
          <w:tcPr>
            <w:tcW w:w="2211" w:type="dxa"/>
            <w:vAlign w:val="center"/>
          </w:tcPr>
          <w:p w14:paraId="3AB4152C">
            <w:pPr>
              <w:keepNext w:val="0"/>
              <w:keepLines w:val="0"/>
              <w:suppressLineNumbers w:val="0"/>
              <w:adjustRightInd w:val="0"/>
              <w:snapToGrid w:val="0"/>
              <w:spacing w:before="0" w:beforeAutospacing="0" w:after="0" w:afterAutospacing="0" w:line="520" w:lineRule="exact"/>
              <w:ind w:left="0" w:right="0"/>
              <w:jc w:val="center"/>
              <w:rPr>
                <w:rFonts w:hint="default" w:ascii="仿宋" w:hAnsi="仿宋" w:eastAsia="仿宋" w:cs="仿宋"/>
                <w:color w:val="auto"/>
                <w:sz w:val="32"/>
                <w:szCs w:val="32"/>
              </w:rPr>
            </w:pPr>
            <w:r>
              <w:rPr>
                <w:rFonts w:hint="eastAsia" w:ascii="仿宋" w:hAnsi="仿宋" w:eastAsia="仿宋" w:cs="仿宋"/>
                <w:color w:val="auto"/>
                <w:sz w:val="32"/>
                <w:szCs w:val="32"/>
              </w:rPr>
              <w:t>预算金额(元)</w:t>
            </w:r>
          </w:p>
        </w:tc>
      </w:tr>
      <w:tr w14:paraId="78C8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1378" w:type="dxa"/>
            <w:vAlign w:val="center"/>
          </w:tcPr>
          <w:p w14:paraId="7A59927E">
            <w:pPr>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color w:val="auto"/>
                <w:sz w:val="32"/>
                <w:szCs w:val="32"/>
              </w:rPr>
            </w:pPr>
          </w:p>
          <w:p w14:paraId="11A41DDF">
            <w:pPr>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color w:val="auto"/>
                <w:sz w:val="32"/>
                <w:szCs w:val="32"/>
              </w:rPr>
            </w:pPr>
          </w:p>
          <w:p w14:paraId="475BF19C">
            <w:pPr>
              <w:keepNext w:val="0"/>
              <w:keepLines w:val="0"/>
              <w:suppressLineNumbers w:val="0"/>
              <w:adjustRightInd w:val="0"/>
              <w:snapToGrid w:val="0"/>
              <w:spacing w:before="0" w:beforeAutospacing="0" w:after="0" w:afterAutospacing="0" w:line="520" w:lineRule="exact"/>
              <w:ind w:left="0" w:right="0"/>
              <w:rPr>
                <w:rFonts w:hint="default" w:ascii="仿宋" w:hAnsi="仿宋" w:eastAsia="仿宋" w:cs="仿宋"/>
                <w:color w:val="auto"/>
                <w:sz w:val="32"/>
                <w:szCs w:val="32"/>
              </w:rPr>
            </w:pPr>
            <w:r>
              <w:rPr>
                <w:rFonts w:hint="eastAsia" w:ascii="仿宋" w:hAnsi="仿宋" w:eastAsia="仿宋" w:cs="仿宋"/>
                <w:color w:val="auto"/>
                <w:sz w:val="32"/>
                <w:szCs w:val="32"/>
                <w:lang w:val="en-US" w:eastAsia="zh-CN"/>
              </w:rPr>
              <w:t>海南卫生健康职业学院</w:t>
            </w:r>
            <w:r>
              <w:rPr>
                <w:rFonts w:hint="eastAsia" w:ascii="仿宋" w:hAnsi="仿宋" w:eastAsia="仿宋" w:cs="仿宋"/>
                <w:sz w:val="32"/>
                <w:szCs w:val="32"/>
                <w:lang w:val="en-US" w:eastAsia="zh-CN"/>
              </w:rPr>
              <w:t>智能外卖柜服务项目</w:t>
            </w:r>
          </w:p>
          <w:p w14:paraId="5A04F9D9">
            <w:pPr>
              <w:keepNext w:val="0"/>
              <w:keepLines w:val="0"/>
              <w:suppressLineNumbers w:val="0"/>
              <w:adjustRightInd w:val="0"/>
              <w:snapToGrid w:val="0"/>
              <w:spacing w:before="0" w:beforeAutospacing="0" w:after="0" w:afterAutospacing="0" w:line="520" w:lineRule="exact"/>
              <w:ind w:left="0" w:right="0"/>
              <w:jc w:val="center"/>
              <w:textAlignment w:val="center"/>
              <w:rPr>
                <w:rFonts w:hint="default" w:ascii="仿宋" w:hAnsi="仿宋" w:eastAsia="仿宋" w:cs="仿宋"/>
                <w:color w:val="auto"/>
                <w:kern w:val="0"/>
                <w:sz w:val="32"/>
                <w:szCs w:val="32"/>
              </w:rPr>
            </w:pPr>
          </w:p>
        </w:tc>
        <w:tc>
          <w:tcPr>
            <w:tcW w:w="6443" w:type="dxa"/>
            <w:vAlign w:val="center"/>
          </w:tcPr>
          <w:p w14:paraId="7BCEA84A">
            <w:pPr>
              <w:pStyle w:val="31"/>
              <w:keepNext w:val="0"/>
              <w:keepLines w:val="0"/>
              <w:widowControl/>
              <w:numPr>
                <w:ilvl w:val="0"/>
                <w:numId w:val="3"/>
              </w:numPr>
              <w:suppressLineNumbers w:val="0"/>
              <w:adjustRightInd w:val="0"/>
              <w:snapToGrid w:val="0"/>
              <w:spacing w:before="0" w:beforeAutospacing="0" w:after="0" w:afterAutospacing="0" w:line="500" w:lineRule="exact"/>
              <w:ind w:left="0" w:right="0" w:firstLine="0" w:firstLineChars="0"/>
              <w:jc w:val="left"/>
              <w:textAlignment w:val="center"/>
              <w:rPr>
                <w:rFonts w:hint="default" w:ascii="仿宋" w:hAnsi="仿宋" w:eastAsia="仿宋" w:cs="仿宋"/>
                <w:color w:val="auto"/>
                <w:kern w:val="0"/>
                <w:sz w:val="32"/>
                <w:szCs w:val="32"/>
              </w:rPr>
            </w:pPr>
            <w:r>
              <w:rPr>
                <w:rFonts w:hint="eastAsia" w:ascii="仿宋" w:hAnsi="仿宋" w:eastAsia="仿宋" w:cs="仿宋"/>
                <w:color w:val="auto"/>
                <w:kern w:val="0"/>
                <w:sz w:val="32"/>
                <w:szCs w:val="32"/>
              </w:rPr>
              <w:t>符合《中华人民共和国政府采购法》第二十二条规定，在中国境内注册的具有独立法人资格或个体户（提供营业执照）。</w:t>
            </w:r>
          </w:p>
          <w:p w14:paraId="4FE00000">
            <w:pPr>
              <w:pStyle w:val="31"/>
              <w:keepNext w:val="0"/>
              <w:keepLines w:val="0"/>
              <w:widowControl/>
              <w:suppressLineNumbers w:val="0"/>
              <w:adjustRightInd w:val="0"/>
              <w:snapToGrid w:val="0"/>
              <w:spacing w:before="0" w:beforeAutospacing="0" w:after="0" w:afterAutospacing="0" w:line="500" w:lineRule="exact"/>
              <w:ind w:left="0" w:right="0" w:firstLine="0" w:firstLineChars="0"/>
              <w:jc w:val="left"/>
              <w:textAlignment w:val="center"/>
              <w:rPr>
                <w:rFonts w:hint="default" w:ascii="仿宋" w:hAnsi="仿宋" w:eastAsia="仿宋" w:cs="仿宋"/>
                <w:color w:val="auto"/>
                <w:kern w:val="0"/>
                <w:sz w:val="32"/>
                <w:szCs w:val="32"/>
              </w:rPr>
            </w:pPr>
            <w:r>
              <w:rPr>
                <w:rFonts w:hint="eastAsia" w:ascii="仿宋" w:hAnsi="仿宋" w:eastAsia="仿宋" w:cs="仿宋"/>
                <w:color w:val="auto"/>
                <w:kern w:val="0"/>
                <w:sz w:val="32"/>
                <w:szCs w:val="32"/>
              </w:rPr>
              <w:t>2.近三年内（成立时间不足三年的、自成立时间起），在经营活动中没有重大违法记录，提供声明函原件（详见附件3，重大违法记录是指供应商因违法经营受到刑事处罚或责令停产停业、吊销许可证或者执照、较大数额等行政处罚）。</w:t>
            </w:r>
          </w:p>
          <w:p w14:paraId="0557CCAE">
            <w:pPr>
              <w:pStyle w:val="31"/>
              <w:keepNext w:val="0"/>
              <w:keepLines w:val="0"/>
              <w:widowControl/>
              <w:suppressLineNumbers w:val="0"/>
              <w:adjustRightInd w:val="0"/>
              <w:snapToGrid w:val="0"/>
              <w:spacing w:before="0" w:beforeAutospacing="0" w:after="0" w:afterAutospacing="0" w:line="500" w:lineRule="exact"/>
              <w:ind w:left="0" w:right="0"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3.未被“信用中国”网站。（www.creditchina.gov.cn）列入失信被执行人、重大税收违法案件当事人名单、政府采购严重失信行为记录名单或信用报告（提供网上截图</w:t>
            </w:r>
            <w:r>
              <w:rPr>
                <w:rFonts w:hint="eastAsia" w:ascii="仿宋" w:hAnsi="仿宋" w:eastAsia="仿宋" w:cs="仿宋"/>
                <w:color w:val="auto"/>
                <w:sz w:val="31"/>
                <w:szCs w:val="31"/>
                <w:shd w:val="clear" w:color="auto" w:fill="FFFFFF"/>
              </w:rPr>
              <w:t>加盖公章</w:t>
            </w:r>
            <w:r>
              <w:rPr>
                <w:rFonts w:hint="eastAsia" w:ascii="仿宋" w:hAnsi="仿宋" w:eastAsia="仿宋" w:cs="仿宋"/>
                <w:color w:val="auto"/>
                <w:kern w:val="0"/>
                <w:sz w:val="32"/>
                <w:szCs w:val="32"/>
              </w:rPr>
              <w:t>）。</w:t>
            </w:r>
          </w:p>
          <w:p w14:paraId="341AA316">
            <w:pPr>
              <w:pStyle w:val="31"/>
              <w:keepNext w:val="0"/>
              <w:keepLines w:val="0"/>
              <w:widowControl/>
              <w:suppressLineNumbers w:val="0"/>
              <w:adjustRightInd w:val="0"/>
              <w:snapToGrid w:val="0"/>
              <w:spacing w:before="0" w:beforeAutospacing="0" w:after="0" w:afterAutospacing="0" w:line="500" w:lineRule="exact"/>
              <w:ind w:left="0" w:right="0" w:firstLine="0" w:firstLineChars="0"/>
              <w:jc w:val="left"/>
              <w:textAlignment w:val="center"/>
              <w:rPr>
                <w:rFonts w:hint="default"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.本项目不接受联合体参与报价，成交后不允许转包，提交承诺函。</w:t>
            </w:r>
          </w:p>
        </w:tc>
        <w:tc>
          <w:tcPr>
            <w:tcW w:w="2211" w:type="dxa"/>
            <w:vAlign w:val="center"/>
          </w:tcPr>
          <w:p w14:paraId="3A0A0ED7">
            <w:pPr>
              <w:keepNext w:val="0"/>
              <w:keepLines w:val="0"/>
              <w:suppressLineNumbers w:val="0"/>
              <w:adjustRightInd w:val="0"/>
              <w:snapToGrid w:val="0"/>
              <w:spacing w:before="0" w:beforeAutospacing="0" w:after="0" w:afterAutospacing="0" w:line="520" w:lineRule="exact"/>
              <w:ind w:left="0" w:right="0"/>
              <w:jc w:val="center"/>
              <w:rPr>
                <w:rFonts w:hint="default" w:ascii="仿宋" w:hAnsi="仿宋" w:eastAsia="仿宋" w:cs="仿宋"/>
                <w:color w:val="auto"/>
                <w:sz w:val="32"/>
                <w:szCs w:val="32"/>
              </w:rPr>
            </w:pP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元</w:t>
            </w:r>
          </w:p>
        </w:tc>
      </w:tr>
    </w:tbl>
    <w:p w14:paraId="57C1953B">
      <w:pPr>
        <w:bidi w:val="0"/>
        <w:sectPr>
          <w:headerReference r:id="rId7" w:type="first"/>
          <w:footerReference r:id="rId9" w:type="first"/>
          <w:headerReference r:id="rId6" w:type="default"/>
          <w:footerReference r:id="rId8" w:type="default"/>
          <w:pgSz w:w="11906" w:h="16838"/>
          <w:pgMar w:top="1440" w:right="1587" w:bottom="1440" w:left="1587" w:header="851" w:footer="992" w:gutter="0"/>
          <w:pgNumType w:fmt="numberInDash" w:start="1"/>
          <w:cols w:space="425" w:num="1"/>
          <w:titlePg/>
          <w:docGrid w:type="lines" w:linePitch="312" w:charSpace="0"/>
        </w:sectPr>
      </w:pPr>
    </w:p>
    <w:p w14:paraId="171C8E8E">
      <w:pPr>
        <w:adjustRightInd w:val="0"/>
        <w:snapToGrid w:val="0"/>
        <w:spacing w:line="560" w:lineRule="exact"/>
        <w:jc w:val="left"/>
        <w:rPr>
          <w:rFonts w:hint="eastAsia" w:ascii="黑体" w:hAnsi="黑体" w:eastAsia="黑体" w:cs="黑体"/>
          <w:sz w:val="32"/>
          <w:szCs w:val="32"/>
        </w:rPr>
      </w:pPr>
      <w:r>
        <w:rPr>
          <w:rFonts w:hint="eastAsia" w:ascii="黑体" w:hAnsi="黑体" w:eastAsia="黑体" w:cs="黑体"/>
          <w:sz w:val="32"/>
          <w:szCs w:val="32"/>
        </w:rPr>
        <w:t>四、投标人须知</w:t>
      </w:r>
    </w:p>
    <w:p w14:paraId="5E71DD3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1.报名时间：2025年</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19</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00</w:t>
      </w:r>
      <w:r>
        <w:rPr>
          <w:rFonts w:hint="eastAsia" w:ascii="仿宋" w:hAnsi="仿宋" w:eastAsia="仿宋" w:cs="仿宋"/>
          <w:color w:val="auto"/>
          <w:sz w:val="32"/>
          <w:szCs w:val="32"/>
          <w:highlight w:val="none"/>
        </w:rPr>
        <w:t>分至2025年</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25</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分（北京时间，法定节假日除外），逾期不再受理。</w:t>
      </w:r>
    </w:p>
    <w:p w14:paraId="249C83BA">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472E1570">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3.采购文件获取方式：海南卫生健康职业学院官方网站（https://www.hnhvc.edu.cn/1036/list.htm）自行下载。</w:t>
      </w:r>
    </w:p>
    <w:p w14:paraId="51781637">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4.递交报价文件时间及地点：</w:t>
      </w:r>
    </w:p>
    <w:p w14:paraId="4435985D">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4.1 时间：报价文件递交截止时间2025年</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26</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eastAsia="zh-CN"/>
        </w:rPr>
        <w:t>上</w:t>
      </w:r>
      <w:r>
        <w:rPr>
          <w:rFonts w:hint="eastAsia" w:ascii="仿宋" w:hAnsi="仿宋" w:eastAsia="仿宋" w:cs="仿宋"/>
          <w:color w:val="auto"/>
          <w:sz w:val="32"/>
          <w:szCs w:val="32"/>
          <w:highlight w:val="none"/>
        </w:rPr>
        <w:t>午</w:t>
      </w:r>
      <w:r>
        <w:rPr>
          <w:rFonts w:hint="eastAsia" w:ascii="仿宋" w:hAnsi="仿宋" w:eastAsia="仿宋" w:cs="仿宋"/>
          <w:color w:val="auto"/>
          <w:sz w:val="32"/>
          <w:szCs w:val="32"/>
          <w:highlight w:val="none"/>
          <w:lang w:val="en-US" w:eastAsia="zh-CN"/>
        </w:rPr>
        <w:t xml:space="preserve">9 </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分</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前（北京时间），逾期未提交报价文件者视为自动放弃本项目报价资格。</w:t>
      </w:r>
    </w:p>
    <w:p w14:paraId="1150A549">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4.2 地址：</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color w:val="auto"/>
          <w:sz w:val="32"/>
          <w:szCs w:val="32"/>
          <w:highlight w:val="none"/>
        </w:rPr>
        <w:t>。</w:t>
      </w:r>
    </w:p>
    <w:p w14:paraId="176044C6">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5.开标时间及地点：</w:t>
      </w:r>
    </w:p>
    <w:p w14:paraId="2EB4108F">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5.1 时间：2025年</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26</w:t>
      </w:r>
      <w:bookmarkStart w:id="105" w:name="_GoBack"/>
      <w:bookmarkEnd w:id="105"/>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eastAsia="zh-CN"/>
        </w:rPr>
        <w:t>上</w:t>
      </w:r>
      <w:r>
        <w:rPr>
          <w:rFonts w:hint="eastAsia" w:ascii="仿宋" w:hAnsi="仿宋" w:eastAsia="仿宋" w:cs="仿宋"/>
          <w:color w:val="auto"/>
          <w:sz w:val="32"/>
          <w:szCs w:val="32"/>
          <w:highlight w:val="none"/>
        </w:rPr>
        <w:t>午</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分前（北京时间）；</w:t>
      </w:r>
    </w:p>
    <w:p w14:paraId="59AE0F83">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color w:val="auto"/>
          <w:sz w:val="32"/>
          <w:szCs w:val="32"/>
          <w:highlight w:val="none"/>
        </w:rPr>
        <w:t>5.2 地点：</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75EDE895">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6.报价要求及成交原则：</w:t>
      </w:r>
    </w:p>
    <w:p w14:paraId="724FD45C">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r>
        <w:rPr>
          <w:rFonts w:hint="eastAsia" w:ascii="仿宋" w:hAnsi="仿宋" w:eastAsia="仿宋" w:cs="仿宋"/>
          <w:sz w:val="32"/>
          <w:szCs w:val="32"/>
          <w:lang w:eastAsia="zh-CN"/>
        </w:rPr>
        <w:t>（本项目需要二次报价）</w:t>
      </w:r>
      <w:r>
        <w:rPr>
          <w:rFonts w:hint="eastAsia" w:ascii="仿宋" w:hAnsi="仿宋" w:eastAsia="仿宋" w:cs="仿宋"/>
          <w:sz w:val="32"/>
          <w:szCs w:val="32"/>
        </w:rPr>
        <w:t>。</w:t>
      </w:r>
    </w:p>
    <w:p w14:paraId="0DDF2559">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6.2 成交原则：在符合本项目采购需求、质量和服务的前提下，综合得分最高的供应商为第一成交候选供应商,允许现场二次报价，供应商报价和承诺一经认可，即为成交的合同价。中标结果请关注学校官方网站。</w:t>
      </w:r>
    </w:p>
    <w:p w14:paraId="7F4248E1">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2ABAE15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7.报价文件编制要求：</w:t>
      </w:r>
    </w:p>
    <w:p w14:paraId="70B39380">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7.1 本项目相关的资质证明材料；</w:t>
      </w:r>
    </w:p>
    <w:p w14:paraId="77987AAD">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230E84B9">
      <w:pPr>
        <w:adjustRightInd w:val="0"/>
        <w:snapToGrid w:val="0"/>
        <w:spacing w:line="560" w:lineRule="exact"/>
        <w:ind w:firstLine="640" w:firstLineChars="200"/>
        <w:rPr>
          <w:rFonts w:ascii="仿宋" w:hAnsi="仿宋" w:cs="仿宋"/>
          <w:sz w:val="32"/>
          <w:szCs w:val="32"/>
        </w:rPr>
      </w:pPr>
      <w:r>
        <w:rPr>
          <w:rFonts w:hint="eastAsia" w:ascii="仿宋" w:hAnsi="仿宋" w:eastAsia="仿宋" w:cs="仿宋"/>
          <w:sz w:val="32"/>
          <w:szCs w:val="32"/>
        </w:rPr>
        <w:t>7.3报价文件应用不褪色的材料书写或打印。并由供应商法定代表人或其授权代表在响应文件相应位置签字及加盖公章，正本须逐页/面盖章，副本可以是正本的复印件，正本及副本胶装成册后均加盖骑缝章。响应文件未密封完好，签署、盖章不符合磋商文件的要求，采购人有权按无效响应处理。磋商现场供应商代表需携带本人身份证件原件以核验身份。</w:t>
      </w:r>
    </w:p>
    <w:p w14:paraId="5B2703B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69147C22">
      <w:pPr>
        <w:adjustRightInd w:val="0"/>
        <w:snapToGrid w:val="0"/>
        <w:spacing w:line="540" w:lineRule="exact"/>
        <w:ind w:firstLine="640" w:firstLineChars="200"/>
        <w:rPr>
          <w:rFonts w:ascii="仿宋" w:hAnsi="仿宋" w:eastAsia="仿宋" w:cs="仿宋"/>
          <w:sz w:val="32"/>
          <w:szCs w:val="32"/>
        </w:rPr>
      </w:pPr>
      <w:r>
        <w:rPr>
          <w:rFonts w:hint="eastAsia" w:ascii="黑体" w:hAnsi="黑体" w:eastAsia="黑体" w:cs="黑体"/>
          <w:sz w:val="32"/>
          <w:szCs w:val="32"/>
        </w:rPr>
        <w:t xml:space="preserve">五、联系方式 </w:t>
      </w:r>
      <w:r>
        <w:rPr>
          <w:rFonts w:hint="eastAsia" w:ascii="仿宋" w:hAnsi="仿宋" w:eastAsia="仿宋" w:cs="仿宋"/>
          <w:sz w:val="32"/>
          <w:szCs w:val="32"/>
        </w:rPr>
        <w:t xml:space="preserve">  </w:t>
      </w:r>
    </w:p>
    <w:p w14:paraId="644B4E6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联系人：凌老师</w:t>
      </w:r>
    </w:p>
    <w:p w14:paraId="7C110441">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电话：0898-68642247、0898-68662169   </w:t>
      </w:r>
    </w:p>
    <w:p w14:paraId="3E1AF325">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邮箱：hnwjy0898@163.com</w:t>
      </w:r>
    </w:p>
    <w:p w14:paraId="29C1402B">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4F710846">
      <w:pPr>
        <w:rPr>
          <w:rFonts w:ascii="仿宋" w:hAnsi="仿宋" w:eastAsia="仿宋" w:cs="仿宋"/>
          <w:sz w:val="44"/>
          <w:szCs w:val="44"/>
        </w:rPr>
      </w:pPr>
      <w:bookmarkStart w:id="14" w:name="_Toc356491306"/>
      <w:r>
        <w:rPr>
          <w:rFonts w:hint="eastAsia" w:ascii="仿宋" w:hAnsi="仿宋" w:eastAsia="仿宋" w:cs="仿宋"/>
        </w:rPr>
        <w:br w:type="page"/>
      </w:r>
      <w:bookmarkStart w:id="15" w:name="_Toc29613"/>
      <w:bookmarkStart w:id="16" w:name="_Toc40089789"/>
    </w:p>
    <w:p w14:paraId="20FCF61B">
      <w:pPr>
        <w:pStyle w:val="3"/>
        <w:adjustRightInd w:val="0"/>
        <w:snapToGrid w:val="0"/>
        <w:spacing w:line="560" w:lineRule="exact"/>
        <w:rPr>
          <w:rFonts w:ascii="仿宋" w:hAnsi="仿宋" w:eastAsia="仿宋" w:cs="仿宋"/>
          <w:sz w:val="44"/>
        </w:rPr>
      </w:pPr>
      <w:bookmarkStart w:id="17" w:name="_Toc22920"/>
      <w:r>
        <w:rPr>
          <w:rFonts w:hint="eastAsia" w:ascii="仿宋" w:hAnsi="仿宋" w:eastAsia="仿宋" w:cs="仿宋"/>
          <w:sz w:val="44"/>
        </w:rPr>
        <w:t>第二部分 供应商须知</w:t>
      </w:r>
      <w:bookmarkEnd w:id="17"/>
    </w:p>
    <w:p w14:paraId="698BB1C8">
      <w:pPr>
        <w:adjustRightInd w:val="0"/>
        <w:snapToGrid w:val="0"/>
        <w:spacing w:line="560" w:lineRule="exact"/>
        <w:ind w:firstLine="640" w:firstLineChars="200"/>
        <w:rPr>
          <w:rFonts w:hint="eastAsia" w:ascii="黑体" w:hAnsi="黑体" w:eastAsia="黑体" w:cs="黑体"/>
          <w:sz w:val="32"/>
          <w:szCs w:val="32"/>
        </w:rPr>
      </w:pPr>
      <w:bookmarkStart w:id="18" w:name="_Toc29040"/>
      <w:bookmarkStart w:id="19" w:name="_Toc325620714"/>
      <w:bookmarkStart w:id="20" w:name="_Toc332979555"/>
      <w:r>
        <w:rPr>
          <w:rFonts w:hint="eastAsia" w:ascii="黑体" w:hAnsi="黑体" w:eastAsia="黑体" w:cs="黑体"/>
          <w:sz w:val="32"/>
          <w:szCs w:val="32"/>
        </w:rPr>
        <w:t>一、开标</w:t>
      </w:r>
      <w:bookmarkEnd w:id="18"/>
      <w:bookmarkEnd w:id="19"/>
      <w:bookmarkEnd w:id="20"/>
    </w:p>
    <w:p w14:paraId="4293B06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1.按照磋商文件规定的时间、地点开标。开标由采购人主持，供应商和有关方面的代表参加。供应商法定代表人或其授权代理人应参加并签名报到以证明其出席。</w:t>
      </w:r>
    </w:p>
    <w:p w14:paraId="238C44A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2.开标时，由供应商或者其推选的代表检查响应文件的密封情况。</w:t>
      </w:r>
    </w:p>
    <w:p w14:paraId="2CCD1D78">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3.工作人员当众拆封，宣读供应商名称、投标价格和响应文件的其他主要内容。采购人在磋商文件要求提交响应文件的截止时间前收到的所有响应文件，开标时当众予以拆封、宣读。</w:t>
      </w:r>
    </w:p>
    <w:p w14:paraId="55749D7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4.记录员将唱价内容记录并由供应商法定代表人或授权代理人签字确认。</w:t>
      </w:r>
    </w:p>
    <w:p w14:paraId="52C57728">
      <w:pPr>
        <w:adjustRightInd w:val="0"/>
        <w:snapToGrid w:val="0"/>
        <w:spacing w:line="560" w:lineRule="exact"/>
        <w:ind w:firstLine="640" w:firstLineChars="200"/>
        <w:rPr>
          <w:rFonts w:hint="eastAsia" w:ascii="黑体" w:hAnsi="黑体" w:eastAsia="黑体" w:cs="黑体"/>
          <w:sz w:val="32"/>
          <w:szCs w:val="32"/>
        </w:rPr>
      </w:pPr>
      <w:bookmarkStart w:id="21" w:name="_Toc27176"/>
      <w:bookmarkStart w:id="22" w:name="_Toc332979556"/>
      <w:bookmarkStart w:id="23" w:name="_Toc325620715"/>
      <w:r>
        <w:rPr>
          <w:rFonts w:hint="eastAsia" w:ascii="黑体" w:hAnsi="黑体" w:eastAsia="黑体" w:cs="黑体"/>
          <w:sz w:val="32"/>
          <w:szCs w:val="32"/>
        </w:rPr>
        <w:t>二、</w:t>
      </w:r>
      <w:bookmarkEnd w:id="21"/>
      <w:bookmarkEnd w:id="22"/>
      <w:bookmarkEnd w:id="23"/>
      <w:r>
        <w:rPr>
          <w:rFonts w:hint="eastAsia" w:ascii="黑体" w:hAnsi="黑体" w:eastAsia="黑体" w:cs="黑体"/>
          <w:sz w:val="32"/>
          <w:szCs w:val="32"/>
        </w:rPr>
        <w:t>磋商小组</w:t>
      </w:r>
    </w:p>
    <w:p w14:paraId="5DCE2EB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本项目将根据项目特点组成磋商小组，其成员由学校推荐专家、采购人代表、法务等组成，磋商小组负责对响应文件进行审查、质疑、评审，推荐成交候选供应商。</w:t>
      </w:r>
    </w:p>
    <w:p w14:paraId="7F62BD87">
      <w:pPr>
        <w:adjustRightInd w:val="0"/>
        <w:snapToGrid w:val="0"/>
        <w:spacing w:line="560" w:lineRule="exact"/>
        <w:ind w:firstLine="640" w:firstLineChars="200"/>
        <w:rPr>
          <w:rFonts w:hint="eastAsia" w:ascii="黑体" w:hAnsi="黑体" w:eastAsia="黑体" w:cs="黑体"/>
          <w:sz w:val="32"/>
          <w:szCs w:val="32"/>
        </w:rPr>
      </w:pPr>
      <w:bookmarkStart w:id="24" w:name="_Toc332979557"/>
      <w:bookmarkStart w:id="25" w:name="_Toc325620716"/>
      <w:bookmarkStart w:id="26" w:name="_Toc27961"/>
      <w:r>
        <w:rPr>
          <w:rFonts w:hint="eastAsia" w:ascii="黑体" w:hAnsi="黑体" w:eastAsia="黑体" w:cs="黑体"/>
          <w:sz w:val="32"/>
          <w:szCs w:val="32"/>
        </w:rPr>
        <w:t>三、评审原则</w:t>
      </w:r>
      <w:bookmarkEnd w:id="24"/>
      <w:bookmarkEnd w:id="25"/>
      <w:bookmarkEnd w:id="26"/>
    </w:p>
    <w:p w14:paraId="0C6895F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“公平、公正、择优、效益”为本次招标的基本原则，磋商小组按照这一原则的要求，公正、平等地对待各供应商。同时，在评审过程中恪守以下原则：</w:t>
      </w:r>
    </w:p>
    <w:p w14:paraId="005CF205">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1.客观性原则：磋商小组将严格按照磋商文件要求的内容，对供应商的响应文件进行认真评审；磋商小组对响应文件的评审仅依据响应文件本身，而不依靠响应文件以外的任何因素；</w:t>
      </w:r>
    </w:p>
    <w:p w14:paraId="3B609D4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2.统一性原则：磋商小组将按照统一的原则和方法，对各供应商的响应文件进行评审；</w:t>
      </w:r>
    </w:p>
    <w:p w14:paraId="261D95B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3.独立性原则：评标工作在磋商小组内部独立进行，不受外界任何因素的干扰和影响，磋商小组成员对出具的专家意见承担个人责任；</w:t>
      </w:r>
    </w:p>
    <w:p w14:paraId="1FB4C8D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4.保密性原则：磋商小组成员及有关工作人员将保守供应商的商业秘密；</w:t>
      </w:r>
    </w:p>
    <w:p w14:paraId="1F87498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5.综合性原则：磋商小组将综合分析评审供应商的各项指标，而不以单项指标的优劣评定中标人；</w:t>
      </w:r>
    </w:p>
    <w:p w14:paraId="27EF4B59">
      <w:pPr>
        <w:adjustRightInd w:val="0"/>
        <w:snapToGrid w:val="0"/>
        <w:spacing w:line="560" w:lineRule="exact"/>
        <w:ind w:firstLine="640" w:firstLineChars="200"/>
        <w:rPr>
          <w:rFonts w:hint="eastAsia" w:ascii="黑体" w:hAnsi="黑体" w:eastAsia="黑体" w:cs="黑体"/>
          <w:sz w:val="32"/>
          <w:szCs w:val="32"/>
        </w:rPr>
      </w:pPr>
      <w:bookmarkStart w:id="27" w:name="_Toc332979558"/>
      <w:bookmarkStart w:id="28" w:name="_Toc325620717"/>
      <w:bookmarkStart w:id="29" w:name="_Toc9800"/>
      <w:r>
        <w:rPr>
          <w:rFonts w:hint="eastAsia" w:ascii="黑体" w:hAnsi="黑体" w:eastAsia="黑体" w:cs="黑体"/>
          <w:sz w:val="32"/>
          <w:szCs w:val="32"/>
        </w:rPr>
        <w:t>四、</w:t>
      </w:r>
      <w:bookmarkEnd w:id="27"/>
      <w:bookmarkEnd w:id="28"/>
      <w:bookmarkEnd w:id="29"/>
      <w:r>
        <w:rPr>
          <w:rFonts w:hint="eastAsia" w:ascii="黑体" w:hAnsi="黑体" w:eastAsia="黑体" w:cs="黑体"/>
          <w:sz w:val="32"/>
          <w:szCs w:val="32"/>
        </w:rPr>
        <w:t>磋商程序</w:t>
      </w:r>
    </w:p>
    <w:p w14:paraId="4A7FE626">
      <w:pPr>
        <w:adjustRightInd w:val="0"/>
        <w:snapToGrid w:val="0"/>
        <w:spacing w:line="560" w:lineRule="exact"/>
        <w:ind w:firstLine="640" w:firstLineChars="200"/>
        <w:rPr>
          <w:rFonts w:ascii="仿宋" w:hAnsi="仿宋" w:eastAsia="仿宋" w:cs="仿宋"/>
          <w:sz w:val="32"/>
          <w:szCs w:val="32"/>
        </w:rPr>
      </w:pPr>
      <w:bookmarkStart w:id="30" w:name="_Toc325620718"/>
      <w:r>
        <w:rPr>
          <w:rFonts w:hint="eastAsia" w:ascii="仿宋" w:hAnsi="仿宋" w:eastAsia="仿宋" w:cs="仿宋"/>
          <w:sz w:val="32"/>
          <w:szCs w:val="32"/>
        </w:rPr>
        <w:t>1.公开内容：采购人将对所有参与磋商的供应商的资料内容进行公开唱标（不包括报价）。</w:t>
      </w:r>
    </w:p>
    <w:p w14:paraId="602A9735">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资格审查：磋商小组对供应商进行资格审查、审查供应商是否按磋商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035A7BE4">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（1）供应商提供的有关资格、资质证明文件不真实或提供虚假材料；</w:t>
      </w:r>
    </w:p>
    <w:p w14:paraId="2FCEBEC0">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（2）供应商未按磋商文件要求装订的；</w:t>
      </w:r>
    </w:p>
    <w:p w14:paraId="0F2A52E8">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（3）在整个磋商过程中，供应商有企图影响采购结果公正性的任何活动；</w:t>
      </w:r>
    </w:p>
    <w:p w14:paraId="3C82ADA0">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（4）供应商以任何方式诋毁其他供应商；</w:t>
      </w:r>
    </w:p>
    <w:p w14:paraId="28E4F063">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（5）供应商串通报价；</w:t>
      </w:r>
    </w:p>
    <w:p w14:paraId="6C8843E4">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（6）以他人名义报价或者以其他方式弄虚作假，骗取成交；</w:t>
      </w:r>
    </w:p>
    <w:p w14:paraId="61C7FF8C">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（7）成交供应商不按要求签订合同；</w:t>
      </w:r>
    </w:p>
    <w:p w14:paraId="49C613DF">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（8）提供多个报价方案的；</w:t>
      </w:r>
    </w:p>
    <w:p w14:paraId="17C374D5">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（9）供应商必须明确所报产品的品牌、型号及规格参数，描述不清楚的视为无效报价；</w:t>
      </w:r>
    </w:p>
    <w:p w14:paraId="0D2BCCAB">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（10）法律、法规规定的其他情况。</w:t>
      </w:r>
    </w:p>
    <w:p w14:paraId="20367EE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资格审查合格供应商按照报名顺序或签到顺序确定磋商顺序。</w:t>
      </w:r>
    </w:p>
    <w:p w14:paraId="6A8C5A4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磋商：磋商小组所有成员集中与单一供应商进行一对一的报价。在磋商中，报价的任何一方不得透露与报价有关的其他供应商的技术资料、价格和其他信息。响应文件有实质性变动时（仅包括采购需求中的技术、服务要求以及合同草案条款），磋商小组以书面形式通知所有参加磋商的供应商。</w:t>
      </w:r>
    </w:p>
    <w:p w14:paraId="6C3EB43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在报价范围及技术要求不变的前提下，最终报价不得高于初始报价，否则按照无效报价处理。磋商重点：主要针对供应商所投货物性能特点、质量等是否满足采购人的要求进行报价。</w:t>
      </w:r>
    </w:p>
    <w:p w14:paraId="1EACCF6D">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（1）供应商所报货物的性能特点、质量；</w:t>
      </w:r>
    </w:p>
    <w:p w14:paraId="66C660CC">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（2）商务条款的陈述；</w:t>
      </w:r>
    </w:p>
    <w:p w14:paraId="522D455E">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（3）专家针对各供应商响应文件对磋商文件的响应情况提问；</w:t>
      </w:r>
    </w:p>
    <w:p w14:paraId="538C255D">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磋商结束后，磋商小组要求所有参加报价的供应商在规定的时间内进行最后报价及有关承诺。如果报价过程未对文件做实质性变动，供应商的最后报价不得高于其初始报价。</w:t>
      </w:r>
    </w:p>
    <w:p w14:paraId="620E5CC6">
      <w:pPr>
        <w:numPr>
          <w:ilvl w:val="0"/>
          <w:numId w:val="4"/>
        </w:num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如出现</w:t>
      </w:r>
      <w:r>
        <w:rPr>
          <w:rFonts w:hint="eastAsia" w:ascii="仿宋" w:hAnsi="仿宋" w:eastAsia="仿宋" w:cs="仿宋"/>
          <w:sz w:val="32"/>
          <w:szCs w:val="32"/>
          <w:lang w:val="en-US" w:eastAsia="zh-CN"/>
        </w:rPr>
        <w:t>投标单位不足三家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项目流标，为了项目能够顺利进行下去，项目有两家单位的投标符合要求，招标项目仍按计划继续进行。</w:t>
      </w:r>
    </w:p>
    <w:p w14:paraId="7D942A88">
      <w:pPr>
        <w:numPr>
          <w:ilvl w:val="0"/>
          <w:numId w:val="0"/>
        </w:num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）禁止供应商相互串通报价：</w:t>
      </w:r>
    </w:p>
    <w:p w14:paraId="0AB54E8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有下列情形之一的，属于供应商相互串通报价：</w:t>
      </w:r>
    </w:p>
    <w:p w14:paraId="02EC8E7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1）供应商之间协商报价等响应文件的实质性内容；</w:t>
      </w:r>
    </w:p>
    <w:p w14:paraId="4B0E1EF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2）供应商之间约定成交供应商；</w:t>
      </w:r>
    </w:p>
    <w:p w14:paraId="658A694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3）供应商之间约定部分供应商放弃报价或者成交；</w:t>
      </w:r>
    </w:p>
    <w:p w14:paraId="7A531F3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4）属于同一集团、协会、商会等组织成员的供应商按照该组织要求协同报价；</w:t>
      </w:r>
    </w:p>
    <w:p w14:paraId="365FC01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5）供应商之间为谋取成交或者排斥特定供应商而采取的其他联合行动。</w:t>
      </w:r>
    </w:p>
    <w:p w14:paraId="1E3343A1">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）有下列情形之一的，视为供应商相互串通报价：</w:t>
      </w:r>
    </w:p>
    <w:p w14:paraId="787B3EE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1）不同供应商的响应文件由同一单位或者个人编制；</w:t>
      </w:r>
    </w:p>
    <w:p w14:paraId="77CF8E9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2）不同供应商委托同一单位或者个人办理报价事宜；</w:t>
      </w:r>
    </w:p>
    <w:p w14:paraId="0D74AB1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3）不同供应商的响应文件载明的项目管理成员为同一人；</w:t>
      </w:r>
    </w:p>
    <w:p w14:paraId="0225E761">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4）不同供应商的响应文件异常一致或者报价呈规律性差异；</w:t>
      </w:r>
    </w:p>
    <w:p w14:paraId="22EE12E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5）不同供应商的响应文件相互混装；</w:t>
      </w:r>
    </w:p>
    <w:p w14:paraId="43AE0D62">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）弄虚作假的行为：</w:t>
      </w:r>
    </w:p>
    <w:p w14:paraId="660B66A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使用通过受让或者租借等方式获取资格、资质证书报价的。</w:t>
      </w:r>
    </w:p>
    <w:p w14:paraId="4515A515">
      <w:pPr>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以其他方式弄虚作假的行为：</w:t>
      </w:r>
    </w:p>
    <w:p w14:paraId="5415251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1）使用伪造、变造的许可证件；</w:t>
      </w:r>
    </w:p>
    <w:p w14:paraId="35F3A03D">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2）提供虚假的财务状况或者业绩；</w:t>
      </w:r>
    </w:p>
    <w:p w14:paraId="6B790341">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3）提供虚假的项目负责人或者主要技术人员简历、劳动关系证明；</w:t>
      </w:r>
    </w:p>
    <w:p w14:paraId="70AB91F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4）提供虚假的信用状况；</w:t>
      </w:r>
    </w:p>
    <w:p w14:paraId="141CBEED">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5）其他弄虚作假的行为。</w:t>
      </w:r>
    </w:p>
    <w:p w14:paraId="401ACEDD">
      <w:pPr>
        <w:adjustRightInd w:val="0"/>
        <w:snapToGrid w:val="0"/>
        <w:spacing w:line="560" w:lineRule="exact"/>
        <w:ind w:firstLine="640" w:firstLineChars="200"/>
        <w:rPr>
          <w:rFonts w:hint="eastAsia" w:ascii="黑体" w:hAnsi="黑体" w:eastAsia="黑体" w:cs="黑体"/>
          <w:sz w:val="32"/>
          <w:szCs w:val="32"/>
        </w:rPr>
      </w:pPr>
      <w:bookmarkStart w:id="31" w:name="_Toc22147"/>
      <w:bookmarkStart w:id="32" w:name="_Toc332979559"/>
      <w:r>
        <w:rPr>
          <w:rFonts w:hint="eastAsia" w:ascii="黑体" w:hAnsi="黑体" w:eastAsia="黑体" w:cs="黑体"/>
          <w:sz w:val="32"/>
          <w:szCs w:val="32"/>
        </w:rPr>
        <w:t>五、废标</w:t>
      </w:r>
      <w:bookmarkEnd w:id="30"/>
      <w:bookmarkEnd w:id="31"/>
      <w:bookmarkEnd w:id="32"/>
    </w:p>
    <w:p w14:paraId="5358C64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在招标采购中，出现下列情形之一的，应予废标：</w:t>
      </w:r>
    </w:p>
    <w:p w14:paraId="59D94067">
      <w:pPr>
        <w:adjustRightInd w:val="0"/>
        <w:snapToGrid w:val="0"/>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1.符合专业条件的供应商或者对磋商文件作实质响应的供应商不足三家的；</w:t>
      </w:r>
    </w:p>
    <w:p w14:paraId="236F1DD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2.出现影响采购公正的违法、违规行为的；</w:t>
      </w:r>
    </w:p>
    <w:p w14:paraId="49A2631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3.供应商的报价均超过了预算金额（备注：设定最高限价的，本项内容改为最高限价），招标人不能支付的；</w:t>
      </w:r>
    </w:p>
    <w:p w14:paraId="66811D8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4.因重大变故，采购任务取消的；</w:t>
      </w:r>
    </w:p>
    <w:p w14:paraId="517267A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06D013B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0235CAF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7.供应商（投标人）之间存在关联关系采购人有权根据学校采购有关规定取消其投标（或取消其提交响应文件），由此产生的一切后果均由相关供应商（投标人）承担。</w:t>
      </w:r>
    </w:p>
    <w:p w14:paraId="6F6A4E8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8.法律、法规规定的其他情况。</w:t>
      </w:r>
    </w:p>
    <w:p w14:paraId="2E17818B">
      <w:pPr>
        <w:adjustRightInd w:val="0"/>
        <w:snapToGrid w:val="0"/>
        <w:spacing w:line="560" w:lineRule="exact"/>
        <w:ind w:firstLine="640" w:firstLineChars="200"/>
        <w:rPr>
          <w:rFonts w:hint="eastAsia" w:ascii="黑体" w:hAnsi="黑体" w:eastAsia="黑体" w:cs="黑体"/>
          <w:sz w:val="32"/>
          <w:szCs w:val="32"/>
        </w:rPr>
      </w:pPr>
      <w:bookmarkStart w:id="33" w:name="_Toc3341"/>
      <w:bookmarkStart w:id="34" w:name="_Toc325620719"/>
      <w:bookmarkStart w:id="35" w:name="_Toc332979560"/>
      <w:r>
        <w:rPr>
          <w:rFonts w:hint="eastAsia" w:ascii="黑体" w:hAnsi="黑体" w:eastAsia="黑体" w:cs="黑体"/>
          <w:sz w:val="32"/>
          <w:szCs w:val="32"/>
        </w:rPr>
        <w:t>六、中标通知书</w:t>
      </w:r>
      <w:bookmarkEnd w:id="33"/>
      <w:bookmarkEnd w:id="34"/>
      <w:bookmarkEnd w:id="35"/>
    </w:p>
    <w:p w14:paraId="042BBFE1">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1.评标结束后，由采购人即日向中标人签发《中标通知书》。</w:t>
      </w:r>
    </w:p>
    <w:p w14:paraId="22110DA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2.中标人收到中标通知书后，应于指定的时间、地点与招标人签订采购合同。</w:t>
      </w:r>
    </w:p>
    <w:p w14:paraId="3F1DEEE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3.磋商文件及其补充、中标人的报价文件及澄清文件等，均为签订合同的依据。</w:t>
      </w:r>
    </w:p>
    <w:p w14:paraId="05DA7D35">
      <w:pPr>
        <w:adjustRightInd w:val="0"/>
        <w:snapToGrid w:val="0"/>
        <w:spacing w:line="560" w:lineRule="exact"/>
        <w:ind w:firstLine="640" w:firstLineChars="200"/>
        <w:rPr>
          <w:rFonts w:hint="eastAsia" w:ascii="黑体" w:hAnsi="黑体" w:eastAsia="黑体" w:cs="黑体"/>
          <w:sz w:val="32"/>
          <w:szCs w:val="32"/>
        </w:rPr>
      </w:pPr>
      <w:bookmarkStart w:id="36" w:name="_Toc18290"/>
      <w:bookmarkStart w:id="37" w:name="_Toc332979561"/>
      <w:r>
        <w:rPr>
          <w:rFonts w:hint="eastAsia" w:ascii="黑体" w:hAnsi="黑体" w:eastAsia="黑体" w:cs="黑体"/>
          <w:sz w:val="32"/>
          <w:szCs w:val="32"/>
        </w:rPr>
        <w:t>七、初步评审</w:t>
      </w:r>
    </w:p>
    <w:p w14:paraId="7751C9F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进入评审程序后，磋商小组先对服务商的响应文件进行初步评审。磋商小组将根据评审办法的规定和“初步审查表”对响应文件的资格性和符合性进行评审，只有对“初步审查表”（详见初步审查表）所列各项作出实质性响应的响应文件才能通过初步评审。对是否实质性响应磋商文件的要求有争议的内容，评选委员会将以记名方式表决，得票超过半数的服务商（参与本次磋商的服务商）有资格进入下一阶段的评审，否则将被淘汰。</w:t>
      </w:r>
    </w:p>
    <w:p w14:paraId="6881DEAF">
      <w:pPr>
        <w:adjustRightInd w:val="0"/>
        <w:snapToGrid w:val="0"/>
        <w:spacing w:line="560" w:lineRule="exact"/>
        <w:ind w:firstLine="640" w:firstLineChars="200"/>
        <w:rPr>
          <w:rFonts w:hint="eastAsia" w:ascii="仿宋" w:hAnsi="仿宋" w:eastAsia="仿宋" w:cs="仿宋"/>
          <w:sz w:val="32"/>
          <w:szCs w:val="32"/>
        </w:rPr>
      </w:pPr>
    </w:p>
    <w:p w14:paraId="36C8C668">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八、决标办法</w:t>
      </w:r>
    </w:p>
    <w:p w14:paraId="689667DD">
      <w:pPr>
        <w:pStyle w:val="13"/>
        <w:spacing w:line="560" w:lineRule="exact"/>
        <w:ind w:firstLine="559"/>
        <w:rPr>
          <w:sz w:val="32"/>
          <w:szCs w:val="32"/>
        </w:rPr>
        <w:sectPr>
          <w:footerReference r:id="rId10" w:type="default"/>
          <w:pgSz w:w="11910" w:h="16840"/>
          <w:pgMar w:top="1000" w:right="1160" w:bottom="840" w:left="1300" w:header="566" w:footer="654" w:gutter="0"/>
          <w:pgNumType w:fmt="numberInDash"/>
          <w:cols w:space="720" w:num="1"/>
        </w:sectPr>
      </w:pPr>
      <w:r>
        <w:rPr>
          <w:rFonts w:hint="eastAsia" w:ascii="仿宋" w:hAnsi="仿宋" w:eastAsia="仿宋" w:cs="仿宋"/>
          <w:szCs w:val="32"/>
          <w:lang w:val="en-US" w:eastAsia="zh-CN"/>
        </w:rPr>
        <w:t>1.</w:t>
      </w:r>
      <w:r>
        <w:rPr>
          <w:rFonts w:hint="eastAsia" w:ascii="仿宋" w:hAnsi="仿宋" w:eastAsia="仿宋" w:cs="仿宋"/>
          <w:szCs w:val="32"/>
        </w:rPr>
        <w:t>本项目为磋商项目，由磋商小组采用综合评分法对所有服务商的响应文件进行综合评分，综合得分最高的供应商为第一成交候选供应商，综合得分次高的供应商为第二成交候选供应商，以此类推。</w:t>
      </w:r>
    </w:p>
    <w:p w14:paraId="2D4A59F0">
      <w:pPr>
        <w:pStyle w:val="3"/>
        <w:adjustRightInd w:val="0"/>
        <w:snapToGrid w:val="0"/>
        <w:spacing w:line="560" w:lineRule="exact"/>
        <w:jc w:val="center"/>
        <w:rPr>
          <w:rFonts w:ascii="仿宋" w:hAnsi="仿宋" w:eastAsia="仿宋" w:cs="仿宋"/>
          <w:sz w:val="44"/>
        </w:rPr>
      </w:pPr>
      <w:bookmarkStart w:id="38" w:name="_Toc19325"/>
      <w:bookmarkStart w:id="39" w:name="_Toc137754580"/>
      <w:r>
        <w:rPr>
          <w:rFonts w:hint="eastAsia" w:ascii="仿宋" w:hAnsi="仿宋" w:eastAsia="仿宋" w:cs="仿宋"/>
          <w:sz w:val="44"/>
        </w:rPr>
        <w:t>第三部分 评审办法</w:t>
      </w:r>
      <w:bookmarkEnd w:id="38"/>
      <w:bookmarkEnd w:id="39"/>
    </w:p>
    <w:p w14:paraId="2EF11EF9">
      <w:pPr>
        <w:rPr>
          <w:sz w:val="24"/>
          <w:szCs w:val="22"/>
        </w:rPr>
      </w:pPr>
    </w:p>
    <w:p w14:paraId="2B923DA4">
      <w:pPr>
        <w:widowControl/>
        <w:adjustRightInd w:val="0"/>
        <w:snapToGrid w:val="0"/>
        <w:spacing w:line="560" w:lineRule="exact"/>
        <w:ind w:firstLine="640" w:firstLineChars="200"/>
        <w:jc w:val="left"/>
        <w:rPr>
          <w:rFonts w:ascii="黑体" w:hAnsi="黑体" w:eastAsia="黑体" w:cs="黑体"/>
          <w:bCs w:val="0"/>
          <w:color w:val="000000"/>
          <w:sz w:val="32"/>
          <w:szCs w:val="32"/>
        </w:rPr>
      </w:pPr>
      <w:r>
        <w:rPr>
          <w:rFonts w:hint="eastAsia" w:ascii="黑体" w:hAnsi="黑体" w:eastAsia="黑体" w:cs="黑体"/>
          <w:bCs w:val="0"/>
          <w:color w:val="000000"/>
          <w:sz w:val="32"/>
          <w:szCs w:val="32"/>
        </w:rPr>
        <w:t>一、初步评审</w:t>
      </w:r>
    </w:p>
    <w:p w14:paraId="1C66D2F7">
      <w:pPr>
        <w:adjustRightInd w:val="0"/>
        <w:snapToGrid w:val="0"/>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进入评审程序后，磋商小组先对服务商的响应文件进行初步评审。磋商小组将根据评审办法的规定和“初步审查表”对响应文件的资格性和符合性进行评审，只有对“初步审查表”（详见初步审查表）所列各项作出实质性响应的响应文件才能通过初步评审。对是否实质性响应磋商文件的要求有争议的内容，评选委员会将以记名方式表决，得票超过半数的服务商（参与本次磋商的服务商）有资格进入下一阶段的评审，否则将被淘汰。</w:t>
      </w:r>
    </w:p>
    <w:p w14:paraId="021FE179">
      <w:pPr>
        <w:widowControl/>
        <w:adjustRightInd w:val="0"/>
        <w:snapToGrid w:val="0"/>
        <w:spacing w:line="560" w:lineRule="exact"/>
        <w:ind w:firstLine="640" w:firstLineChars="200"/>
        <w:jc w:val="left"/>
        <w:rPr>
          <w:rFonts w:ascii="黑体" w:hAnsi="黑体" w:eastAsia="黑体" w:cs="黑体"/>
          <w:bCs w:val="0"/>
          <w:color w:val="000000"/>
          <w:sz w:val="32"/>
          <w:szCs w:val="32"/>
        </w:rPr>
      </w:pPr>
      <w:r>
        <w:rPr>
          <w:rFonts w:hint="eastAsia" w:ascii="黑体" w:hAnsi="黑体" w:eastAsia="黑体" w:cs="黑体"/>
          <w:bCs w:val="0"/>
          <w:color w:val="000000"/>
          <w:sz w:val="32"/>
          <w:szCs w:val="32"/>
        </w:rPr>
        <w:t>二、详细评审</w:t>
      </w:r>
    </w:p>
    <w:p w14:paraId="6EFC7BBE">
      <w:pPr>
        <w:pStyle w:val="13"/>
        <w:adjustRightInd w:val="0"/>
        <w:snapToGrid w:val="0"/>
        <w:spacing w:line="560" w:lineRule="exact"/>
        <w:ind w:firstLine="559"/>
        <w:rPr>
          <w:rFonts w:ascii="仿宋" w:hAnsi="仿宋" w:eastAsia="仿宋" w:cs="仿宋"/>
          <w:szCs w:val="32"/>
        </w:rPr>
      </w:pPr>
      <w:r>
        <w:rPr>
          <w:rFonts w:hint="eastAsia" w:ascii="仿宋" w:hAnsi="仿宋" w:eastAsia="仿宋" w:cs="仿宋"/>
          <w:spacing w:val="2"/>
          <w:szCs w:val="32"/>
        </w:rPr>
        <w:t>（一）评标委员会根据评审办法对通过初步评审的响应文件进行详细评</w:t>
      </w:r>
      <w:r>
        <w:rPr>
          <w:rFonts w:hint="eastAsia" w:ascii="仿宋" w:hAnsi="仿宋" w:eastAsia="仿宋" w:cs="仿宋"/>
          <w:spacing w:val="-2"/>
          <w:szCs w:val="32"/>
        </w:rPr>
        <w:t>审，并进行技术和商务的评审打分。</w:t>
      </w:r>
    </w:p>
    <w:p w14:paraId="158630B0">
      <w:pPr>
        <w:pStyle w:val="13"/>
        <w:adjustRightInd w:val="0"/>
        <w:snapToGrid w:val="0"/>
        <w:spacing w:line="560" w:lineRule="exact"/>
        <w:ind w:firstLine="632" w:firstLineChars="200"/>
        <w:jc w:val="left"/>
        <w:rPr>
          <w:rFonts w:ascii="仿宋" w:hAnsi="仿宋" w:eastAsia="仿宋" w:cs="仿宋"/>
          <w:spacing w:val="-1"/>
          <w:szCs w:val="32"/>
        </w:rPr>
      </w:pPr>
      <w:r>
        <w:rPr>
          <w:rFonts w:hint="eastAsia" w:ascii="仿宋" w:hAnsi="仿宋" w:eastAsia="仿宋" w:cs="仿宋"/>
          <w:spacing w:val="-2"/>
          <w:szCs w:val="32"/>
        </w:rPr>
        <w:t>（二）技术、商务评分：具体评审的内容详见（附表</w:t>
      </w:r>
      <w:r>
        <w:rPr>
          <w:rFonts w:hint="eastAsia" w:ascii="仿宋" w:hAnsi="仿宋" w:eastAsia="仿宋" w:cs="仿宋"/>
          <w:spacing w:val="-71"/>
          <w:szCs w:val="32"/>
        </w:rPr>
        <w:t xml:space="preserve"> </w:t>
      </w:r>
      <w:r>
        <w:rPr>
          <w:rFonts w:hint="eastAsia" w:ascii="仿宋" w:hAnsi="仿宋" w:eastAsia="仿宋" w:cs="仿宋"/>
          <w:spacing w:val="-1"/>
          <w:szCs w:val="32"/>
        </w:rPr>
        <w:t>2）；</w:t>
      </w:r>
    </w:p>
    <w:p w14:paraId="27785706">
      <w:pPr>
        <w:adjustRightInd w:val="0"/>
        <w:snapToGrid w:val="0"/>
        <w:spacing w:line="560" w:lineRule="exact"/>
        <w:ind w:firstLine="632" w:firstLineChars="200"/>
        <w:jc w:val="left"/>
        <w:rPr>
          <w:rFonts w:hint="eastAsia" w:ascii="仿宋" w:hAnsi="仿宋" w:eastAsia="仿宋" w:cs="仿宋"/>
          <w:b w:val="0"/>
          <w:bCs/>
          <w:color w:val="auto"/>
          <w:kern w:val="0"/>
          <w:sz w:val="32"/>
          <w:szCs w:val="32"/>
          <w:highlight w:val="none"/>
          <w:lang w:val="en-US" w:eastAsia="zh-CN" w:bidi="ar-SA"/>
        </w:rPr>
      </w:pPr>
      <w:r>
        <w:rPr>
          <w:rFonts w:hint="eastAsia" w:ascii="黑体" w:hAnsi="黑体" w:eastAsia="黑体" w:cs="黑体"/>
          <w:spacing w:val="-2"/>
          <w:sz w:val="32"/>
          <w:szCs w:val="32"/>
        </w:rPr>
        <w:t>三、技术、商务及价格权重分配</w:t>
      </w:r>
    </w:p>
    <w:tbl>
      <w:tblPr>
        <w:tblStyle w:val="25"/>
        <w:tblW w:w="9810" w:type="dxa"/>
        <w:jc w:val="center"/>
        <w:tblLayout w:type="fixed"/>
        <w:tblCellMar>
          <w:top w:w="0" w:type="dxa"/>
          <w:left w:w="0" w:type="dxa"/>
          <w:bottom w:w="0" w:type="dxa"/>
          <w:right w:w="0" w:type="dxa"/>
        </w:tblCellMar>
      </w:tblPr>
      <w:tblGrid>
        <w:gridCol w:w="2490"/>
        <w:gridCol w:w="3660"/>
        <w:gridCol w:w="3660"/>
      </w:tblGrid>
      <w:tr w14:paraId="197D9A86">
        <w:tblPrEx>
          <w:tblCellMar>
            <w:top w:w="0" w:type="dxa"/>
            <w:left w:w="0" w:type="dxa"/>
            <w:bottom w:w="0" w:type="dxa"/>
            <w:right w:w="0" w:type="dxa"/>
          </w:tblCellMar>
        </w:tblPrEx>
        <w:trPr>
          <w:trHeight w:val="657" w:hRule="exact"/>
          <w:jc w:val="center"/>
        </w:trPr>
        <w:tc>
          <w:tcPr>
            <w:tcW w:w="2490" w:type="dxa"/>
            <w:tcBorders>
              <w:top w:val="single" w:color="000000" w:sz="4" w:space="0"/>
              <w:left w:val="single" w:color="000000" w:sz="4" w:space="0"/>
              <w:bottom w:val="single" w:color="000000" w:sz="4" w:space="0"/>
              <w:right w:val="single" w:color="000000" w:sz="4" w:space="0"/>
            </w:tcBorders>
          </w:tcPr>
          <w:p w14:paraId="3C254F16">
            <w:pPr>
              <w:pStyle w:val="43"/>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b w:val="0"/>
                <w:bCs/>
                <w:color w:val="auto"/>
                <w:kern w:val="0"/>
                <w:sz w:val="32"/>
                <w:szCs w:val="32"/>
                <w:highlight w:val="none"/>
                <w:lang w:val="en-US" w:eastAsia="zh-CN" w:bidi="ar-SA"/>
              </w:rPr>
            </w:pPr>
            <w:r>
              <w:rPr>
                <w:rFonts w:hint="eastAsia" w:ascii="仿宋" w:hAnsi="仿宋" w:eastAsia="仿宋" w:cs="仿宋"/>
                <w:b w:val="0"/>
                <w:bCs/>
                <w:color w:val="auto"/>
                <w:kern w:val="0"/>
                <w:sz w:val="32"/>
                <w:szCs w:val="32"/>
                <w:highlight w:val="none"/>
                <w:lang w:val="en-US" w:eastAsia="zh-CN" w:bidi="ar-SA"/>
              </w:rPr>
              <w:t>评分项目</w:t>
            </w:r>
          </w:p>
        </w:tc>
        <w:tc>
          <w:tcPr>
            <w:tcW w:w="3660" w:type="dxa"/>
            <w:tcBorders>
              <w:top w:val="single" w:color="000000" w:sz="4" w:space="0"/>
              <w:left w:val="single" w:color="000000" w:sz="4" w:space="0"/>
              <w:bottom w:val="single" w:color="000000" w:sz="4" w:space="0"/>
              <w:right w:val="single" w:color="000000" w:sz="4" w:space="0"/>
            </w:tcBorders>
            <w:vAlign w:val="center"/>
          </w:tcPr>
          <w:p w14:paraId="498004B1">
            <w:pPr>
              <w:keepNext w:val="0"/>
              <w:keepLines w:val="0"/>
              <w:suppressLineNumbers w:val="0"/>
              <w:spacing w:before="0" w:beforeAutospacing="0" w:after="0" w:afterAutospacing="0"/>
              <w:ind w:left="0" w:right="0"/>
              <w:jc w:val="center"/>
              <w:rPr>
                <w:rFonts w:hint="default" w:ascii="仿宋" w:hAnsi="仿宋" w:eastAsia="仿宋" w:cs="仿宋"/>
                <w:b w:val="0"/>
                <w:bCs/>
                <w:color w:val="auto"/>
                <w:kern w:val="0"/>
                <w:sz w:val="32"/>
                <w:szCs w:val="32"/>
                <w:highlight w:val="none"/>
                <w:lang w:val="en-US" w:eastAsia="zh-CN" w:bidi="ar-SA"/>
              </w:rPr>
            </w:pPr>
            <w:r>
              <w:rPr>
                <w:rFonts w:hint="eastAsia" w:ascii="仿宋" w:hAnsi="仿宋" w:eastAsia="仿宋" w:cs="仿宋"/>
                <w:b w:val="0"/>
                <w:bCs/>
                <w:color w:val="auto"/>
                <w:kern w:val="0"/>
                <w:sz w:val="32"/>
                <w:szCs w:val="32"/>
                <w:highlight w:val="none"/>
                <w:lang w:val="en-US" w:eastAsia="zh-CN" w:bidi="ar-SA"/>
              </w:rPr>
              <w:t>技术/服务与售后审项</w:t>
            </w:r>
          </w:p>
        </w:tc>
        <w:tc>
          <w:tcPr>
            <w:tcW w:w="3660" w:type="dxa"/>
            <w:tcBorders>
              <w:top w:val="single" w:color="000000" w:sz="4" w:space="0"/>
              <w:left w:val="single" w:color="000000" w:sz="4" w:space="0"/>
              <w:bottom w:val="single" w:color="000000" w:sz="4" w:space="0"/>
              <w:right w:val="single" w:color="000000" w:sz="4" w:space="0"/>
            </w:tcBorders>
            <w:vAlign w:val="center"/>
          </w:tcPr>
          <w:p w14:paraId="45633C4A">
            <w:pPr>
              <w:keepNext w:val="0"/>
              <w:keepLines w:val="0"/>
              <w:suppressLineNumbers w:val="0"/>
              <w:spacing w:before="0" w:beforeAutospacing="0" w:after="0" w:afterAutospacing="0"/>
              <w:ind w:left="0" w:right="0"/>
              <w:jc w:val="center"/>
              <w:rPr>
                <w:rFonts w:hint="eastAsia" w:ascii="仿宋" w:hAnsi="仿宋" w:eastAsia="仿宋" w:cs="仿宋"/>
                <w:b w:val="0"/>
                <w:bCs/>
                <w:color w:val="auto"/>
                <w:kern w:val="0"/>
                <w:sz w:val="32"/>
                <w:szCs w:val="32"/>
                <w:highlight w:val="none"/>
                <w:lang w:val="en-US" w:eastAsia="zh-CN" w:bidi="ar-SA"/>
              </w:rPr>
            </w:pPr>
            <w:r>
              <w:rPr>
                <w:rFonts w:hint="eastAsia" w:ascii="仿宋" w:hAnsi="仿宋" w:eastAsia="仿宋" w:cs="仿宋"/>
                <w:b w:val="0"/>
                <w:bCs/>
                <w:color w:val="auto"/>
                <w:kern w:val="0"/>
                <w:sz w:val="32"/>
                <w:szCs w:val="32"/>
                <w:highlight w:val="none"/>
                <w:lang w:val="en-US" w:eastAsia="zh-CN" w:bidi="ar-SA"/>
              </w:rPr>
              <w:t>商务评审项</w:t>
            </w:r>
          </w:p>
        </w:tc>
      </w:tr>
      <w:tr w14:paraId="1CA6DA65">
        <w:tblPrEx>
          <w:tblCellMar>
            <w:top w:w="0" w:type="dxa"/>
            <w:left w:w="0" w:type="dxa"/>
            <w:bottom w:w="0" w:type="dxa"/>
            <w:right w:w="0" w:type="dxa"/>
          </w:tblCellMar>
        </w:tblPrEx>
        <w:trPr>
          <w:trHeight w:val="595" w:hRule="exact"/>
          <w:jc w:val="center"/>
        </w:trPr>
        <w:tc>
          <w:tcPr>
            <w:tcW w:w="2490" w:type="dxa"/>
            <w:tcBorders>
              <w:top w:val="single" w:color="000000" w:sz="4" w:space="0"/>
              <w:left w:val="single" w:color="000000" w:sz="4" w:space="0"/>
              <w:bottom w:val="single" w:color="000000" w:sz="4" w:space="0"/>
              <w:right w:val="single" w:color="000000" w:sz="4" w:space="0"/>
            </w:tcBorders>
          </w:tcPr>
          <w:p w14:paraId="7BBD1BAC">
            <w:pPr>
              <w:pStyle w:val="43"/>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b w:val="0"/>
                <w:bCs/>
                <w:color w:val="auto"/>
                <w:kern w:val="0"/>
                <w:sz w:val="32"/>
                <w:szCs w:val="32"/>
                <w:highlight w:val="none"/>
                <w:lang w:val="en-US" w:eastAsia="zh-CN" w:bidi="ar-SA"/>
              </w:rPr>
            </w:pPr>
            <w:r>
              <w:rPr>
                <w:rFonts w:hint="eastAsia" w:ascii="仿宋" w:hAnsi="仿宋" w:eastAsia="仿宋" w:cs="仿宋"/>
                <w:b w:val="0"/>
                <w:bCs/>
                <w:color w:val="auto"/>
                <w:kern w:val="0"/>
                <w:sz w:val="32"/>
                <w:szCs w:val="32"/>
                <w:highlight w:val="none"/>
                <w:lang w:val="en-US" w:eastAsia="zh-CN" w:bidi="ar-SA"/>
              </w:rPr>
              <w:t>权值</w:t>
            </w:r>
          </w:p>
        </w:tc>
        <w:tc>
          <w:tcPr>
            <w:tcW w:w="3660" w:type="dxa"/>
            <w:tcBorders>
              <w:top w:val="single" w:color="000000" w:sz="4" w:space="0"/>
              <w:left w:val="single" w:color="000000" w:sz="4" w:space="0"/>
              <w:bottom w:val="single" w:color="000000" w:sz="4" w:space="0"/>
              <w:right w:val="single" w:color="000000" w:sz="4" w:space="0"/>
            </w:tcBorders>
            <w:vAlign w:val="center"/>
          </w:tcPr>
          <w:p w14:paraId="529EC115">
            <w:pPr>
              <w:keepNext w:val="0"/>
              <w:keepLines w:val="0"/>
              <w:suppressLineNumbers w:val="0"/>
              <w:spacing w:before="0" w:beforeAutospacing="0" w:after="0" w:afterAutospacing="0"/>
              <w:ind w:left="0" w:right="0"/>
              <w:jc w:val="center"/>
              <w:rPr>
                <w:rFonts w:hint="default" w:ascii="仿宋" w:hAnsi="仿宋" w:eastAsia="仿宋" w:cs="仿宋"/>
                <w:b w:val="0"/>
                <w:bCs/>
                <w:color w:val="auto"/>
                <w:kern w:val="0"/>
                <w:sz w:val="32"/>
                <w:szCs w:val="32"/>
                <w:highlight w:val="none"/>
                <w:lang w:val="en-US" w:eastAsia="zh-CN" w:bidi="ar-SA"/>
              </w:rPr>
            </w:pPr>
            <w:r>
              <w:rPr>
                <w:rFonts w:hint="default" w:ascii="仿宋" w:hAnsi="仿宋" w:eastAsia="仿宋" w:cs="仿宋"/>
                <w:b w:val="0"/>
                <w:bCs/>
                <w:color w:val="auto"/>
                <w:kern w:val="0"/>
                <w:sz w:val="32"/>
                <w:szCs w:val="32"/>
                <w:highlight w:val="none"/>
                <w:lang w:val="en-US" w:eastAsia="zh-CN" w:bidi="ar-SA"/>
              </w:rPr>
              <w:t>5</w:t>
            </w:r>
            <w:r>
              <w:rPr>
                <w:rFonts w:hint="eastAsia" w:ascii="仿宋" w:hAnsi="仿宋" w:eastAsia="仿宋" w:cs="仿宋"/>
                <w:b w:val="0"/>
                <w:bCs/>
                <w:color w:val="auto"/>
                <w:kern w:val="0"/>
                <w:sz w:val="32"/>
                <w:szCs w:val="32"/>
                <w:highlight w:val="none"/>
                <w:lang w:val="en-US" w:eastAsia="zh-CN" w:bidi="ar-SA"/>
              </w:rPr>
              <w:t>0%</w:t>
            </w:r>
          </w:p>
        </w:tc>
        <w:tc>
          <w:tcPr>
            <w:tcW w:w="3660" w:type="dxa"/>
            <w:tcBorders>
              <w:top w:val="single" w:color="000000" w:sz="4" w:space="0"/>
              <w:left w:val="single" w:color="000000" w:sz="4" w:space="0"/>
              <w:bottom w:val="single" w:color="000000" w:sz="4" w:space="0"/>
              <w:right w:val="single" w:color="000000" w:sz="4" w:space="0"/>
            </w:tcBorders>
            <w:vAlign w:val="center"/>
          </w:tcPr>
          <w:p w14:paraId="363C7B9D">
            <w:pPr>
              <w:keepNext w:val="0"/>
              <w:keepLines w:val="0"/>
              <w:suppressLineNumbers w:val="0"/>
              <w:spacing w:before="0" w:beforeAutospacing="0" w:after="0" w:afterAutospacing="0"/>
              <w:ind w:left="0" w:right="0"/>
              <w:jc w:val="center"/>
              <w:rPr>
                <w:rFonts w:hint="default" w:ascii="仿宋" w:hAnsi="仿宋" w:eastAsia="仿宋" w:cs="仿宋"/>
                <w:b w:val="0"/>
                <w:bCs/>
                <w:color w:val="auto"/>
                <w:kern w:val="0"/>
                <w:sz w:val="32"/>
                <w:szCs w:val="32"/>
                <w:highlight w:val="none"/>
                <w:lang w:val="en-US" w:eastAsia="zh-CN" w:bidi="ar-SA"/>
              </w:rPr>
            </w:pPr>
            <w:r>
              <w:rPr>
                <w:rFonts w:hint="default" w:ascii="仿宋" w:hAnsi="仿宋" w:eastAsia="仿宋" w:cs="仿宋"/>
                <w:b w:val="0"/>
                <w:bCs/>
                <w:color w:val="auto"/>
                <w:kern w:val="0"/>
                <w:sz w:val="32"/>
                <w:szCs w:val="32"/>
                <w:highlight w:val="none"/>
                <w:lang w:val="en-US" w:eastAsia="zh-CN" w:bidi="ar-SA"/>
              </w:rPr>
              <w:t>5</w:t>
            </w:r>
            <w:r>
              <w:rPr>
                <w:rFonts w:hint="eastAsia" w:ascii="仿宋" w:hAnsi="仿宋" w:eastAsia="仿宋" w:cs="仿宋"/>
                <w:b w:val="0"/>
                <w:bCs/>
                <w:color w:val="auto"/>
                <w:kern w:val="0"/>
                <w:sz w:val="32"/>
                <w:szCs w:val="32"/>
                <w:highlight w:val="none"/>
                <w:lang w:val="en-US" w:eastAsia="zh-CN" w:bidi="ar-SA"/>
              </w:rPr>
              <w:t>0%</w:t>
            </w:r>
          </w:p>
        </w:tc>
      </w:tr>
    </w:tbl>
    <w:p w14:paraId="0C731488">
      <w:pPr>
        <w:pStyle w:val="13"/>
        <w:adjustRightInd w:val="0"/>
        <w:snapToGrid w:val="0"/>
        <w:spacing w:line="560" w:lineRule="exact"/>
        <w:ind w:firstLine="640" w:firstLineChars="200"/>
        <w:rPr>
          <w:rFonts w:ascii="仿宋" w:hAnsi="仿宋" w:eastAsia="仿宋" w:cs="仿宋"/>
          <w:szCs w:val="32"/>
        </w:rPr>
      </w:pPr>
      <w:r>
        <w:rPr>
          <w:rFonts w:hint="eastAsia" w:ascii="仿宋" w:hAnsi="仿宋" w:eastAsia="仿宋" w:cs="仿宋"/>
          <w:b w:val="0"/>
          <w:bCs/>
          <w:color w:val="auto"/>
          <w:kern w:val="0"/>
          <w:sz w:val="32"/>
          <w:szCs w:val="32"/>
          <w:highlight w:val="none"/>
          <w:lang w:val="en-US" w:eastAsia="zh-CN" w:bidi="ar-SA"/>
        </w:rPr>
        <w:t>四、综合评分及其统计：按照评标程序、评分标准以及分</w:t>
      </w:r>
      <w:r>
        <w:rPr>
          <w:rFonts w:hint="eastAsia" w:ascii="仿宋" w:hAnsi="仿宋" w:eastAsia="仿宋" w:cs="仿宋"/>
          <w:spacing w:val="2"/>
          <w:szCs w:val="32"/>
        </w:rPr>
        <w:t>值分配的规定，评标委员会成员分别就各个供应商的技术、商务状况，其对竞争性磋商文件要求的响应情况进行评议和比较，评出各供应商的得分，得分与投标报价分相加得出综合得分。综合得分最高的供应商为第一成交候选供应</w:t>
      </w:r>
      <w:r>
        <w:rPr>
          <w:rFonts w:hint="eastAsia" w:ascii="仿宋" w:hAnsi="仿宋" w:eastAsia="仿宋" w:cs="仿宋"/>
          <w:spacing w:val="-2"/>
          <w:szCs w:val="32"/>
        </w:rPr>
        <w:t>商，综合得分次高的供应商为第二成交候选供应商，以此类推。</w:t>
      </w:r>
    </w:p>
    <w:p w14:paraId="553FCED0">
      <w:pPr>
        <w:spacing w:line="356" w:lineRule="auto"/>
      </w:pPr>
    </w:p>
    <w:p w14:paraId="4F56FD24">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640" w:firstLineChars="200"/>
        <w:jc w:val="center"/>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附表1：初步审查表</w:t>
      </w:r>
    </w:p>
    <w:p w14:paraId="5F14F0AE">
      <w:pPr>
        <w:jc w:val="left"/>
        <w:rPr>
          <w:rFonts w:ascii="仿宋" w:hAnsi="仿宋" w:eastAsia="仿宋" w:cs="仿宋"/>
          <w:color w:val="000000"/>
          <w:sz w:val="32"/>
          <w:szCs w:val="32"/>
        </w:rPr>
      </w:pPr>
    </w:p>
    <w:p w14:paraId="13B5220D">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000000"/>
          <w:sz w:val="32"/>
          <w:szCs w:val="32"/>
        </w:rPr>
        <w:t>项目名称：</w:t>
      </w:r>
      <w:r>
        <w:rPr>
          <w:rFonts w:hint="eastAsia" w:ascii="仿宋" w:hAnsi="仿宋" w:eastAsia="仿宋" w:cs="仿宋"/>
          <w:b w:val="0"/>
          <w:bCs/>
          <w:color w:val="auto"/>
          <w:sz w:val="32"/>
          <w:szCs w:val="32"/>
          <w:highlight w:val="none"/>
          <w:lang w:val="en-US" w:eastAsia="zh-CN"/>
        </w:rPr>
        <w:t>海南卫生健康职业学院</w:t>
      </w:r>
      <w:r>
        <w:rPr>
          <w:rFonts w:hint="eastAsia" w:ascii="仿宋" w:hAnsi="仿宋" w:eastAsia="仿宋" w:cs="仿宋"/>
          <w:sz w:val="32"/>
          <w:szCs w:val="32"/>
          <w:lang w:val="en-US" w:eastAsia="zh-CN"/>
        </w:rPr>
        <w:t>智能外卖柜服务项目</w:t>
      </w:r>
    </w:p>
    <w:p w14:paraId="11700A00">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项目编号：HNWJY-FW20250</w:t>
      </w:r>
      <w:r>
        <w:rPr>
          <w:rFonts w:hint="eastAsia" w:ascii="仿宋" w:hAnsi="仿宋" w:eastAsia="仿宋" w:cs="仿宋"/>
          <w:sz w:val="32"/>
          <w:szCs w:val="32"/>
          <w:lang w:val="en-US" w:eastAsia="zh-CN"/>
        </w:rPr>
        <w:t>44</w:t>
      </w:r>
    </w:p>
    <w:tbl>
      <w:tblPr>
        <w:tblStyle w:val="25"/>
        <w:tblW w:w="10065" w:type="dxa"/>
        <w:jc w:val="center"/>
        <w:tblLayout w:type="fixed"/>
        <w:tblCellMar>
          <w:top w:w="88" w:type="dxa"/>
          <w:left w:w="107" w:type="dxa"/>
          <w:bottom w:w="0" w:type="dxa"/>
          <w:right w:w="11" w:type="dxa"/>
        </w:tblCellMar>
      </w:tblPr>
      <w:tblGrid>
        <w:gridCol w:w="709"/>
        <w:gridCol w:w="2127"/>
        <w:gridCol w:w="3827"/>
        <w:gridCol w:w="1134"/>
        <w:gridCol w:w="1134"/>
        <w:gridCol w:w="1134"/>
      </w:tblGrid>
      <w:tr w14:paraId="411CAB8A">
        <w:tblPrEx>
          <w:tblCellMar>
            <w:top w:w="88" w:type="dxa"/>
            <w:left w:w="107" w:type="dxa"/>
            <w:bottom w:w="0" w:type="dxa"/>
            <w:right w:w="11" w:type="dxa"/>
          </w:tblCellMar>
        </w:tblPrEx>
        <w:trPr>
          <w:trHeight w:val="55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18B20948">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r>
              <w:rPr>
                <w:rFonts w:hint="eastAsia" w:ascii="仿宋" w:hAnsi="仿宋" w:eastAsia="仿宋" w:cs="仿宋"/>
                <w:color w:val="000000"/>
                <w:sz w:val="32"/>
                <w:szCs w:val="32"/>
              </w:rPr>
              <w:t>序号</w:t>
            </w:r>
          </w:p>
        </w:tc>
        <w:tc>
          <w:tcPr>
            <w:tcW w:w="2127" w:type="dxa"/>
            <w:tcBorders>
              <w:top w:val="single" w:color="000000" w:sz="4" w:space="0"/>
              <w:left w:val="single" w:color="000000" w:sz="4" w:space="0"/>
              <w:bottom w:val="single" w:color="000000" w:sz="4" w:space="0"/>
              <w:right w:val="single" w:color="000000" w:sz="4" w:space="0"/>
            </w:tcBorders>
            <w:vAlign w:val="center"/>
          </w:tcPr>
          <w:p w14:paraId="3DA113AB">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审查项目</w:t>
            </w:r>
          </w:p>
        </w:tc>
        <w:tc>
          <w:tcPr>
            <w:tcW w:w="3827" w:type="dxa"/>
            <w:tcBorders>
              <w:top w:val="single" w:color="000000" w:sz="4" w:space="0"/>
              <w:left w:val="single" w:color="000000" w:sz="4" w:space="0"/>
              <w:bottom w:val="single" w:color="000000" w:sz="4" w:space="0"/>
              <w:right w:val="single" w:color="000000" w:sz="4" w:space="0"/>
            </w:tcBorders>
            <w:vAlign w:val="center"/>
          </w:tcPr>
          <w:p w14:paraId="5069B5FA">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r>
              <w:rPr>
                <w:rFonts w:hint="eastAsia" w:ascii="仿宋" w:hAnsi="仿宋" w:eastAsia="仿宋" w:cs="仿宋"/>
                <w:color w:val="000000"/>
                <w:sz w:val="32"/>
                <w:szCs w:val="32"/>
              </w:rPr>
              <w:t>评议内容（无效磋商响应认定条件）</w:t>
            </w:r>
          </w:p>
        </w:tc>
        <w:tc>
          <w:tcPr>
            <w:tcW w:w="1134" w:type="dxa"/>
            <w:tcBorders>
              <w:top w:val="single" w:color="000000" w:sz="4" w:space="0"/>
              <w:left w:val="single" w:color="000000" w:sz="4" w:space="0"/>
              <w:bottom w:val="single" w:color="000000" w:sz="4" w:space="0"/>
              <w:right w:val="single" w:color="000000" w:sz="4" w:space="0"/>
            </w:tcBorders>
            <w:vAlign w:val="center"/>
          </w:tcPr>
          <w:p w14:paraId="5F6E0706">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r>
              <w:rPr>
                <w:rFonts w:hint="eastAsia" w:ascii="仿宋" w:hAnsi="仿宋" w:eastAsia="仿宋" w:cs="仿宋"/>
                <w:color w:val="000000"/>
                <w:sz w:val="32"/>
                <w:szCs w:val="32"/>
              </w:rPr>
              <w:t>服务商1</w:t>
            </w:r>
          </w:p>
        </w:tc>
        <w:tc>
          <w:tcPr>
            <w:tcW w:w="1134" w:type="dxa"/>
            <w:tcBorders>
              <w:top w:val="single" w:color="000000" w:sz="4" w:space="0"/>
              <w:left w:val="single" w:color="000000" w:sz="4" w:space="0"/>
              <w:bottom w:val="single" w:color="000000" w:sz="4" w:space="0"/>
              <w:right w:val="single" w:color="000000" w:sz="4" w:space="0"/>
            </w:tcBorders>
            <w:vAlign w:val="center"/>
          </w:tcPr>
          <w:p w14:paraId="65DE4A4D">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r>
              <w:rPr>
                <w:rFonts w:hint="eastAsia" w:ascii="仿宋" w:hAnsi="仿宋" w:eastAsia="仿宋" w:cs="仿宋"/>
                <w:color w:val="000000"/>
                <w:sz w:val="32"/>
                <w:szCs w:val="32"/>
              </w:rPr>
              <w:t>服务商2</w:t>
            </w:r>
          </w:p>
        </w:tc>
        <w:tc>
          <w:tcPr>
            <w:tcW w:w="1134" w:type="dxa"/>
            <w:tcBorders>
              <w:top w:val="single" w:color="000000" w:sz="4" w:space="0"/>
              <w:left w:val="single" w:color="000000" w:sz="4" w:space="0"/>
              <w:bottom w:val="single" w:color="000000" w:sz="4" w:space="0"/>
              <w:right w:val="single" w:color="000000" w:sz="4" w:space="0"/>
            </w:tcBorders>
            <w:vAlign w:val="center"/>
          </w:tcPr>
          <w:p w14:paraId="5DF21DE6">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r>
              <w:rPr>
                <w:rFonts w:hint="eastAsia" w:ascii="仿宋" w:hAnsi="仿宋" w:eastAsia="仿宋" w:cs="仿宋"/>
                <w:color w:val="000000"/>
                <w:sz w:val="32"/>
                <w:szCs w:val="32"/>
              </w:rPr>
              <w:t>服务商3</w:t>
            </w:r>
          </w:p>
        </w:tc>
      </w:tr>
      <w:tr w14:paraId="1185C47D">
        <w:tblPrEx>
          <w:tblCellMar>
            <w:top w:w="88" w:type="dxa"/>
            <w:left w:w="107" w:type="dxa"/>
            <w:bottom w:w="0" w:type="dxa"/>
            <w:right w:w="11" w:type="dxa"/>
          </w:tblCellMar>
        </w:tblPrEx>
        <w:trPr>
          <w:trHeight w:val="472"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17CAC044">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1</w:t>
            </w:r>
          </w:p>
        </w:tc>
        <w:tc>
          <w:tcPr>
            <w:tcW w:w="2127" w:type="dxa"/>
            <w:tcBorders>
              <w:top w:val="single" w:color="000000" w:sz="4" w:space="0"/>
              <w:left w:val="single" w:color="000000" w:sz="4" w:space="0"/>
              <w:bottom w:val="single" w:color="000000" w:sz="4" w:space="0"/>
              <w:right w:val="single" w:color="000000" w:sz="4" w:space="0"/>
            </w:tcBorders>
            <w:vAlign w:val="center"/>
          </w:tcPr>
          <w:p w14:paraId="54167AD6">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服务商申请条件</w:t>
            </w:r>
          </w:p>
        </w:tc>
        <w:tc>
          <w:tcPr>
            <w:tcW w:w="3827" w:type="dxa"/>
            <w:tcBorders>
              <w:top w:val="single" w:color="000000" w:sz="4" w:space="0"/>
              <w:left w:val="single" w:color="000000" w:sz="4" w:space="0"/>
              <w:bottom w:val="single" w:color="000000" w:sz="4" w:space="0"/>
              <w:right w:val="single" w:color="000000" w:sz="4" w:space="0"/>
            </w:tcBorders>
            <w:vAlign w:val="center"/>
          </w:tcPr>
          <w:p w14:paraId="3E8FD9EF">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是否符合服务商申请条件</w:t>
            </w:r>
          </w:p>
        </w:tc>
        <w:tc>
          <w:tcPr>
            <w:tcW w:w="1134" w:type="dxa"/>
            <w:tcBorders>
              <w:top w:val="single" w:color="000000" w:sz="4" w:space="0"/>
              <w:left w:val="single" w:color="000000" w:sz="4" w:space="0"/>
              <w:bottom w:val="single" w:color="000000" w:sz="4" w:space="0"/>
              <w:right w:val="single" w:color="000000" w:sz="4" w:space="0"/>
            </w:tcBorders>
          </w:tcPr>
          <w:p w14:paraId="53D95ACD">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3A0E7973">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76D5CC07">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r>
      <w:tr w14:paraId="2BC648AC">
        <w:tblPrEx>
          <w:tblCellMar>
            <w:top w:w="88" w:type="dxa"/>
            <w:left w:w="107" w:type="dxa"/>
            <w:bottom w:w="0" w:type="dxa"/>
            <w:right w:w="11" w:type="dxa"/>
          </w:tblCellMar>
        </w:tblPrEx>
        <w:trPr>
          <w:trHeight w:val="721"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1D9F4937">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2</w:t>
            </w:r>
          </w:p>
        </w:tc>
        <w:tc>
          <w:tcPr>
            <w:tcW w:w="2127" w:type="dxa"/>
            <w:tcBorders>
              <w:top w:val="single" w:color="000000" w:sz="4" w:space="0"/>
              <w:left w:val="single" w:color="000000" w:sz="4" w:space="0"/>
              <w:bottom w:val="single" w:color="000000" w:sz="4" w:space="0"/>
              <w:right w:val="single" w:color="000000" w:sz="4" w:space="0"/>
            </w:tcBorders>
            <w:vAlign w:val="center"/>
          </w:tcPr>
          <w:p w14:paraId="79C07DB7">
            <w:pPr>
              <w:keepNext w:val="0"/>
              <w:keepLines w:val="0"/>
              <w:suppressLineNumbers w:val="0"/>
              <w:spacing w:before="0" w:beforeAutospacing="0" w:after="0" w:afterAutospacing="0"/>
              <w:ind w:left="0" w:right="0"/>
              <w:jc w:val="left"/>
              <w:rPr>
                <w:rFonts w:hint="default" w:ascii="仿宋" w:hAnsi="仿宋" w:eastAsia="仿宋" w:cs="仿宋"/>
                <w:color w:val="000000"/>
                <w:sz w:val="32"/>
                <w:szCs w:val="32"/>
              </w:rPr>
            </w:pPr>
            <w:r>
              <w:rPr>
                <w:rFonts w:hint="eastAsia" w:ascii="仿宋" w:hAnsi="仿宋" w:eastAsia="仿宋" w:cs="仿宋"/>
                <w:color w:val="000000"/>
                <w:sz w:val="32"/>
                <w:szCs w:val="32"/>
              </w:rPr>
              <w:t>响应文件的有效性、完整性</w:t>
            </w:r>
          </w:p>
        </w:tc>
        <w:tc>
          <w:tcPr>
            <w:tcW w:w="3827" w:type="dxa"/>
            <w:tcBorders>
              <w:top w:val="single" w:color="000000" w:sz="4" w:space="0"/>
              <w:left w:val="single" w:color="000000" w:sz="4" w:space="0"/>
              <w:bottom w:val="single" w:color="000000" w:sz="4" w:space="0"/>
              <w:right w:val="single" w:color="000000" w:sz="4" w:space="0"/>
            </w:tcBorders>
            <w:vAlign w:val="center"/>
          </w:tcPr>
          <w:p w14:paraId="54CD9E81">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是否符合磋商文件的式样和签署要求且内容完整无缺漏</w:t>
            </w:r>
          </w:p>
        </w:tc>
        <w:tc>
          <w:tcPr>
            <w:tcW w:w="1134" w:type="dxa"/>
            <w:tcBorders>
              <w:top w:val="single" w:color="000000" w:sz="4" w:space="0"/>
              <w:left w:val="single" w:color="000000" w:sz="4" w:space="0"/>
              <w:bottom w:val="single" w:color="000000" w:sz="4" w:space="0"/>
              <w:right w:val="single" w:color="000000" w:sz="4" w:space="0"/>
            </w:tcBorders>
          </w:tcPr>
          <w:p w14:paraId="4C3997CE">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43C5B605">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39CA1200">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r>
      <w:tr w14:paraId="789C9DD2">
        <w:tblPrEx>
          <w:tblCellMar>
            <w:top w:w="88" w:type="dxa"/>
            <w:left w:w="107" w:type="dxa"/>
            <w:bottom w:w="0" w:type="dxa"/>
            <w:right w:w="11" w:type="dxa"/>
          </w:tblCellMar>
        </w:tblPrEx>
        <w:trPr>
          <w:trHeight w:val="559"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709F920B">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3</w:t>
            </w:r>
          </w:p>
        </w:tc>
        <w:tc>
          <w:tcPr>
            <w:tcW w:w="2127" w:type="dxa"/>
            <w:tcBorders>
              <w:top w:val="single" w:color="000000" w:sz="4" w:space="0"/>
              <w:left w:val="single" w:color="000000" w:sz="4" w:space="0"/>
              <w:bottom w:val="single" w:color="000000" w:sz="4" w:space="0"/>
              <w:right w:val="single" w:color="000000" w:sz="4" w:space="0"/>
            </w:tcBorders>
          </w:tcPr>
          <w:p w14:paraId="6F29D8A2">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磋商响应有效期</w:t>
            </w:r>
          </w:p>
        </w:tc>
        <w:tc>
          <w:tcPr>
            <w:tcW w:w="3827" w:type="dxa"/>
            <w:tcBorders>
              <w:top w:val="single" w:color="000000" w:sz="4" w:space="0"/>
              <w:left w:val="single" w:color="000000" w:sz="4" w:space="0"/>
              <w:bottom w:val="single" w:color="000000" w:sz="4" w:space="0"/>
              <w:right w:val="single" w:color="000000" w:sz="4" w:space="0"/>
            </w:tcBorders>
            <w:vAlign w:val="center"/>
          </w:tcPr>
          <w:p w14:paraId="34A34801">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是否满足磋商文件要求</w:t>
            </w:r>
          </w:p>
        </w:tc>
        <w:tc>
          <w:tcPr>
            <w:tcW w:w="1134" w:type="dxa"/>
            <w:tcBorders>
              <w:top w:val="single" w:color="000000" w:sz="4" w:space="0"/>
              <w:left w:val="single" w:color="000000" w:sz="4" w:space="0"/>
              <w:bottom w:val="single" w:color="000000" w:sz="4" w:space="0"/>
              <w:right w:val="single" w:color="000000" w:sz="4" w:space="0"/>
            </w:tcBorders>
          </w:tcPr>
          <w:p w14:paraId="769E7CE1">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69BA7FF8">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730553E1">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r>
      <w:tr w14:paraId="357FC5FF">
        <w:tblPrEx>
          <w:tblCellMar>
            <w:top w:w="88" w:type="dxa"/>
            <w:left w:w="107" w:type="dxa"/>
            <w:bottom w:w="0" w:type="dxa"/>
            <w:right w:w="11" w:type="dxa"/>
          </w:tblCellMar>
        </w:tblPrEx>
        <w:trPr>
          <w:trHeight w:val="437"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4560B9B5">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4</w:t>
            </w:r>
          </w:p>
        </w:tc>
        <w:tc>
          <w:tcPr>
            <w:tcW w:w="2127" w:type="dxa"/>
            <w:tcBorders>
              <w:top w:val="single" w:color="000000" w:sz="4" w:space="0"/>
              <w:left w:val="single" w:color="000000" w:sz="4" w:space="0"/>
              <w:bottom w:val="single" w:color="000000" w:sz="4" w:space="0"/>
              <w:right w:val="single" w:color="000000" w:sz="4" w:space="0"/>
            </w:tcBorders>
          </w:tcPr>
          <w:p w14:paraId="10687362">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 xml:space="preserve">服务期限   </w:t>
            </w:r>
          </w:p>
        </w:tc>
        <w:tc>
          <w:tcPr>
            <w:tcW w:w="3827" w:type="dxa"/>
            <w:tcBorders>
              <w:top w:val="single" w:color="000000" w:sz="4" w:space="0"/>
              <w:left w:val="single" w:color="000000" w:sz="4" w:space="0"/>
              <w:bottom w:val="single" w:color="000000" w:sz="4" w:space="0"/>
              <w:right w:val="single" w:color="000000" w:sz="4" w:space="0"/>
            </w:tcBorders>
            <w:vAlign w:val="center"/>
          </w:tcPr>
          <w:p w14:paraId="42C16FF8">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是否满足磋商文件要求</w:t>
            </w:r>
          </w:p>
        </w:tc>
        <w:tc>
          <w:tcPr>
            <w:tcW w:w="1134" w:type="dxa"/>
            <w:tcBorders>
              <w:top w:val="single" w:color="000000" w:sz="4" w:space="0"/>
              <w:left w:val="single" w:color="000000" w:sz="4" w:space="0"/>
              <w:bottom w:val="single" w:color="000000" w:sz="4" w:space="0"/>
              <w:right w:val="single" w:color="000000" w:sz="4" w:space="0"/>
            </w:tcBorders>
          </w:tcPr>
          <w:p w14:paraId="042A175C">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72548A80">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2E7E039C">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r>
      <w:tr w14:paraId="02783A61">
        <w:tblPrEx>
          <w:tblCellMar>
            <w:top w:w="88" w:type="dxa"/>
            <w:left w:w="107" w:type="dxa"/>
            <w:bottom w:w="0" w:type="dxa"/>
            <w:right w:w="11" w:type="dxa"/>
          </w:tblCellMar>
        </w:tblPrEx>
        <w:trPr>
          <w:trHeight w:val="554"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009C4397">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5</w:t>
            </w:r>
          </w:p>
        </w:tc>
        <w:tc>
          <w:tcPr>
            <w:tcW w:w="2127" w:type="dxa"/>
            <w:tcBorders>
              <w:top w:val="single" w:color="000000" w:sz="4" w:space="0"/>
              <w:left w:val="single" w:color="000000" w:sz="4" w:space="0"/>
              <w:bottom w:val="single" w:color="000000" w:sz="4" w:space="0"/>
              <w:right w:val="single" w:color="000000" w:sz="4" w:space="0"/>
            </w:tcBorders>
          </w:tcPr>
          <w:p w14:paraId="17F8D758">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其它</w:t>
            </w:r>
          </w:p>
        </w:tc>
        <w:tc>
          <w:tcPr>
            <w:tcW w:w="3827" w:type="dxa"/>
            <w:tcBorders>
              <w:top w:val="single" w:color="000000" w:sz="4" w:space="0"/>
              <w:left w:val="single" w:color="000000" w:sz="4" w:space="0"/>
              <w:bottom w:val="single" w:color="000000" w:sz="4" w:space="0"/>
              <w:right w:val="single" w:color="000000" w:sz="4" w:space="0"/>
            </w:tcBorders>
          </w:tcPr>
          <w:p w14:paraId="6EE359BE">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无其它无效响应认定条件</w:t>
            </w:r>
          </w:p>
        </w:tc>
        <w:tc>
          <w:tcPr>
            <w:tcW w:w="1134" w:type="dxa"/>
            <w:tcBorders>
              <w:top w:val="single" w:color="000000" w:sz="4" w:space="0"/>
              <w:left w:val="single" w:color="000000" w:sz="4" w:space="0"/>
              <w:bottom w:val="single" w:color="000000" w:sz="4" w:space="0"/>
              <w:right w:val="single" w:color="000000" w:sz="4" w:space="0"/>
            </w:tcBorders>
          </w:tcPr>
          <w:p w14:paraId="3E8D6AC1">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0C314B32">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468E5176">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r>
      <w:tr w14:paraId="5ED05A38">
        <w:tblPrEx>
          <w:tblCellMar>
            <w:top w:w="88" w:type="dxa"/>
            <w:left w:w="107" w:type="dxa"/>
            <w:bottom w:w="0" w:type="dxa"/>
            <w:right w:w="11" w:type="dxa"/>
          </w:tblCellMar>
        </w:tblPrEx>
        <w:trPr>
          <w:trHeight w:val="509" w:hRule="atLeast"/>
          <w:jc w:val="center"/>
        </w:trPr>
        <w:tc>
          <w:tcPr>
            <w:tcW w:w="709" w:type="dxa"/>
            <w:tcBorders>
              <w:top w:val="single" w:color="000000" w:sz="4" w:space="0"/>
              <w:left w:val="single" w:color="000000" w:sz="4" w:space="0"/>
              <w:bottom w:val="single" w:color="000000" w:sz="4" w:space="0"/>
              <w:right w:val="nil"/>
            </w:tcBorders>
          </w:tcPr>
          <w:p w14:paraId="6B8A487C">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5954" w:type="dxa"/>
            <w:gridSpan w:val="2"/>
            <w:tcBorders>
              <w:top w:val="single" w:color="000000" w:sz="4" w:space="0"/>
              <w:left w:val="nil"/>
              <w:bottom w:val="single" w:color="000000" w:sz="4" w:space="0"/>
              <w:right w:val="single" w:color="000000" w:sz="4" w:space="0"/>
            </w:tcBorders>
            <w:vAlign w:val="center"/>
          </w:tcPr>
          <w:p w14:paraId="43E003A8">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结</w:t>
            </w:r>
            <w:r>
              <w:rPr>
                <w:rFonts w:hint="eastAsia" w:ascii="仿宋" w:hAnsi="仿宋" w:eastAsia="仿宋" w:cs="仿宋"/>
                <w:color w:val="000000"/>
                <w:sz w:val="32"/>
                <w:szCs w:val="32"/>
              </w:rPr>
              <w:tab/>
            </w:r>
            <w:r>
              <w:rPr>
                <w:rFonts w:hint="eastAsia" w:ascii="仿宋" w:hAnsi="仿宋" w:eastAsia="仿宋" w:cs="仿宋"/>
                <w:color w:val="000000"/>
                <w:sz w:val="32"/>
                <w:szCs w:val="32"/>
              </w:rPr>
              <w:t>论</w:t>
            </w:r>
          </w:p>
        </w:tc>
        <w:tc>
          <w:tcPr>
            <w:tcW w:w="1134" w:type="dxa"/>
            <w:tcBorders>
              <w:top w:val="single" w:color="000000" w:sz="4" w:space="0"/>
              <w:left w:val="single" w:color="000000" w:sz="4" w:space="0"/>
              <w:bottom w:val="single" w:color="000000" w:sz="4" w:space="0"/>
              <w:right w:val="single" w:color="000000" w:sz="4" w:space="0"/>
            </w:tcBorders>
          </w:tcPr>
          <w:p w14:paraId="166E939F">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75D13DE1">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59DB598D">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r>
    </w:tbl>
    <w:p w14:paraId="75DD9DDF">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1.表中只需填写“√/通过”或“×/不通过”。</w:t>
      </w:r>
    </w:p>
    <w:p w14:paraId="0AA4B8EE">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2.在结论中按“一项否决”的原则，只有全部是√/通过的，填写“合格”；只要其中有一项是×/不通过的，填写“不合格”。</w:t>
      </w:r>
    </w:p>
    <w:p w14:paraId="05FBF0C2">
      <w:pPr>
        <w:spacing w:line="360" w:lineRule="auto"/>
        <w:ind w:left="13" w:hanging="12" w:hangingChars="4"/>
        <w:rPr>
          <w:rFonts w:hint="eastAsia" w:ascii="仿宋" w:hAnsi="仿宋" w:eastAsia="仿宋" w:cs="仿宋"/>
          <w:color w:val="000000"/>
          <w:sz w:val="32"/>
          <w:szCs w:val="32"/>
        </w:rPr>
      </w:pPr>
      <w:r>
        <w:rPr>
          <w:rFonts w:hint="eastAsia" w:ascii="仿宋" w:hAnsi="仿宋" w:eastAsia="仿宋" w:cs="仿宋"/>
          <w:color w:val="000000"/>
          <w:sz w:val="32"/>
          <w:szCs w:val="32"/>
        </w:rPr>
        <w:t>3.结论是合格的，才能进入下一轮；不合格的被淘汰。</w:t>
      </w:r>
    </w:p>
    <w:p w14:paraId="0276F576">
      <w:pPr>
        <w:rPr>
          <w:rFonts w:hint="eastAsia" w:ascii="仿宋" w:hAnsi="仿宋" w:eastAsia="仿宋" w:cs="仿宋"/>
          <w:b/>
          <w:color w:val="000000"/>
          <w:sz w:val="32"/>
          <w:szCs w:val="32"/>
        </w:rPr>
      </w:pPr>
      <w:r>
        <w:rPr>
          <w:rFonts w:hint="eastAsia" w:ascii="仿宋" w:hAnsi="仿宋" w:eastAsia="仿宋" w:cs="仿宋"/>
          <w:b/>
          <w:color w:val="000000"/>
          <w:sz w:val="32"/>
          <w:szCs w:val="32"/>
        </w:rPr>
        <w:br w:type="page"/>
      </w:r>
    </w:p>
    <w:p w14:paraId="4B1C540C">
      <w:pPr>
        <w:jc w:val="center"/>
        <w:rPr>
          <w:rFonts w:hint="eastAsia" w:ascii="仿宋" w:hAnsi="仿宋" w:eastAsia="仿宋" w:cs="仿宋"/>
          <w:sz w:val="32"/>
          <w:szCs w:val="32"/>
        </w:rPr>
      </w:pPr>
      <w:r>
        <w:rPr>
          <w:rFonts w:hint="eastAsia" w:ascii="仿宋" w:hAnsi="仿宋" w:eastAsia="仿宋" w:cs="仿宋"/>
          <w:sz w:val="32"/>
          <w:szCs w:val="32"/>
        </w:rPr>
        <w:t>附表2：评分细则表</w:t>
      </w:r>
    </w:p>
    <w:p w14:paraId="14D0EF42">
      <w:pPr>
        <w:rPr>
          <w:rFonts w:hint="eastAsia"/>
        </w:rPr>
      </w:pPr>
    </w:p>
    <w:p w14:paraId="396452BE">
      <w:pPr>
        <w:jc w:val="left"/>
        <w:rPr>
          <w:rFonts w:hint="eastAsia" w:ascii="仿宋" w:hAnsi="仿宋" w:eastAsia="仿宋" w:cs="仿宋"/>
          <w:sz w:val="32"/>
          <w:szCs w:val="32"/>
          <w:lang w:eastAsia="zh-CN"/>
        </w:rPr>
      </w:pPr>
      <w:r>
        <w:rPr>
          <w:rFonts w:hint="eastAsia" w:ascii="仿宋" w:hAnsi="仿宋" w:eastAsia="仿宋" w:cs="仿宋"/>
          <w:sz w:val="32"/>
          <w:szCs w:val="32"/>
        </w:rPr>
        <w:t>项目名称：</w:t>
      </w:r>
      <w:r>
        <w:rPr>
          <w:rFonts w:hint="eastAsia" w:ascii="仿宋" w:hAnsi="仿宋" w:eastAsia="仿宋" w:cs="仿宋"/>
          <w:sz w:val="32"/>
          <w:szCs w:val="32"/>
          <w:lang w:val="en-US" w:eastAsia="zh-CN"/>
        </w:rPr>
        <w:t>海南卫生健康职业学院智能外卖柜服务项目</w:t>
      </w:r>
    </w:p>
    <w:p w14:paraId="3065C899">
      <w:pPr>
        <w:jc w:val="left"/>
        <w:rPr>
          <w:rFonts w:hint="eastAsia" w:ascii="仿宋" w:hAnsi="仿宋" w:eastAsia="仿宋" w:cs="仿宋"/>
          <w:sz w:val="32"/>
          <w:szCs w:val="32"/>
          <w:lang w:val="en-US" w:eastAsia="zh-CN"/>
        </w:rPr>
      </w:pPr>
      <w:r>
        <w:rPr>
          <w:rFonts w:hint="eastAsia" w:ascii="仿宋" w:hAnsi="仿宋" w:eastAsia="仿宋" w:cs="仿宋"/>
          <w:sz w:val="32"/>
          <w:szCs w:val="32"/>
        </w:rPr>
        <w:t>项目编</w:t>
      </w:r>
      <w:r>
        <w:rPr>
          <w:rFonts w:hint="eastAsia" w:ascii="仿宋" w:hAnsi="仿宋" w:eastAsia="仿宋" w:cs="仿宋"/>
          <w:sz w:val="32"/>
          <w:szCs w:val="32"/>
          <w:lang w:val="en-US" w:eastAsia="zh-CN"/>
        </w:rPr>
        <w:t>号：</w:t>
      </w:r>
      <w:r>
        <w:rPr>
          <w:rFonts w:hint="eastAsia" w:ascii="仿宋" w:hAnsi="仿宋" w:eastAsia="仿宋" w:cs="仿宋"/>
          <w:sz w:val="32"/>
          <w:szCs w:val="32"/>
        </w:rPr>
        <w:t>HNWJY-FW20250</w:t>
      </w:r>
      <w:r>
        <w:rPr>
          <w:rFonts w:hint="eastAsia" w:ascii="仿宋" w:hAnsi="仿宋" w:eastAsia="仿宋" w:cs="仿宋"/>
          <w:sz w:val="32"/>
          <w:szCs w:val="32"/>
          <w:lang w:val="en-US" w:eastAsia="zh-CN"/>
        </w:rPr>
        <w:t>44</w:t>
      </w:r>
    </w:p>
    <w:tbl>
      <w:tblPr>
        <w:tblStyle w:val="25"/>
        <w:tblW w:w="10155" w:type="dxa"/>
        <w:jc w:val="center"/>
        <w:tblLayout w:type="fixed"/>
        <w:tblCellMar>
          <w:top w:w="0" w:type="dxa"/>
          <w:left w:w="0" w:type="dxa"/>
          <w:bottom w:w="0" w:type="dxa"/>
          <w:right w:w="0" w:type="dxa"/>
        </w:tblCellMar>
      </w:tblPr>
      <w:tblGrid>
        <w:gridCol w:w="738"/>
        <w:gridCol w:w="1381"/>
        <w:gridCol w:w="6956"/>
        <w:gridCol w:w="1080"/>
      </w:tblGrid>
      <w:tr w14:paraId="3C199127">
        <w:tblPrEx>
          <w:tblCellMar>
            <w:top w:w="0" w:type="dxa"/>
            <w:left w:w="0" w:type="dxa"/>
            <w:bottom w:w="0" w:type="dxa"/>
            <w:right w:w="0" w:type="dxa"/>
          </w:tblCellMar>
        </w:tblPrEx>
        <w:trPr>
          <w:trHeight w:val="590" w:hRule="atLeast"/>
          <w:jc w:val="center"/>
        </w:trPr>
        <w:tc>
          <w:tcPr>
            <w:tcW w:w="7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BE6A12">
            <w:pPr>
              <w:keepNext w:val="0"/>
              <w:keepLines w:val="0"/>
              <w:suppressLineNumbers w:val="0"/>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sz w:val="32"/>
                <w:szCs w:val="32"/>
              </w:rPr>
              <w:t>序号</w:t>
            </w:r>
          </w:p>
        </w:tc>
        <w:tc>
          <w:tcPr>
            <w:tcW w:w="138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E9C1A8">
            <w:pPr>
              <w:keepNext w:val="0"/>
              <w:keepLines w:val="0"/>
              <w:suppressLineNumbers w:val="0"/>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sz w:val="32"/>
                <w:szCs w:val="32"/>
              </w:rPr>
              <w:t>评分因素</w:t>
            </w:r>
          </w:p>
        </w:tc>
        <w:tc>
          <w:tcPr>
            <w:tcW w:w="69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05D1822">
            <w:pPr>
              <w:keepNext w:val="0"/>
              <w:keepLines w:val="0"/>
              <w:suppressLineNumbers w:val="0"/>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sz w:val="32"/>
                <w:szCs w:val="32"/>
              </w:rPr>
              <w:t>评审标准</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EFC2FA">
            <w:pPr>
              <w:keepNext w:val="0"/>
              <w:keepLines w:val="0"/>
              <w:suppressLineNumbers w:val="0"/>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sz w:val="32"/>
                <w:szCs w:val="32"/>
              </w:rPr>
              <w:t>分数</w:t>
            </w:r>
          </w:p>
        </w:tc>
      </w:tr>
      <w:tr w14:paraId="18CC9C6E">
        <w:tblPrEx>
          <w:tblCellMar>
            <w:top w:w="0" w:type="dxa"/>
            <w:left w:w="0" w:type="dxa"/>
            <w:bottom w:w="0" w:type="dxa"/>
            <w:right w:w="0" w:type="dxa"/>
          </w:tblCellMar>
        </w:tblPrEx>
        <w:trPr>
          <w:trHeight w:val="1552" w:hRule="atLeast"/>
          <w:jc w:val="center"/>
        </w:trPr>
        <w:tc>
          <w:tcPr>
            <w:tcW w:w="738" w:type="dxa"/>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14:paraId="093BBAF4">
            <w:pPr>
              <w:keepNext w:val="0"/>
              <w:keepLines w:val="0"/>
              <w:suppressLineNumbers w:val="0"/>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sz w:val="32"/>
                <w:szCs w:val="32"/>
              </w:rPr>
              <w:t>1</w:t>
            </w:r>
          </w:p>
        </w:tc>
        <w:tc>
          <w:tcPr>
            <w:tcW w:w="1381" w:type="dxa"/>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14:paraId="4F8B5C2D">
            <w:pPr>
              <w:keepNext w:val="0"/>
              <w:keepLines w:val="0"/>
              <w:suppressLineNumbers w:val="0"/>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sz w:val="32"/>
                <w:szCs w:val="32"/>
              </w:rPr>
              <w:t>技术方案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满分2</w:t>
            </w:r>
            <w:r>
              <w:rPr>
                <w:rFonts w:hint="eastAsia" w:ascii="仿宋" w:hAnsi="仿宋" w:eastAsia="仿宋" w:cs="仿宋"/>
                <w:sz w:val="32"/>
                <w:szCs w:val="32"/>
                <w:lang w:eastAsia="zh-CN"/>
              </w:rPr>
              <w:t>5</w:t>
            </w:r>
            <w:r>
              <w:rPr>
                <w:rFonts w:hint="eastAsia" w:ascii="仿宋" w:hAnsi="仿宋" w:eastAsia="仿宋" w:cs="仿宋"/>
                <w:sz w:val="32"/>
                <w:szCs w:val="32"/>
                <w:lang w:val="en-US" w:eastAsia="zh-CN"/>
              </w:rPr>
              <w:t>分</w:t>
            </w:r>
            <w:r>
              <w:rPr>
                <w:rFonts w:hint="eastAsia" w:ascii="仿宋" w:hAnsi="仿宋" w:eastAsia="仿宋" w:cs="仿宋"/>
                <w:sz w:val="32"/>
                <w:szCs w:val="32"/>
                <w:lang w:eastAsia="zh-CN"/>
              </w:rPr>
              <w:t>）</w:t>
            </w:r>
          </w:p>
        </w:tc>
        <w:tc>
          <w:tcPr>
            <w:tcW w:w="695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D4848">
            <w:pPr>
              <w:keepNext w:val="0"/>
              <w:keepLines w:val="0"/>
              <w:suppressLineNumbers w:val="0"/>
              <w:spacing w:before="0" w:beforeAutospacing="0" w:after="0" w:afterAutospacing="0"/>
              <w:ind w:left="0" w:right="0"/>
              <w:jc w:val="left"/>
              <w:rPr>
                <w:rFonts w:hint="eastAsia" w:ascii="仿宋" w:hAnsi="仿宋" w:eastAsia="仿宋" w:cs="仿宋"/>
                <w:sz w:val="32"/>
                <w:szCs w:val="32"/>
                <w:lang w:eastAsia="zh-CN"/>
              </w:rPr>
            </w:pPr>
            <w:r>
              <w:rPr>
                <w:rFonts w:hint="eastAsia" w:ascii="仿宋" w:hAnsi="仿宋" w:eastAsia="仿宋" w:cs="仿宋"/>
                <w:sz w:val="32"/>
                <w:szCs w:val="32"/>
              </w:rPr>
              <w:t>技术参数：各项参数完全符合招标要求得基础分；</w:t>
            </w:r>
          </w:p>
        </w:tc>
        <w:tc>
          <w:tcPr>
            <w:tcW w:w="108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AF64A">
            <w:pPr>
              <w:keepNext w:val="0"/>
              <w:keepLines w:val="0"/>
              <w:suppressLineNumbers w:val="0"/>
              <w:spacing w:before="0" w:beforeAutospacing="0" w:after="0" w:afterAutospacing="0"/>
              <w:ind w:left="0" w:right="0"/>
              <w:jc w:val="center"/>
              <w:rPr>
                <w:rFonts w:hint="eastAsia" w:ascii="仿宋" w:hAnsi="仿宋" w:eastAsia="仿宋" w:cs="仿宋"/>
                <w:sz w:val="32"/>
                <w:szCs w:val="32"/>
              </w:rPr>
            </w:pPr>
          </w:p>
          <w:p w14:paraId="301E9C81">
            <w:pPr>
              <w:keepNext w:val="0"/>
              <w:keepLines w:val="0"/>
              <w:suppressLineNumbers w:val="0"/>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sz w:val="32"/>
                <w:szCs w:val="32"/>
                <w:lang w:val="en-US"/>
              </w:rPr>
              <mc:AlternateContent>
                <mc:Choice Requires="wps">
                  <w:drawing>
                    <wp:anchor distT="0" distB="0" distL="114300" distR="114300" simplePos="0" relativeHeight="251664384" behindDoc="0" locked="0" layoutInCell="1" allowOverlap="1">
                      <wp:simplePos x="0" y="0"/>
                      <wp:positionH relativeFrom="page">
                        <wp:posOffset>869315</wp:posOffset>
                      </wp:positionH>
                      <wp:positionV relativeFrom="paragraph">
                        <wp:posOffset>-226695</wp:posOffset>
                      </wp:positionV>
                      <wp:extent cx="2245995" cy="12839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45995" cy="1283970"/>
                              </a:xfrm>
                              <a:prstGeom prst="rect">
                                <a:avLst/>
                              </a:prstGeom>
                              <a:noFill/>
                              <a:ln>
                                <a:noFill/>
                              </a:ln>
                            </wps:spPr>
                            <wps:txbx>
                              <w:txbxContent>
                                <w:p w14:paraId="77ABBA7D"/>
                              </w:txbxContent>
                            </wps:txbx>
                            <wps:bodyPr lIns="0" tIns="0" rIns="0" bIns="0" upright="1"/>
                          </wps:wsp>
                        </a:graphicData>
                      </a:graphic>
                    </wp:anchor>
                  </w:drawing>
                </mc:Choice>
                <mc:Fallback>
                  <w:pict>
                    <v:shape id="_x0000_s1026" o:spid="_x0000_s1026" o:spt="202" type="#_x0000_t202" style="position:absolute;left:0pt;margin-left:68.45pt;margin-top:-17.85pt;height:101.1pt;width:176.85pt;mso-position-horizontal-relative:page;z-index:251664384;mso-width-relative:page;mso-height-relative:page;" filled="f" stroked="f" coordsize="21600,21600" o:gfxdata="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HWPXm2QAAAAsBAAAPAAAAAAAAAAEAIAAAACIAAABkcnMvZG93bnJldi54bWxQ&#10;SwECFAAUAAAACACHTuJAvOoWvr0BAABzAwAADgAAAAAAAAABACAAAAAoAQAAZHJzL2Uyb0RvYy54&#10;bWxQSwUGAAAAAAYABgBZAQAAVwUAAAAA&#10;">
                      <v:fill on="f" focussize="0,0"/>
                      <v:stroke on="f"/>
                      <v:imagedata o:title=""/>
                      <o:lock v:ext="edit" aspectratio="f"/>
                      <v:textbox inset="0mm,0mm,0mm,0mm">
                        <w:txbxContent>
                          <w:p w14:paraId="77ABBA7D"/>
                        </w:txbxContent>
                      </v:textbox>
                    </v:shape>
                  </w:pict>
                </mc:Fallback>
              </mc:AlternateConten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5</w:t>
            </w:r>
          </w:p>
        </w:tc>
      </w:tr>
      <w:tr w14:paraId="02923028">
        <w:tblPrEx>
          <w:tblCellMar>
            <w:top w:w="0" w:type="dxa"/>
            <w:left w:w="0" w:type="dxa"/>
            <w:bottom w:w="0" w:type="dxa"/>
            <w:right w:w="0" w:type="dxa"/>
          </w:tblCellMar>
        </w:tblPrEx>
        <w:trPr>
          <w:trHeight w:val="1438" w:hRule="atLeast"/>
          <w:jc w:val="center"/>
        </w:trPr>
        <w:tc>
          <w:tcPr>
            <w:tcW w:w="7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25BA04E">
            <w:pPr>
              <w:keepNext w:val="0"/>
              <w:keepLines w:val="0"/>
              <w:suppressLineNumbers w:val="0"/>
              <w:spacing w:before="0" w:beforeAutospacing="0" w:after="0" w:afterAutospacing="0"/>
              <w:ind w:left="0" w:right="0"/>
              <w:jc w:val="center"/>
              <w:rPr>
                <w:rFonts w:hint="eastAsia" w:ascii="仿宋" w:hAnsi="仿宋" w:eastAsia="仿宋" w:cs="仿宋"/>
                <w:sz w:val="32"/>
                <w:szCs w:val="32"/>
              </w:rPr>
            </w:pPr>
          </w:p>
        </w:tc>
        <w:tc>
          <w:tcPr>
            <w:tcW w:w="138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FE86E54">
            <w:pPr>
              <w:keepNext w:val="0"/>
              <w:keepLines w:val="0"/>
              <w:suppressLineNumbers w:val="0"/>
              <w:spacing w:before="0" w:beforeAutospacing="0" w:after="0" w:afterAutospacing="0"/>
              <w:ind w:left="0" w:right="0"/>
              <w:jc w:val="center"/>
              <w:rPr>
                <w:rFonts w:hint="eastAsia" w:ascii="仿宋" w:hAnsi="仿宋" w:eastAsia="仿宋" w:cs="仿宋"/>
                <w:sz w:val="32"/>
                <w:szCs w:val="32"/>
              </w:rPr>
            </w:pPr>
          </w:p>
        </w:tc>
        <w:tc>
          <w:tcPr>
            <w:tcW w:w="695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A7BF6">
            <w:pPr>
              <w:keepNext w:val="0"/>
              <w:keepLines w:val="0"/>
              <w:suppressLineNumbers w:val="0"/>
              <w:spacing w:before="0" w:beforeAutospacing="0" w:after="0" w:afterAutospacing="0"/>
              <w:ind w:left="0" w:right="0"/>
              <w:jc w:val="left"/>
              <w:rPr>
                <w:rFonts w:hint="eastAsia" w:ascii="仿宋" w:hAnsi="仿宋" w:eastAsia="仿宋" w:cs="仿宋"/>
                <w:sz w:val="32"/>
                <w:szCs w:val="32"/>
                <w:lang w:val="en-US"/>
              </w:rPr>
            </w:pPr>
            <w:r>
              <w:rPr>
                <w:rFonts w:hint="eastAsia" w:ascii="仿宋" w:hAnsi="仿宋" w:eastAsia="仿宋" w:cs="仿宋"/>
                <w:sz w:val="32"/>
                <w:szCs w:val="32"/>
              </w:rPr>
              <w:t>运维与创新：评估软件系统稳定性、用户使用便捷性、以及方案的创新亮点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优10分，一般5分）</w:t>
            </w:r>
          </w:p>
        </w:tc>
        <w:tc>
          <w:tcPr>
            <w:tcW w:w="108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41E7C">
            <w:pPr>
              <w:keepNext w:val="0"/>
              <w:keepLines w:val="0"/>
              <w:suppressLineNumbers w:val="0"/>
              <w:spacing w:before="0" w:beforeAutospacing="0" w:after="0" w:afterAutospacing="0"/>
              <w:ind w:left="0" w:right="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w:t>
            </w:r>
          </w:p>
        </w:tc>
      </w:tr>
      <w:tr w14:paraId="7BFAF982">
        <w:tblPrEx>
          <w:tblCellMar>
            <w:top w:w="0" w:type="dxa"/>
            <w:left w:w="0" w:type="dxa"/>
            <w:bottom w:w="0" w:type="dxa"/>
            <w:right w:w="0" w:type="dxa"/>
          </w:tblCellMar>
        </w:tblPrEx>
        <w:trPr>
          <w:trHeight w:val="896" w:hRule="atLeast"/>
          <w:jc w:val="center"/>
        </w:trPr>
        <w:tc>
          <w:tcPr>
            <w:tcW w:w="738" w:type="dxa"/>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14:paraId="04F688AB">
            <w:pPr>
              <w:keepNext w:val="0"/>
              <w:keepLines w:val="0"/>
              <w:suppressLineNumbers w:val="0"/>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sz w:val="32"/>
                <w:szCs w:val="32"/>
              </w:rPr>
              <w:t>2</w:t>
            </w:r>
          </w:p>
        </w:tc>
        <w:tc>
          <w:tcPr>
            <w:tcW w:w="1381" w:type="dxa"/>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14:paraId="0F688851">
            <w:pPr>
              <w:keepNext w:val="0"/>
              <w:keepLines w:val="0"/>
              <w:suppressLineNumbers w:val="0"/>
              <w:spacing w:before="0" w:beforeAutospacing="0" w:after="0" w:afterAutospacing="0"/>
              <w:ind w:left="0" w:right="0"/>
              <w:jc w:val="center"/>
              <w:rPr>
                <w:rFonts w:hint="eastAsia" w:ascii="仿宋" w:hAnsi="仿宋" w:eastAsia="仿宋" w:cs="仿宋"/>
                <w:sz w:val="32"/>
                <w:szCs w:val="32"/>
                <w:lang w:val="en-US" w:eastAsia="zh-CN"/>
              </w:rPr>
            </w:pPr>
            <w:r>
              <w:rPr>
                <w:rFonts w:hint="eastAsia" w:ascii="仿宋" w:hAnsi="仿宋" w:eastAsia="仿宋" w:cs="仿宋"/>
                <w:sz w:val="32"/>
                <w:szCs w:val="32"/>
              </w:rPr>
              <w:t>商务实力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满分</w:t>
            </w:r>
            <w:r>
              <w:rPr>
                <w:rFonts w:hint="eastAsia" w:ascii="仿宋" w:hAnsi="仿宋" w:eastAsia="仿宋" w:cs="仿宋"/>
                <w:sz w:val="32"/>
                <w:szCs w:val="32"/>
                <w:lang w:eastAsia="zh-CN"/>
              </w:rPr>
              <w:t>5</w:t>
            </w:r>
            <w:r>
              <w:rPr>
                <w:rFonts w:hint="eastAsia" w:ascii="仿宋" w:hAnsi="仿宋" w:eastAsia="仿宋" w:cs="仿宋"/>
                <w:sz w:val="32"/>
                <w:szCs w:val="32"/>
                <w:lang w:val="en-US" w:eastAsia="zh-CN"/>
              </w:rPr>
              <w:t>0分</w:t>
            </w:r>
            <w:r>
              <w:rPr>
                <w:rFonts w:hint="eastAsia" w:ascii="仿宋" w:hAnsi="仿宋" w:eastAsia="仿宋" w:cs="仿宋"/>
                <w:sz w:val="32"/>
                <w:szCs w:val="32"/>
                <w:lang w:eastAsia="zh-CN"/>
              </w:rPr>
              <w:t>）</w:t>
            </w:r>
          </w:p>
        </w:tc>
        <w:tc>
          <w:tcPr>
            <w:tcW w:w="695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B2FBB">
            <w:pPr>
              <w:keepNext w:val="0"/>
              <w:keepLines w:val="0"/>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sz w:val="32"/>
                <w:szCs w:val="32"/>
              </w:rPr>
              <w:t>类似业绩：提供近年来（如3年内）的类似项目合同，尤其是高校项目经验</w:t>
            </w:r>
            <w:r>
              <w:rPr>
                <w:rFonts w:hint="eastAsia" w:ascii="仿宋" w:hAnsi="仿宋" w:eastAsia="仿宋" w:cs="仿宋"/>
                <w:sz w:val="32"/>
                <w:szCs w:val="32"/>
                <w:lang w:eastAsia="zh-CN"/>
              </w:rPr>
              <w:t>。（</w:t>
            </w:r>
            <w:r>
              <w:rPr>
                <w:rFonts w:hint="eastAsia" w:ascii="仿宋" w:hAnsi="仿宋" w:eastAsia="仿宋" w:cs="仿宋"/>
                <w:sz w:val="32"/>
                <w:szCs w:val="32"/>
              </w:rPr>
              <w:t>每份合同得</w:t>
            </w:r>
            <w:r>
              <w:rPr>
                <w:rFonts w:hint="eastAsia" w:ascii="仿宋" w:hAnsi="仿宋" w:eastAsia="仿宋" w:cs="仿宋"/>
                <w:sz w:val="32"/>
                <w:szCs w:val="32"/>
                <w:lang w:val="en-US" w:eastAsia="zh-CN"/>
              </w:rPr>
              <w:t>10</w:t>
            </w:r>
            <w:r>
              <w:rPr>
                <w:rFonts w:hint="eastAsia" w:ascii="仿宋" w:hAnsi="仿宋" w:eastAsia="仿宋" w:cs="仿宋"/>
                <w:sz w:val="32"/>
                <w:szCs w:val="32"/>
              </w:rPr>
              <w:t>分。</w:t>
            </w:r>
            <w:r>
              <w:rPr>
                <w:rFonts w:hint="eastAsia" w:ascii="仿宋" w:hAnsi="仿宋" w:eastAsia="仿宋" w:cs="仿宋"/>
                <w:sz w:val="32"/>
                <w:szCs w:val="32"/>
                <w:lang w:val="en-US" w:eastAsia="zh-CN"/>
              </w:rPr>
              <w:t>最多</w:t>
            </w:r>
            <w:r>
              <w:rPr>
                <w:rFonts w:hint="eastAsia" w:ascii="仿宋" w:hAnsi="仿宋" w:eastAsia="仿宋" w:cs="仿宋"/>
                <w:sz w:val="32"/>
                <w:szCs w:val="32"/>
                <w:lang w:eastAsia="zh-CN"/>
              </w:rPr>
              <w:t>4</w:t>
            </w:r>
            <w:r>
              <w:rPr>
                <w:rFonts w:hint="eastAsia" w:ascii="仿宋" w:hAnsi="仿宋" w:eastAsia="仿宋" w:cs="仿宋"/>
                <w:sz w:val="32"/>
                <w:szCs w:val="32"/>
                <w:lang w:val="en-US" w:eastAsia="zh-CN"/>
              </w:rPr>
              <w:t>0分。</w:t>
            </w:r>
            <w:r>
              <w:rPr>
                <w:rFonts w:hint="eastAsia" w:ascii="仿宋" w:hAnsi="仿宋" w:eastAsia="仿宋" w:cs="仿宋"/>
                <w:sz w:val="32"/>
                <w:szCs w:val="32"/>
                <w:lang w:eastAsia="zh-CN"/>
              </w:rPr>
              <w:t>）</w:t>
            </w:r>
          </w:p>
        </w:tc>
        <w:tc>
          <w:tcPr>
            <w:tcW w:w="1080" w:type="dxa"/>
            <w:tcBorders>
              <w:top w:val="single" w:color="auto" w:sz="4" w:space="0"/>
              <w:left w:val="single" w:color="000000" w:sz="4" w:space="0"/>
              <w:right w:val="single" w:color="000000" w:sz="4" w:space="0"/>
            </w:tcBorders>
            <w:noWrap w:val="0"/>
            <w:tcMar>
              <w:top w:w="15" w:type="dxa"/>
              <w:left w:w="15" w:type="dxa"/>
              <w:right w:w="15" w:type="dxa"/>
            </w:tcMar>
            <w:vAlign w:val="center"/>
          </w:tcPr>
          <w:p w14:paraId="71503496">
            <w:pPr>
              <w:keepNext w:val="0"/>
              <w:keepLines w:val="0"/>
              <w:suppressLineNumbers w:val="0"/>
              <w:spacing w:before="0" w:beforeAutospacing="0" w:after="0" w:afterAutospacing="0"/>
              <w:ind w:left="0" w:right="0"/>
              <w:jc w:val="center"/>
              <w:rPr>
                <w:rFonts w:hint="eastAsia" w:ascii="仿宋" w:hAnsi="仿宋" w:eastAsia="仿宋" w:cs="仿宋"/>
                <w:sz w:val="32"/>
                <w:szCs w:val="32"/>
                <w:lang w:val="en-US"/>
              </w:rPr>
            </w:pPr>
            <w:r>
              <w:rPr>
                <w:rFonts w:hint="eastAsia" w:ascii="仿宋" w:hAnsi="仿宋" w:eastAsia="仿宋" w:cs="仿宋"/>
                <w:sz w:val="32"/>
                <w:szCs w:val="32"/>
                <w:lang w:eastAsia="zh-CN"/>
              </w:rPr>
              <w:t>4</w:t>
            </w:r>
            <w:r>
              <w:rPr>
                <w:rFonts w:hint="eastAsia" w:ascii="仿宋" w:hAnsi="仿宋" w:eastAsia="仿宋" w:cs="仿宋"/>
                <w:sz w:val="32"/>
                <w:szCs w:val="32"/>
                <w:lang w:val="en-US" w:eastAsia="zh-CN"/>
              </w:rPr>
              <w:t>0</w:t>
            </w:r>
          </w:p>
        </w:tc>
      </w:tr>
      <w:tr w14:paraId="7D88737D">
        <w:tblPrEx>
          <w:tblCellMar>
            <w:top w:w="0" w:type="dxa"/>
            <w:left w:w="0" w:type="dxa"/>
            <w:bottom w:w="0" w:type="dxa"/>
            <w:right w:w="0" w:type="dxa"/>
          </w:tblCellMar>
        </w:tblPrEx>
        <w:trPr>
          <w:trHeight w:val="896" w:hRule="atLeast"/>
          <w:jc w:val="center"/>
        </w:trPr>
        <w:tc>
          <w:tcPr>
            <w:tcW w:w="738" w:type="dxa"/>
            <w:vMerge w:val="continue"/>
            <w:tcBorders>
              <w:left w:val="single" w:color="000000" w:sz="4" w:space="0"/>
              <w:right w:val="single" w:color="000000" w:sz="4" w:space="0"/>
            </w:tcBorders>
            <w:noWrap w:val="0"/>
            <w:tcMar>
              <w:top w:w="15" w:type="dxa"/>
              <w:left w:w="15" w:type="dxa"/>
              <w:right w:w="15" w:type="dxa"/>
            </w:tcMar>
            <w:vAlign w:val="center"/>
          </w:tcPr>
          <w:p w14:paraId="5CB3E024">
            <w:pPr>
              <w:keepNext w:val="0"/>
              <w:keepLines w:val="0"/>
              <w:suppressLineNumbers w:val="0"/>
              <w:spacing w:before="0" w:beforeAutospacing="0" w:after="0" w:afterAutospacing="0"/>
              <w:ind w:left="0" w:right="0"/>
              <w:jc w:val="center"/>
              <w:rPr>
                <w:rFonts w:hint="eastAsia" w:ascii="仿宋" w:hAnsi="仿宋" w:eastAsia="仿宋" w:cs="仿宋"/>
                <w:sz w:val="32"/>
                <w:szCs w:val="32"/>
              </w:rPr>
            </w:pPr>
          </w:p>
        </w:tc>
        <w:tc>
          <w:tcPr>
            <w:tcW w:w="1381" w:type="dxa"/>
            <w:vMerge w:val="continue"/>
            <w:tcBorders>
              <w:left w:val="single" w:color="000000" w:sz="4" w:space="0"/>
              <w:right w:val="single" w:color="000000" w:sz="4" w:space="0"/>
            </w:tcBorders>
            <w:noWrap w:val="0"/>
            <w:tcMar>
              <w:top w:w="15" w:type="dxa"/>
              <w:left w:w="15" w:type="dxa"/>
              <w:right w:w="15" w:type="dxa"/>
            </w:tcMar>
            <w:vAlign w:val="center"/>
          </w:tcPr>
          <w:p w14:paraId="58009A09">
            <w:pPr>
              <w:keepNext w:val="0"/>
              <w:keepLines w:val="0"/>
              <w:suppressLineNumbers w:val="0"/>
              <w:spacing w:before="0" w:beforeAutospacing="0" w:after="0" w:afterAutospacing="0"/>
              <w:ind w:left="0" w:right="0"/>
              <w:jc w:val="center"/>
              <w:rPr>
                <w:rFonts w:hint="eastAsia" w:ascii="仿宋" w:hAnsi="仿宋" w:eastAsia="仿宋" w:cs="仿宋"/>
                <w:sz w:val="32"/>
                <w:szCs w:val="32"/>
              </w:rPr>
            </w:pPr>
          </w:p>
        </w:tc>
        <w:tc>
          <w:tcPr>
            <w:tcW w:w="695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45077">
            <w:pPr>
              <w:keepNext w:val="0"/>
              <w:keepLines w:val="0"/>
              <w:suppressLineNumbers w:val="0"/>
              <w:spacing w:before="0" w:beforeAutospacing="0" w:after="0" w:afterAutospacing="0"/>
              <w:ind w:left="0" w:right="0"/>
              <w:jc w:val="left"/>
              <w:rPr>
                <w:rFonts w:hint="eastAsia" w:ascii="仿宋" w:hAnsi="仿宋" w:eastAsia="仿宋" w:cs="仿宋"/>
                <w:sz w:val="32"/>
                <w:szCs w:val="32"/>
                <w:lang w:val="en-US" w:eastAsia="zh-CN"/>
              </w:rPr>
            </w:pPr>
            <w:r>
              <w:rPr>
                <w:rFonts w:hint="eastAsia" w:ascii="仿宋" w:hAnsi="仿宋" w:eastAsia="仿宋" w:cs="仿宋"/>
                <w:sz w:val="32"/>
                <w:szCs w:val="32"/>
              </w:rPr>
              <w:t>平台合作：是否与主流外卖平台（如美团、饿了么</w:t>
            </w:r>
            <w:r>
              <w:rPr>
                <w:rFonts w:hint="eastAsia" w:ascii="仿宋" w:hAnsi="仿宋" w:eastAsia="仿宋" w:cs="仿宋"/>
                <w:sz w:val="32"/>
                <w:szCs w:val="32"/>
                <w:lang w:val="en-US" w:eastAsia="zh-CN"/>
              </w:rPr>
              <w:t>京东等</w:t>
            </w:r>
            <w:r>
              <w:rPr>
                <w:rFonts w:hint="eastAsia" w:ascii="仿宋" w:hAnsi="仿宋" w:eastAsia="仿宋" w:cs="仿宋"/>
                <w:sz w:val="32"/>
                <w:szCs w:val="32"/>
              </w:rPr>
              <w:t>）有官方合作。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提供合作材料每家得10分</w:t>
            </w:r>
            <w:r>
              <w:rPr>
                <w:rFonts w:hint="eastAsia" w:ascii="仿宋" w:hAnsi="仿宋" w:eastAsia="仿宋" w:cs="仿宋"/>
                <w:sz w:val="32"/>
                <w:szCs w:val="32"/>
                <w:lang w:eastAsia="zh-CN"/>
              </w:rPr>
              <w:t>）</w:t>
            </w:r>
          </w:p>
        </w:tc>
        <w:tc>
          <w:tcPr>
            <w:tcW w:w="1080" w:type="dxa"/>
            <w:tcBorders>
              <w:top w:val="single" w:color="auto" w:sz="4" w:space="0"/>
              <w:left w:val="single" w:color="000000" w:sz="4" w:space="0"/>
              <w:right w:val="single" w:color="000000" w:sz="4" w:space="0"/>
            </w:tcBorders>
            <w:noWrap w:val="0"/>
            <w:tcMar>
              <w:top w:w="15" w:type="dxa"/>
              <w:left w:w="15" w:type="dxa"/>
              <w:right w:w="15" w:type="dxa"/>
            </w:tcMar>
            <w:vAlign w:val="center"/>
          </w:tcPr>
          <w:p w14:paraId="63D38C38">
            <w:pPr>
              <w:keepNext w:val="0"/>
              <w:keepLines w:val="0"/>
              <w:suppressLineNumbers w:val="0"/>
              <w:spacing w:before="0" w:beforeAutospacing="0" w:after="0" w:afterAutospacing="0"/>
              <w:ind w:left="0" w:right="0"/>
              <w:jc w:val="center"/>
              <w:rPr>
                <w:rFonts w:hint="eastAsia" w:ascii="仿宋" w:hAnsi="仿宋" w:eastAsia="仿宋" w:cs="仿宋"/>
                <w:sz w:val="32"/>
                <w:szCs w:val="32"/>
                <w:lang w:val="en-US" w:eastAsia="zh-CN"/>
              </w:rPr>
            </w:pPr>
            <w:r>
              <w:rPr>
                <w:rFonts w:hint="eastAsia" w:ascii="仿宋" w:hAnsi="仿宋" w:eastAsia="仿宋" w:cs="仿宋"/>
                <w:sz w:val="32"/>
                <w:szCs w:val="32"/>
                <w:lang w:eastAsia="zh-CN"/>
              </w:rPr>
              <w:t>1</w:t>
            </w:r>
            <w:r>
              <w:rPr>
                <w:rFonts w:hint="eastAsia" w:ascii="仿宋" w:hAnsi="仿宋" w:eastAsia="仿宋" w:cs="仿宋"/>
                <w:sz w:val="32"/>
                <w:szCs w:val="32"/>
                <w:lang w:val="en-US" w:eastAsia="zh-CN"/>
              </w:rPr>
              <w:t>0</w:t>
            </w:r>
          </w:p>
        </w:tc>
      </w:tr>
      <w:tr w14:paraId="4110A6F9">
        <w:tblPrEx>
          <w:tblCellMar>
            <w:top w:w="0" w:type="dxa"/>
            <w:left w:w="0" w:type="dxa"/>
            <w:bottom w:w="0" w:type="dxa"/>
            <w:right w:w="0" w:type="dxa"/>
          </w:tblCellMar>
        </w:tblPrEx>
        <w:trPr>
          <w:trHeight w:val="1515" w:hRule="atLeast"/>
          <w:jc w:val="center"/>
        </w:trPr>
        <w:tc>
          <w:tcPr>
            <w:tcW w:w="73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6B67D72">
            <w:pPr>
              <w:keepNext w:val="0"/>
              <w:keepLines w:val="0"/>
              <w:suppressLineNumbers w:val="0"/>
              <w:spacing w:before="0" w:beforeAutospacing="0" w:after="0" w:afterAutospacing="0"/>
              <w:ind w:left="0" w:right="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p>
        </w:tc>
        <w:tc>
          <w:tcPr>
            <w:tcW w:w="138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7D4AAD8">
            <w:pPr>
              <w:keepNext w:val="0"/>
              <w:keepLines w:val="0"/>
              <w:suppressLineNumbers w:val="0"/>
              <w:spacing w:before="0" w:beforeAutospacing="0" w:after="0" w:afterAutospacing="0"/>
              <w:ind w:left="0" w:right="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服务与售后</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满分</w:t>
            </w:r>
            <w:r>
              <w:rPr>
                <w:rFonts w:hint="eastAsia" w:ascii="仿宋" w:hAnsi="仿宋" w:eastAsia="仿宋" w:cs="仿宋"/>
                <w:sz w:val="32"/>
                <w:szCs w:val="32"/>
                <w:lang w:eastAsia="zh-CN"/>
              </w:rPr>
              <w:t>25</w:t>
            </w:r>
            <w:r>
              <w:rPr>
                <w:rFonts w:hint="eastAsia" w:ascii="仿宋" w:hAnsi="仿宋" w:eastAsia="仿宋" w:cs="仿宋"/>
                <w:sz w:val="32"/>
                <w:szCs w:val="32"/>
                <w:lang w:val="en-US" w:eastAsia="zh-CN"/>
              </w:rPr>
              <w:t>分</w:t>
            </w:r>
            <w:r>
              <w:rPr>
                <w:rFonts w:hint="eastAsia" w:ascii="仿宋" w:hAnsi="仿宋" w:eastAsia="仿宋" w:cs="仿宋"/>
                <w:sz w:val="32"/>
                <w:szCs w:val="32"/>
                <w:lang w:eastAsia="zh-CN"/>
              </w:rPr>
              <w:t>）</w:t>
            </w:r>
          </w:p>
        </w:tc>
        <w:tc>
          <w:tcPr>
            <w:tcW w:w="69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FF4257">
            <w:pPr>
              <w:keepNext w:val="0"/>
              <w:keepLines w:val="0"/>
              <w:suppressLineNumbers w:val="0"/>
              <w:spacing w:before="0" w:beforeAutospacing="0" w:after="0" w:afterAutospacing="0"/>
              <w:ind w:left="0" w:right="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服务方案：评估售后服务承诺，如响应速度、问题处理机制等。</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25C9B7">
            <w:pPr>
              <w:keepNext w:val="0"/>
              <w:keepLines w:val="0"/>
              <w:suppressLineNumbers w:val="0"/>
              <w:spacing w:before="0" w:beforeAutospacing="0" w:after="0" w:afterAutospacing="0"/>
              <w:ind w:left="0" w:right="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10</w:t>
            </w:r>
          </w:p>
        </w:tc>
      </w:tr>
      <w:tr w14:paraId="7DB0B453">
        <w:tblPrEx>
          <w:tblCellMar>
            <w:top w:w="0" w:type="dxa"/>
            <w:left w:w="0" w:type="dxa"/>
            <w:bottom w:w="0" w:type="dxa"/>
            <w:right w:w="0" w:type="dxa"/>
          </w:tblCellMar>
        </w:tblPrEx>
        <w:trPr>
          <w:trHeight w:val="1515" w:hRule="atLeast"/>
          <w:jc w:val="center"/>
        </w:trPr>
        <w:tc>
          <w:tcPr>
            <w:tcW w:w="7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6D16D41">
            <w:pPr>
              <w:keepNext w:val="0"/>
              <w:keepLines w:val="0"/>
              <w:suppressLineNumbers w:val="0"/>
              <w:spacing w:before="0" w:beforeAutospacing="0" w:after="0" w:afterAutospacing="0"/>
              <w:ind w:left="0" w:right="0"/>
              <w:jc w:val="center"/>
              <w:rPr>
                <w:rFonts w:hint="eastAsia" w:ascii="仿宋" w:hAnsi="仿宋" w:eastAsia="仿宋" w:cs="仿宋"/>
                <w:sz w:val="32"/>
                <w:szCs w:val="32"/>
                <w:lang w:val="en-US" w:eastAsia="zh-CN"/>
              </w:rPr>
            </w:pPr>
          </w:p>
        </w:tc>
        <w:tc>
          <w:tcPr>
            <w:tcW w:w="138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00A46B1">
            <w:pPr>
              <w:keepNext w:val="0"/>
              <w:keepLines w:val="0"/>
              <w:suppressLineNumbers w:val="0"/>
              <w:spacing w:before="0" w:beforeAutospacing="0" w:after="0" w:afterAutospacing="0"/>
              <w:ind w:left="0" w:right="0"/>
              <w:jc w:val="center"/>
              <w:rPr>
                <w:rFonts w:hint="eastAsia" w:ascii="仿宋" w:hAnsi="仿宋" w:eastAsia="仿宋" w:cs="仿宋"/>
                <w:sz w:val="32"/>
                <w:szCs w:val="32"/>
                <w:lang w:val="en-US" w:eastAsia="zh-CN"/>
              </w:rPr>
            </w:pPr>
          </w:p>
        </w:tc>
        <w:tc>
          <w:tcPr>
            <w:tcW w:w="69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A7C51">
            <w:pPr>
              <w:keepNext w:val="0"/>
              <w:keepLines w:val="0"/>
              <w:suppressLineNumbers w:val="0"/>
              <w:spacing w:before="0" w:beforeAutospacing="0" w:after="0" w:afterAutospacing="0"/>
              <w:ind w:left="0" w:right="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形象维护方案：针对外卖柜的日常清洁、维护、更新等方案的完善度。</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B221E">
            <w:pPr>
              <w:keepNext w:val="0"/>
              <w:keepLines w:val="0"/>
              <w:suppressLineNumbers w:val="0"/>
              <w:spacing w:before="0" w:beforeAutospacing="0" w:after="0" w:afterAutospacing="0"/>
              <w:ind w:left="0" w:right="0"/>
              <w:jc w:val="center"/>
              <w:rPr>
                <w:rFonts w:hint="eastAsia" w:ascii="仿宋" w:hAnsi="仿宋" w:eastAsia="仿宋" w:cs="仿宋"/>
                <w:sz w:val="32"/>
                <w:szCs w:val="32"/>
                <w:lang w:val="en-US" w:eastAsia="zh-CN"/>
              </w:rPr>
            </w:pPr>
            <w:r>
              <w:rPr>
                <w:rFonts w:hint="eastAsia" w:ascii="仿宋" w:hAnsi="仿宋" w:eastAsia="仿宋" w:cs="仿宋"/>
                <w:sz w:val="32"/>
                <w:szCs w:val="32"/>
                <w:lang w:eastAsia="zh-CN"/>
              </w:rPr>
              <w:t>1</w:t>
            </w:r>
            <w:r>
              <w:rPr>
                <w:rFonts w:hint="eastAsia" w:ascii="仿宋" w:hAnsi="仿宋" w:eastAsia="仿宋" w:cs="仿宋"/>
                <w:sz w:val="32"/>
                <w:szCs w:val="32"/>
                <w:lang w:val="en-US" w:eastAsia="zh-CN"/>
              </w:rPr>
              <w:t>5</w:t>
            </w:r>
          </w:p>
        </w:tc>
      </w:tr>
      <w:tr w14:paraId="5B2D6B5B">
        <w:tblPrEx>
          <w:tblCellMar>
            <w:top w:w="0" w:type="dxa"/>
            <w:left w:w="0" w:type="dxa"/>
            <w:bottom w:w="0" w:type="dxa"/>
            <w:right w:w="0" w:type="dxa"/>
          </w:tblCellMar>
        </w:tblPrEx>
        <w:trPr>
          <w:trHeight w:val="957" w:hRule="atLeast"/>
          <w:jc w:val="center"/>
        </w:trPr>
        <w:tc>
          <w:tcPr>
            <w:tcW w:w="907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2D21D6">
            <w:pPr>
              <w:keepNext w:val="0"/>
              <w:keepLines w:val="0"/>
              <w:suppressLineNumbers w:val="0"/>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sz w:val="32"/>
                <w:szCs w:val="32"/>
              </w:rPr>
              <w:t>合计</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29431">
            <w:pPr>
              <w:keepNext w:val="0"/>
              <w:keepLines w:val="0"/>
              <w:suppressLineNumbers w:val="0"/>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sz w:val="32"/>
                <w:szCs w:val="32"/>
              </w:rPr>
              <w:t>100</w:t>
            </w:r>
          </w:p>
        </w:tc>
      </w:tr>
    </w:tbl>
    <w:p w14:paraId="2B79DDB1">
      <w:pPr>
        <w:rPr>
          <w:b/>
          <w:color w:val="000000"/>
          <w:position w:val="2"/>
          <w:sz w:val="32"/>
          <w:szCs w:val="32"/>
        </w:rPr>
      </w:pPr>
      <w:r>
        <w:rPr>
          <w:rFonts w:hint="eastAsia" w:ascii="仿宋" w:hAnsi="仿宋" w:eastAsia="仿宋" w:cs="仿宋"/>
          <w:color w:val="000000"/>
          <w:szCs w:val="28"/>
        </w:rPr>
        <w:br w:type="page"/>
      </w:r>
    </w:p>
    <w:bookmarkEnd w:id="11"/>
    <w:bookmarkEnd w:id="12"/>
    <w:bookmarkEnd w:id="13"/>
    <w:bookmarkEnd w:id="14"/>
    <w:bookmarkEnd w:id="15"/>
    <w:bookmarkEnd w:id="16"/>
    <w:bookmarkEnd w:id="36"/>
    <w:bookmarkEnd w:id="37"/>
    <w:p w14:paraId="134E7675">
      <w:pPr>
        <w:keepNext w:val="0"/>
        <w:keepLines w:val="0"/>
        <w:pageBreakBefore w:val="0"/>
        <w:widowControl w:val="0"/>
        <w:shd w:val="clear"/>
        <w:kinsoku/>
        <w:wordWrap/>
        <w:overflowPunct/>
        <w:topLinePunct w:val="0"/>
        <w:autoSpaceDE/>
        <w:autoSpaceDN/>
        <w:bidi w:val="0"/>
        <w:adjustRightInd w:val="0"/>
        <w:snapToGrid w:val="0"/>
        <w:spacing w:line="560" w:lineRule="exact"/>
        <w:ind w:leftChars="0" w:firstLine="883" w:firstLineChars="200"/>
        <w:jc w:val="center"/>
        <w:textAlignment w:val="auto"/>
        <w:rPr>
          <w:rFonts w:hint="eastAsia" w:asciiTheme="minorEastAsia" w:hAnsiTheme="minorEastAsia" w:eastAsiaTheme="minorEastAsia" w:cstheme="minorEastAsia"/>
          <w:b/>
          <w:bCs w:val="0"/>
          <w:color w:val="auto"/>
          <w:sz w:val="44"/>
          <w:szCs w:val="44"/>
          <w:lang w:eastAsia="zh-CN"/>
        </w:rPr>
      </w:pPr>
      <w:bookmarkStart w:id="40" w:name="_Toc356491327"/>
      <w:bookmarkStart w:id="41" w:name="_Toc325620723"/>
      <w:bookmarkStart w:id="42" w:name="_Toc356490388"/>
      <w:bookmarkStart w:id="43" w:name="_Toc905"/>
      <w:bookmarkStart w:id="44" w:name="_Toc11038"/>
      <w:bookmarkStart w:id="45" w:name="_Toc40089798"/>
      <w:r>
        <w:rPr>
          <w:rFonts w:hint="eastAsia" w:asciiTheme="minorEastAsia" w:hAnsiTheme="minorEastAsia" w:eastAsiaTheme="minorEastAsia" w:cstheme="minorEastAsia"/>
          <w:b/>
          <w:bCs w:val="0"/>
          <w:color w:val="auto"/>
          <w:sz w:val="44"/>
          <w:szCs w:val="44"/>
          <w:lang w:eastAsia="zh-CN"/>
        </w:rPr>
        <w:t>海南卫生健康职业学院</w:t>
      </w:r>
    </w:p>
    <w:p w14:paraId="2B2902EF">
      <w:pPr>
        <w:keepNext w:val="0"/>
        <w:keepLines w:val="0"/>
        <w:pageBreakBefore w:val="0"/>
        <w:widowControl w:val="0"/>
        <w:shd w:val="clear"/>
        <w:kinsoku/>
        <w:wordWrap/>
        <w:overflowPunct/>
        <w:topLinePunct w:val="0"/>
        <w:autoSpaceDE/>
        <w:autoSpaceDN/>
        <w:bidi w:val="0"/>
        <w:adjustRightInd w:val="0"/>
        <w:snapToGrid w:val="0"/>
        <w:spacing w:line="560" w:lineRule="exact"/>
        <w:ind w:leftChars="0" w:firstLine="883" w:firstLineChars="200"/>
        <w:jc w:val="center"/>
        <w:textAlignment w:val="auto"/>
        <w:rPr>
          <w:rFonts w:hint="eastAsia" w:asciiTheme="minorEastAsia" w:hAnsiTheme="minorEastAsia" w:eastAsiaTheme="minorEastAsia" w:cstheme="minorEastAsia"/>
          <w:b/>
          <w:bCs w:val="0"/>
          <w:color w:val="auto"/>
          <w:sz w:val="44"/>
          <w:szCs w:val="44"/>
          <w:lang w:eastAsia="zh-CN"/>
        </w:rPr>
      </w:pPr>
      <w:r>
        <w:rPr>
          <w:rFonts w:hint="eastAsia" w:asciiTheme="minorEastAsia" w:hAnsiTheme="minorEastAsia" w:eastAsiaTheme="minorEastAsia" w:cstheme="minorEastAsia"/>
          <w:b/>
          <w:bCs w:val="0"/>
          <w:color w:val="auto"/>
          <w:sz w:val="44"/>
          <w:szCs w:val="44"/>
          <w:lang w:eastAsia="zh-CN"/>
        </w:rPr>
        <w:t>智能外卖柜场地使用合同</w:t>
      </w:r>
    </w:p>
    <w:p w14:paraId="2A91C5B8">
      <w:pPr>
        <w:rPr>
          <w:rFonts w:hint="eastAsia"/>
          <w:lang w:eastAsia="zh-CN"/>
        </w:rPr>
      </w:pPr>
    </w:p>
    <w:p w14:paraId="67F89BC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甲方：海南卫生健康职业学院（又称“场地方”）</w:t>
      </w:r>
    </w:p>
    <w:p w14:paraId="4CFEB06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w:t>
      </w:r>
    </w:p>
    <w:p w14:paraId="20182E9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乙方：</w:t>
      </w:r>
    </w:p>
    <w:p w14:paraId="3AE30B0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w:t>
      </w:r>
    </w:p>
    <w:p w14:paraId="783954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联系人：  </w:t>
      </w:r>
    </w:p>
    <w:p w14:paraId="5A1FD0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联系电话：           </w:t>
      </w:r>
    </w:p>
    <w:p w14:paraId="667E3BB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电子邮箱： </w:t>
      </w:r>
    </w:p>
    <w:p w14:paraId="3D3115A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p>
    <w:p w14:paraId="77C15C8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为向用户提供更便利的生活服务。甲乙双方本着平等互利、友好协商的原则，根据相关法律法规规定，就在甲方</w:t>
      </w:r>
      <w:r>
        <w:rPr>
          <w:rFonts w:hint="default" w:ascii="仿宋" w:hAnsi="仿宋" w:eastAsia="仿宋" w:cs="仿宋"/>
          <w:sz w:val="32"/>
          <w:szCs w:val="32"/>
          <w:lang w:eastAsia="zh-CN"/>
        </w:rPr>
        <w:t>指定范围内</w:t>
      </w:r>
      <w:r>
        <w:rPr>
          <w:rFonts w:hint="eastAsia" w:ascii="仿宋" w:hAnsi="仿宋" w:eastAsia="仿宋" w:cs="仿宋"/>
          <w:sz w:val="32"/>
          <w:szCs w:val="32"/>
          <w:lang w:val="en-US" w:eastAsia="zh-CN"/>
        </w:rPr>
        <w:t>安装放置智能外卖柜有关事宜达成如下合同：</w:t>
      </w:r>
    </w:p>
    <w:p w14:paraId="50C8752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一、场地及安装放置的设备基本情况</w:t>
      </w:r>
    </w:p>
    <w:p w14:paraId="0407673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设备：智能外卖柜（以下简称“外卖柜”或“设备”），是乙方拥有合法所有权或运维权的集智能柜操作系统及硬件设备的自助终端配送服务设施，供从事配送业务的服务人员派送、供用户外卖，以及在其他陆续开放的业务场景中提供其他服务（包括但不限于暂存、保管、信息推广服务或其他服务）。</w:t>
      </w:r>
    </w:p>
    <w:p w14:paraId="6BA6B0D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2.设备安装数量及场地面积：外卖柜  组，占用总场地面积        ㎡。</w:t>
      </w:r>
    </w:p>
    <w:p w14:paraId="65AE01E1">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3.场地地址：海南卫生健康职业学院校区秀华路32号；</w:t>
      </w:r>
    </w:p>
    <w:p w14:paraId="280D550E">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具体摆放位置： 海南卫生健康职业学院校区秀华路32号南门东侧；</w:t>
      </w:r>
    </w:p>
    <w:p w14:paraId="153D67A9">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铺设/安全场地条件要求：铺设场地位于室内/半室内/室外，有方便可接入的电源，电源符合标准电源220V/50HZ，防雨防潮，可靠接地。场地有手机信号覆盖良好，方便骑手及用户进入，且场地卫生条件较好（包括但不限于场地及场地附近不得有厕所、垃圾桶等）。</w:t>
      </w:r>
    </w:p>
    <w:p w14:paraId="14149B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二、合同期限</w:t>
      </w:r>
    </w:p>
    <w:p w14:paraId="788E0A7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1.本合同期限：自   年   月   日起至    年    月   日止。乙方按照实际用电支付电费（每半年缴纳一次）。</w:t>
      </w:r>
    </w:p>
    <w:p w14:paraId="73E1BEC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2.经甲乙双方同意，本合同期满时乙方在同等条件下具有本合同的优先续约权。</w:t>
      </w:r>
    </w:p>
    <w:p w14:paraId="1AE2421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三、甲方权利和义务</w:t>
      </w:r>
    </w:p>
    <w:p w14:paraId="6379EFD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甲方保证其提供的场地合法、有权向乙方提供该场地且不侵犯任何第三方合法权益，乙方可在合同期间正常使用该场地用于外卖柜放置和运营。如甲方违反前述任一保证的，应赔偿由此导致的乙方损失（包括已投入的场地施工费、硬件设备采购、安装、运营成本等），并且乙方有权解除本合同，合同解除后，甲方应配合乙方处理设备搬离等后续事宜。</w:t>
      </w:r>
    </w:p>
    <w:p w14:paraId="154F1E4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2.甲方保证，自本合同生效之日起场地应达到可使用状态并交付给乙方，甲方负责清空场地，为接电和设备安装提供便利，如因甲方原因导致乙方无法使用场地的，乙方有权延长相应天数的使用期限。</w:t>
      </w:r>
    </w:p>
    <w:p w14:paraId="6F67728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3.甲方需配合乙方外卖柜正常的经营活动，不得干涉柜机运营，不得在柜机上进行涂抹、覆盖、遮挡。在乙方外卖柜落地后，甲方需要配合做好运维工作，不得提供除乙方外卖柜以外的存外卖的设备和设施等。 </w:t>
      </w:r>
    </w:p>
    <w:p w14:paraId="286AF67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4.为共同建设智慧楼宇，甲方协助引导骑手和用户使用外卖柜，对所管理的楼宇进行物业管控。</w:t>
      </w:r>
    </w:p>
    <w:p w14:paraId="636C98F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5.甲方不得在外卖柜约定放置的场地及场地附近放置垃圾桶，或放置其他可能影响场地卫生条件的物品及其他设施设备。</w:t>
      </w:r>
    </w:p>
    <w:p w14:paraId="02F3DB6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6.甲方应确保外卖柜放置在约定的地点不被随便迁移，如有特殊情况需要调整外卖柜放置的位置时，甲方应事先与乙方协商，位置确定进行调整的，甲方应当协助乙方完成设备迁移。</w:t>
      </w:r>
    </w:p>
    <w:p w14:paraId="7ACDE1A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7.甲乙双方确认，外卖柜的所有权归属于乙方，甲方及其人员不得更改设备安装数量、安装位置，不得对设备进行任何形式的改装，不得损坏或怂恿他人损坏设备。</w:t>
      </w:r>
    </w:p>
    <w:p w14:paraId="62D3BAC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在本合同期限内，甲方保证乙方享有约定场地的专有使用权，不得将约定的场地用于其他任何用途或提供给本合同外任何第三方使用，不在其管理的场地范围内放置其他第三方的外卖柜。甲方违反本条款的，乙方有权要求甲方赔偿相应损失（包括已投入的硬件设备成本等），并且乙方有权解除本合同，合同解除后，甲方应配合乙方处理设备搬离等后续事宜。</w:t>
      </w:r>
    </w:p>
    <w:p w14:paraId="60CCD2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甲方需要协助配合乙方做好外卖柜的运维工作，包括但不限于：（1）协助进行现场的布置安装工作；（2）协助做好现场外卖管理；（3）协助乙方对楼内客户端进行引导宣传；（4）协助做好楼内外卖配送路线相关指引或标识工作。</w:t>
      </w:r>
    </w:p>
    <w:p w14:paraId="11FF55D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10.为保证场地的清洁有序，甲方承诺之前既有的货架等放置外卖的物品需在乙方外卖柜落地安装后3日内拆除。</w:t>
      </w:r>
    </w:p>
    <w:p w14:paraId="2DC470A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11.甲方在任何时候、任何情况下均无权移动、出售、赠送、转让或以其他方式处理乙方外卖柜，否则乙要求甲方找回外卖柜并赔偿乙方相应损失。</w:t>
      </w:r>
    </w:p>
    <w:p w14:paraId="4347E8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五、乙方权利和义务</w:t>
      </w:r>
    </w:p>
    <w:p w14:paraId="75D6A50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1.外卖柜由乙方指定的运维方负责运营管理，包括但不限于异常订单的处理及赔付、协助客服团队处理骑手或用户投诉、外卖柜使用方法的现场培训等,并指定联系人对外卖柜提供全天候的技术支持及维护保养。</w:t>
      </w:r>
    </w:p>
    <w:p w14:paraId="77F107C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2.乙方需指派运维方负责及时清洁外卖柜内部及表面脏污（包括但不限于放置的食物遗洒等）并承担相关清洁费用。</w:t>
      </w:r>
    </w:p>
    <w:p w14:paraId="25D7F3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乙方有权在法律允许范围内利用外卖柜开展外卖柜运营、物品保管、发布柜体等商业广告在内的合法业务，乙方承诺其开展的业务不影响甲方物业区域内的正常秩序。未经乙方书面同意，甲方不得在外卖柜上张贴广告或标识，悬挂或搭建附属设施设备等。</w:t>
      </w:r>
    </w:p>
    <w:p w14:paraId="5F38CDD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未经乙方事先书面同意，甲方、甲方关联方（含同一实际控制人关联方，下同）及甲方人员不得直接或间接、部分或整体地使用乙方及乙方关联方的商标、专利、标识等知识产权，也不得将乙方及乙方关联方的知识产权与自己的知识产权并用，或做任意的组合用于自己的知识产权上或其它业务活动中。在乙方同意使用的情况下，在本合同终止或到期后，甲方、甲方关联方及甲方人员应立即清除和停止使用乙方及乙方关联方的知识产权。甲方、甲方关联方及甲方人员因侵权或违约使用乙方及乙方关联方知识产权而给乙方及乙方关联方造成损失的，应负赔偿责任，甲方对其关联方和人员承担连带责任。</w:t>
      </w:r>
    </w:p>
    <w:p w14:paraId="13A91F3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六、甲方权利和义务的转让</w:t>
      </w:r>
    </w:p>
    <w:p w14:paraId="0CEFF1E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甲方对该物业的产权或出租权发生变更，应提前30天书面通知乙方，并协助乙方与新的享有产权或出租权的另一方进行协商，将甲方在本合同中约定的权利义务转让给另一方，甲方应保证在该等情况下受让方继续履行本合同将场地提供给乙方使用。</w:t>
      </w:r>
    </w:p>
    <w:p w14:paraId="1C41F9D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七、不可抗力</w:t>
      </w:r>
    </w:p>
    <w:p w14:paraId="1EB966B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合作期内，若遭遇不可抗力，包括但不限于地震、泥石流等自然灾害、战争、动乱、火灾、疫情管控，以及遭遇市政规划、土地规划或项目开发等原因的政府拆迁等，受不可抗力事件影响的一方应及时通知本合同相对方，并在不可抗力事件发生后15日内提供相关证明文件。受不可抗力影响无法履行本合同义务的一方无需承担违约责任，但应采取适当手段尽量减少或消除不可抗力事件的影响，并力争在最短时间内恢复履行被不可抗力事件延误或阻碍履行的义务。如发生不可抗力事件导致甲乙双方合作条件消失，本合同无法继续履行的，则甲乙双方合作自然终止，甲乙双方互不承担违约责任。</w:t>
      </w:r>
    </w:p>
    <w:p w14:paraId="49F7DB7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八、解约的处理机制</w:t>
      </w:r>
    </w:p>
    <w:p w14:paraId="168717E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除本合同另有约定外，本合同到期前，任何一方提出提前解约，都应提前30日书面通知对方，合同自通知发送后的第31日起即告解除，双方按照场地实际使用期限，据实结算相关费用。</w:t>
      </w:r>
    </w:p>
    <w:p w14:paraId="076BCBC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九、通知与送达</w:t>
      </w:r>
    </w:p>
    <w:p w14:paraId="0FB96D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1.与本合同有关的通知均应通过本合同指定的联系人和联系方式进行，一方变更联系信息的，应在变更前5日书面通知对方；如果变更方未及时通知对方，由其自行承担因此产生的全部不利后果。</w:t>
      </w:r>
    </w:p>
    <w:p w14:paraId="512504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双方根据本合同发出的通知、法院等司法或行政部门送达的本合同相关的文件及其他通信文件等，可通过专人递交，或通过挂号信件、快递服务等发到合同约定的地址，或通过合同约定邮箱发送。专人递交之日、挂号信和快递寄出后第3日、邮件发送成功当日即视为送达日。接收方拒绝接收、签收相关文件，接收方地址无人接收，或其他接收方原因导致接收方未能收到、查看相关通知文件的，视为相关通知及文件已经送达，不影响送达行为及其文件内容的效力。</w:t>
      </w:r>
    </w:p>
    <w:p w14:paraId="463F3F3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十、争议解决方式</w:t>
      </w:r>
    </w:p>
    <w:p w14:paraId="3BCA5BE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合同双方就本合同所产生的或与本合同有关的一切争议，应首先友好协商解决；协商不成的，任何一方均有权将争议提交原告所在地人民法院进行诉讼。</w:t>
      </w:r>
    </w:p>
    <w:p w14:paraId="2D3CF3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十一、其他</w:t>
      </w:r>
    </w:p>
    <w:p w14:paraId="545DE33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1.本合同自双方盖章之日起生效，壹式伍份，甲方叁份，乙方贰份，具有同等法律效力。</w:t>
      </w:r>
    </w:p>
    <w:p w14:paraId="1BF6BBF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2.本合同未尽事宜，甲乙双方共同协商签署补充协议，补充协议与本合同具有同等法律效力。</w:t>
      </w:r>
    </w:p>
    <w:p w14:paraId="78AE8BB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3.本合同附件是本合同不可分割的组成部分，与本合同具有同等法律效力。</w:t>
      </w:r>
    </w:p>
    <w:p w14:paraId="78050AB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p>
    <w:p w14:paraId="4C1647B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甲方:                            乙方:</w:t>
      </w:r>
    </w:p>
    <w:p w14:paraId="6A5B0ED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p>
    <w:p w14:paraId="6EE210D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法定代表人或授权代表:         法定代表人或授权代表： </w:t>
      </w:r>
    </w:p>
    <w:p w14:paraId="74EEAE0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p>
    <w:p w14:paraId="362640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hAnsi="宋体" w:cs="宋体"/>
          <w:color w:val="auto"/>
          <w:sz w:val="44"/>
          <w:szCs w:val="44"/>
          <w:highlight w:val="none"/>
        </w:rPr>
      </w:pPr>
      <w:r>
        <w:rPr>
          <w:rFonts w:hint="eastAsia" w:ascii="仿宋" w:hAnsi="仿宋" w:eastAsia="仿宋" w:cs="仿宋"/>
          <w:sz w:val="32"/>
          <w:szCs w:val="32"/>
          <w:lang w:val="en-US" w:eastAsia="zh-CN"/>
        </w:rPr>
        <w:t xml:space="preserve">年   月   日                 年   月   日  </w:t>
      </w:r>
    </w:p>
    <w:p w14:paraId="78D7EE8B">
      <w:pPr>
        <w:pStyle w:val="3"/>
        <w:adjustRightInd w:val="0"/>
        <w:snapToGrid w:val="0"/>
        <w:spacing w:line="560" w:lineRule="exact"/>
        <w:jc w:val="center"/>
        <w:rPr>
          <w:rFonts w:hint="eastAsia" w:ascii="仿宋" w:hAnsi="仿宋" w:eastAsia="仿宋" w:cs="仿宋"/>
          <w:sz w:val="44"/>
        </w:rPr>
      </w:pPr>
      <w:r>
        <w:rPr>
          <w:rFonts w:hint="eastAsia" w:ascii="仿宋" w:hAnsi="仿宋" w:eastAsia="仿宋" w:cs="仿宋"/>
          <w:sz w:val="44"/>
        </w:rPr>
        <w:t xml:space="preserve">第五部分 </w:t>
      </w:r>
      <w:bookmarkEnd w:id="40"/>
      <w:bookmarkEnd w:id="41"/>
      <w:bookmarkEnd w:id="42"/>
      <w:r>
        <w:rPr>
          <w:rFonts w:hint="eastAsia" w:ascii="仿宋" w:hAnsi="仿宋" w:eastAsia="仿宋" w:cs="仿宋"/>
          <w:sz w:val="44"/>
        </w:rPr>
        <w:t>项目需求</w:t>
      </w:r>
      <w:bookmarkEnd w:id="43"/>
      <w:bookmarkEnd w:id="44"/>
      <w:bookmarkEnd w:id="45"/>
    </w:p>
    <w:p w14:paraId="336A0123">
      <w:pPr>
        <w:adjustRightInd w:val="0"/>
        <w:snapToGrid w:val="0"/>
        <w:spacing w:line="560" w:lineRule="exact"/>
        <w:ind w:firstLine="640" w:firstLineChars="200"/>
        <w:rPr>
          <w:rFonts w:ascii="仿宋" w:hAnsi="仿宋" w:eastAsia="仿宋" w:cs="仿宋"/>
          <w:sz w:val="32"/>
          <w:szCs w:val="32"/>
        </w:rPr>
      </w:pPr>
      <w:bookmarkStart w:id="46" w:name="_Toc425948677"/>
    </w:p>
    <w:p w14:paraId="5EF836AF">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14:paraId="7A2A2B99">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20" w:lineRule="exact"/>
        <w:ind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项目名称：</w:t>
      </w:r>
      <w:r>
        <w:rPr>
          <w:rFonts w:hint="eastAsia" w:ascii="仿宋" w:hAnsi="仿宋" w:eastAsia="仿宋" w:cs="仿宋"/>
          <w:sz w:val="32"/>
          <w:szCs w:val="32"/>
          <w:lang w:eastAsia="zh-CN"/>
        </w:rPr>
        <w:t>海南卫生健康职业学院智能外卖柜服务项目。</w:t>
      </w:r>
    </w:p>
    <w:p w14:paraId="60D2111C">
      <w:pPr>
        <w:keepNext w:val="0"/>
        <w:keepLines w:val="0"/>
        <w:pageBreakBefore w:val="0"/>
        <w:widowControl w:val="0"/>
        <w:shd w:val="clea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项目总预算：</w:t>
      </w:r>
      <w:r>
        <w:rPr>
          <w:rFonts w:hint="eastAsia" w:ascii="仿宋" w:hAnsi="仿宋" w:eastAsia="仿宋" w:cs="仿宋"/>
          <w:color w:val="auto"/>
          <w:sz w:val="32"/>
          <w:szCs w:val="32"/>
          <w:shd w:val="clear"/>
          <w:lang w:val="en-US" w:eastAsia="zh-CN"/>
        </w:rPr>
        <w:t>0.00</w:t>
      </w:r>
      <w:r>
        <w:rPr>
          <w:rFonts w:hint="eastAsia" w:ascii="仿宋" w:hAnsi="仿宋" w:eastAsia="仿宋" w:cs="仿宋"/>
          <w:color w:val="auto"/>
          <w:sz w:val="32"/>
          <w:szCs w:val="32"/>
        </w:rPr>
        <w:t>元。</w:t>
      </w:r>
    </w:p>
    <w:p w14:paraId="5C4D5CDA">
      <w:pPr>
        <w:keepNext w:val="0"/>
        <w:keepLines w:val="0"/>
        <w:pageBreakBefore w:val="0"/>
        <w:widowControl w:val="0"/>
        <w:shd w:val="clear"/>
        <w:kinsoku/>
        <w:wordWrap/>
        <w:overflowPunct/>
        <w:topLinePunct w:val="0"/>
        <w:autoSpaceDE/>
        <w:autoSpaceDN/>
        <w:bidi w:val="0"/>
        <w:adjustRightInd w:val="0"/>
        <w:snapToGrid w:val="0"/>
        <w:spacing w:line="560" w:lineRule="exact"/>
        <w:ind w:leftChars="0" w:firstLine="640" w:firstLineChars="200"/>
        <w:textAlignment w:val="auto"/>
        <w:rPr>
          <w:rFonts w:hint="default" w:ascii="仿宋" w:hAnsi="仿宋" w:eastAsia="仿宋" w:cs="仿宋"/>
          <w:sz w:val="32"/>
          <w:szCs w:val="32"/>
          <w:shd w:val="clear"/>
          <w:lang w:val="en-US"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.地址：</w:t>
      </w:r>
      <w:r>
        <w:rPr>
          <w:rFonts w:hint="eastAsia" w:ascii="仿宋" w:hAnsi="仿宋" w:eastAsia="仿宋" w:cs="仿宋"/>
          <w:sz w:val="32"/>
          <w:szCs w:val="32"/>
          <w:shd w:val="clear"/>
          <w:lang w:eastAsia="zh-CN"/>
        </w:rPr>
        <w:t>海南卫生健康职业学院</w:t>
      </w:r>
      <w:r>
        <w:rPr>
          <w:rFonts w:hint="eastAsia" w:ascii="仿宋" w:hAnsi="仿宋" w:eastAsia="仿宋" w:cs="仿宋"/>
          <w:sz w:val="32"/>
          <w:szCs w:val="32"/>
          <w:shd w:val="clear"/>
          <w:lang w:val="en-US" w:eastAsia="zh-CN"/>
        </w:rPr>
        <w:t>秀华路32号。</w:t>
      </w:r>
    </w:p>
    <w:p w14:paraId="41E023CB">
      <w:pPr>
        <w:keepNext w:val="0"/>
        <w:keepLines w:val="0"/>
        <w:pageBreakBefore w:val="0"/>
        <w:widowControl w:val="0"/>
        <w:shd w:val="clea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4.自设备使用起，乙方按照实际用电支付电费（每半年缴纳一次）。</w:t>
      </w:r>
    </w:p>
    <w:p w14:paraId="169E635B">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二、商务需求</w:t>
      </w:r>
    </w:p>
    <w:p w14:paraId="1B16910F">
      <w:pPr>
        <w:keepNext w:val="0"/>
        <w:keepLines w:val="0"/>
        <w:pageBreakBefore w:val="0"/>
        <w:widowControl w:val="0"/>
        <w:shd w:val="clear"/>
        <w:kinsoku/>
        <w:wordWrap/>
        <w:overflowPunct/>
        <w:topLinePunct w:val="0"/>
        <w:autoSpaceDE/>
        <w:autoSpaceDN/>
        <w:bidi w:val="0"/>
        <w:adjustRightInd w:val="0"/>
        <w:snapToGrid w:val="0"/>
        <w:spacing w:line="560" w:lineRule="exact"/>
        <w:ind w:leftChars="0" w:firstLine="640" w:firstLineChars="200"/>
        <w:textAlignment w:val="auto"/>
        <w:rPr>
          <w:rFonts w:hint="default" w:ascii="仿宋" w:hAnsi="仿宋" w:eastAsia="仿宋" w:cs="仿宋"/>
          <w:color w:val="auto"/>
          <w:sz w:val="32"/>
          <w:szCs w:val="32"/>
          <w:lang w:val="en-US" w:eastAsia="zh-CN"/>
        </w:rPr>
      </w:pPr>
      <w:bookmarkStart w:id="47" w:name="_Toc40089799"/>
      <w:bookmarkStart w:id="48" w:name="_Toc21799"/>
      <w:r>
        <w:rPr>
          <w:rFonts w:hint="eastAsia" w:ascii="仿宋" w:hAnsi="仿宋" w:eastAsia="仿宋" w:cs="仿宋"/>
          <w:color w:val="auto"/>
          <w:sz w:val="32"/>
          <w:szCs w:val="32"/>
          <w:lang w:val="en-US" w:eastAsia="zh-CN"/>
        </w:rPr>
        <w:t>1.外卖柜服务期：自合同签订起3年内。</w:t>
      </w:r>
    </w:p>
    <w:p w14:paraId="555BD3A3">
      <w:pPr>
        <w:keepNext w:val="0"/>
        <w:keepLines w:val="0"/>
        <w:pageBreakBefore w:val="0"/>
        <w:widowControl w:val="0"/>
        <w:shd w:val="clea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付款方式：</w:t>
      </w:r>
      <w:r>
        <w:rPr>
          <w:rFonts w:hint="eastAsia" w:ascii="仿宋" w:hAnsi="仿宋" w:eastAsia="仿宋" w:cs="仿宋"/>
          <w:color w:val="auto"/>
          <w:sz w:val="32"/>
          <w:szCs w:val="32"/>
          <w:lang w:val="en-US" w:eastAsia="zh-CN"/>
        </w:rPr>
        <w:t>根据合同要求。</w:t>
      </w:r>
    </w:p>
    <w:p w14:paraId="7771E18E">
      <w:pPr>
        <w:keepNext w:val="0"/>
        <w:keepLines w:val="0"/>
        <w:pageBreakBefore w:val="0"/>
        <w:widowControl w:val="0"/>
        <w:shd w:val="clea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3.项目完成期限：合同签订后30天内。</w:t>
      </w:r>
    </w:p>
    <w:p w14:paraId="3867F2FF">
      <w:pPr>
        <w:adjustRightInd w:val="0"/>
        <w:snapToGrid w:val="0"/>
        <w:spacing w:line="560" w:lineRule="exact"/>
        <w:ind w:firstLine="643" w:firstLineChars="200"/>
        <w:jc w:val="left"/>
        <w:rPr>
          <w:rFonts w:hint="eastAsia" w:ascii="仿宋" w:hAnsi="仿宋" w:eastAsia="仿宋" w:cs="仿宋"/>
          <w:b/>
          <w:bCs w:val="0"/>
          <w:sz w:val="32"/>
          <w:szCs w:val="32"/>
        </w:rPr>
      </w:pPr>
      <w:r>
        <w:rPr>
          <w:rFonts w:hint="eastAsia" w:ascii="仿宋" w:hAnsi="仿宋" w:eastAsia="仿宋" w:cs="仿宋"/>
          <w:b/>
          <w:bCs w:val="0"/>
          <w:sz w:val="32"/>
          <w:szCs w:val="32"/>
          <w:lang w:eastAsia="zh-CN"/>
        </w:rPr>
        <w:t>三、技术</w:t>
      </w:r>
      <w:r>
        <w:rPr>
          <w:rFonts w:hint="eastAsia" w:ascii="仿宋" w:hAnsi="仿宋" w:eastAsia="仿宋" w:cs="仿宋"/>
          <w:b/>
          <w:bCs w:val="0"/>
          <w:sz w:val="32"/>
          <w:szCs w:val="32"/>
        </w:rPr>
        <w:t>需求</w:t>
      </w:r>
    </w:p>
    <w:p w14:paraId="7674C3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bookmarkStart w:id="49" w:name="_Toc12517"/>
      <w:r>
        <w:rPr>
          <w:rFonts w:hint="eastAsia" w:ascii="仿宋" w:hAnsi="仿宋" w:eastAsia="仿宋" w:cs="仿宋"/>
          <w:sz w:val="32"/>
          <w:szCs w:val="32"/>
          <w:lang w:eastAsia="zh-CN"/>
        </w:rPr>
        <w:t>智能外卖柜需与美团、饿了么卖等主流平台订单系统对接，实现订单数据实时同步。例如，用户下单后，系统自动分配柜格并生成取餐码，配送员存餐时柜体自动识别订单信息，用户取餐时扫码或输入验证码即可开柜。</w:t>
      </w:r>
    </w:p>
    <w:p w14:paraId="46E14F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系统自动发送取餐通知，提醒用户及时取餐。若用户超过30分钟未取餐，互联网平台、商户或运营商需通过短信、电话等方式再次提示，避免餐品长时间滞留。</w:t>
      </w:r>
    </w:p>
    <w:p w14:paraId="436E3D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超时管理：明确餐食类外卖超12小时未取将由平台统一回收处理，非餐食类外卖超时后由平台暂存保管，用户需联系客服取回。</w:t>
      </w:r>
    </w:p>
    <w:p w14:paraId="1B40B7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设备维护：商户、运营商需建立智能取餐柜运营管理制度和清洗消毒制度，配备专职或兼职人员负责日常管理。定期检查柜体运行状态和卫生状况，发现故障及时维修，确保柜体正常运行。 </w:t>
      </w:r>
    </w:p>
    <w:p w14:paraId="0FCF41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需具备履行合同的能力，包括设备供应、安装、维护及应急处理能力。供应商需负责外卖柜的日常清洁、消毒、故障维修及软件升级，确保设备正常运行供应商安排专人管理外卖柜，规范食品安全配送和临时存储。</w:t>
      </w:r>
    </w:p>
    <w:p w14:paraId="4B594885">
      <w:pPr>
        <w:rPr>
          <w:rFonts w:hint="eastAsia"/>
          <w:lang w:eastAsia="zh-CN"/>
        </w:rPr>
      </w:pPr>
    </w:p>
    <w:p w14:paraId="7CF4966E">
      <w:pPr>
        <w:rPr>
          <w:rFonts w:hint="eastAsia"/>
          <w:lang w:eastAsia="zh-CN"/>
        </w:rPr>
      </w:pPr>
    </w:p>
    <w:p w14:paraId="4C9F8110">
      <w:pPr>
        <w:bidi w:val="0"/>
        <w:rPr>
          <w:rFonts w:hint="eastAsia"/>
          <w:lang w:val="en-US" w:eastAsia="zh-CN"/>
        </w:rPr>
      </w:pPr>
    </w:p>
    <w:p w14:paraId="2F72E140">
      <w:pPr>
        <w:bidi w:val="0"/>
        <w:rPr>
          <w:rFonts w:hint="eastAsia"/>
          <w:lang w:val="en-US" w:eastAsia="zh-CN"/>
        </w:rPr>
      </w:pPr>
    </w:p>
    <w:p w14:paraId="1C9D1118">
      <w:pPr>
        <w:bidi w:val="0"/>
        <w:rPr>
          <w:rFonts w:hint="eastAsia"/>
          <w:lang w:val="en-US" w:eastAsia="zh-CN"/>
        </w:rPr>
      </w:pPr>
    </w:p>
    <w:p w14:paraId="7E2A2AA5">
      <w:pPr>
        <w:bidi w:val="0"/>
        <w:rPr>
          <w:rFonts w:hint="eastAsia"/>
          <w:lang w:val="en-US" w:eastAsia="zh-CN"/>
        </w:rPr>
      </w:pPr>
    </w:p>
    <w:p w14:paraId="47C732A7">
      <w:pPr>
        <w:bidi w:val="0"/>
        <w:rPr>
          <w:rFonts w:hint="eastAsia"/>
          <w:lang w:val="en-US" w:eastAsia="zh-CN"/>
        </w:rPr>
      </w:pPr>
    </w:p>
    <w:p w14:paraId="41247683">
      <w:pPr>
        <w:bidi w:val="0"/>
        <w:rPr>
          <w:rFonts w:hint="eastAsia"/>
          <w:lang w:val="en-US" w:eastAsia="zh-CN"/>
        </w:rPr>
      </w:pPr>
    </w:p>
    <w:p w14:paraId="300E8FA2">
      <w:pPr>
        <w:bidi w:val="0"/>
        <w:rPr>
          <w:rFonts w:hint="eastAsia"/>
          <w:lang w:val="en-US" w:eastAsia="zh-CN"/>
        </w:rPr>
      </w:pPr>
    </w:p>
    <w:p w14:paraId="222B07E1">
      <w:pPr>
        <w:bidi w:val="0"/>
        <w:rPr>
          <w:rFonts w:hint="eastAsia"/>
          <w:lang w:val="en-US" w:eastAsia="zh-CN"/>
        </w:rPr>
      </w:pPr>
    </w:p>
    <w:p w14:paraId="669626E1">
      <w:pPr>
        <w:bidi w:val="0"/>
        <w:rPr>
          <w:rFonts w:hint="eastAsia"/>
          <w:lang w:val="en-US" w:eastAsia="zh-CN"/>
        </w:rPr>
      </w:pPr>
    </w:p>
    <w:p w14:paraId="38A68C4E">
      <w:pPr>
        <w:bidi w:val="0"/>
        <w:rPr>
          <w:rFonts w:hint="eastAsia"/>
          <w:lang w:val="en-US" w:eastAsia="zh-CN"/>
        </w:rPr>
      </w:pPr>
    </w:p>
    <w:p w14:paraId="7D6A09E1">
      <w:pPr>
        <w:bidi w:val="0"/>
        <w:rPr>
          <w:rFonts w:hint="eastAsia"/>
          <w:lang w:val="en-US" w:eastAsia="zh-CN"/>
        </w:rPr>
      </w:pPr>
    </w:p>
    <w:p w14:paraId="3B368885">
      <w:pPr>
        <w:bidi w:val="0"/>
        <w:rPr>
          <w:rFonts w:hint="eastAsia"/>
          <w:lang w:val="en-US" w:eastAsia="zh-CN"/>
        </w:rPr>
      </w:pPr>
    </w:p>
    <w:p w14:paraId="59C66F14">
      <w:pPr>
        <w:bidi w:val="0"/>
        <w:rPr>
          <w:rFonts w:hint="eastAsia"/>
          <w:lang w:val="en-US" w:eastAsia="zh-CN"/>
        </w:rPr>
      </w:pPr>
    </w:p>
    <w:p w14:paraId="5140EFB6">
      <w:pPr>
        <w:bidi w:val="0"/>
        <w:rPr>
          <w:rFonts w:hint="eastAsia"/>
          <w:lang w:val="en-US" w:eastAsia="zh-CN"/>
        </w:rPr>
      </w:pPr>
    </w:p>
    <w:p w14:paraId="7D09F7D3">
      <w:pPr>
        <w:bidi w:val="0"/>
        <w:rPr>
          <w:rFonts w:hint="eastAsia"/>
          <w:lang w:val="en-US" w:eastAsia="zh-CN"/>
        </w:rPr>
      </w:pPr>
    </w:p>
    <w:p w14:paraId="5E2A50FB">
      <w:pPr>
        <w:bidi w:val="0"/>
        <w:rPr>
          <w:rFonts w:hint="eastAsia"/>
          <w:lang w:val="en-US" w:eastAsia="zh-CN"/>
        </w:rPr>
      </w:pPr>
    </w:p>
    <w:p w14:paraId="4A2C257E">
      <w:pPr>
        <w:bidi w:val="0"/>
        <w:rPr>
          <w:rFonts w:hint="eastAsia"/>
          <w:lang w:val="en-US" w:eastAsia="zh-CN"/>
        </w:rPr>
      </w:pPr>
    </w:p>
    <w:p w14:paraId="70547BA1">
      <w:pPr>
        <w:bidi w:val="0"/>
        <w:rPr>
          <w:rFonts w:hint="eastAsia"/>
          <w:lang w:val="en-US" w:eastAsia="zh-CN"/>
        </w:rPr>
      </w:pPr>
    </w:p>
    <w:p w14:paraId="779336FB">
      <w:pPr>
        <w:bidi w:val="0"/>
        <w:rPr>
          <w:rFonts w:hint="eastAsia"/>
          <w:lang w:val="en-US" w:eastAsia="zh-CN"/>
        </w:rPr>
      </w:pPr>
    </w:p>
    <w:p w14:paraId="6DADDC96">
      <w:pPr>
        <w:bidi w:val="0"/>
        <w:rPr>
          <w:rFonts w:hint="eastAsia"/>
          <w:lang w:val="en-US" w:eastAsia="zh-CN"/>
        </w:rPr>
      </w:pPr>
    </w:p>
    <w:p w14:paraId="74B0A117">
      <w:pPr>
        <w:bidi w:val="0"/>
        <w:rPr>
          <w:rFonts w:hint="eastAsia"/>
          <w:lang w:val="en-US" w:eastAsia="zh-CN"/>
        </w:rPr>
      </w:pPr>
    </w:p>
    <w:p w14:paraId="7AF13AE9">
      <w:pPr>
        <w:bidi w:val="0"/>
        <w:rPr>
          <w:rFonts w:hint="eastAsia"/>
          <w:lang w:val="en-US" w:eastAsia="zh-CN"/>
        </w:rPr>
      </w:pPr>
    </w:p>
    <w:p w14:paraId="2631FCA6">
      <w:pPr>
        <w:bidi w:val="0"/>
        <w:rPr>
          <w:rFonts w:hint="eastAsia"/>
          <w:lang w:val="en-US" w:eastAsia="zh-CN"/>
        </w:rPr>
      </w:pPr>
    </w:p>
    <w:p w14:paraId="4711AB1B">
      <w:pPr>
        <w:bidi w:val="0"/>
        <w:rPr>
          <w:rFonts w:hint="eastAsia"/>
          <w:lang w:val="en-US" w:eastAsia="zh-CN"/>
        </w:rPr>
      </w:pPr>
    </w:p>
    <w:p w14:paraId="564FF6B4">
      <w:pPr>
        <w:bidi w:val="0"/>
        <w:rPr>
          <w:rFonts w:hint="default" w:eastAsia="宋体"/>
          <w:lang w:val="en-US" w:eastAsia="zh-CN"/>
        </w:rPr>
      </w:pPr>
    </w:p>
    <w:p w14:paraId="78E28CFA">
      <w:pPr>
        <w:bidi w:val="0"/>
        <w:rPr>
          <w:rFonts w:hint="eastAsia" w:eastAsia="宋体"/>
          <w:lang w:eastAsia="zh-CN"/>
        </w:rPr>
      </w:pPr>
    </w:p>
    <w:p w14:paraId="0F1A5CF9">
      <w:pPr>
        <w:pStyle w:val="3"/>
        <w:numPr>
          <w:ilvl w:val="0"/>
          <w:numId w:val="5"/>
        </w:numPr>
        <w:adjustRightInd w:val="0"/>
        <w:snapToGrid w:val="0"/>
        <w:spacing w:line="560" w:lineRule="exact"/>
        <w:rPr>
          <w:rFonts w:hint="eastAsia" w:asciiTheme="majorEastAsia" w:hAnsiTheme="majorEastAsia" w:eastAsiaTheme="majorEastAsia" w:cstheme="majorEastAsia"/>
          <w:sz w:val="44"/>
          <w:lang w:val="en-US" w:eastAsia="zh-CN"/>
        </w:rPr>
      </w:pPr>
      <w:r>
        <w:rPr>
          <w:rFonts w:hint="eastAsia" w:asciiTheme="majorEastAsia" w:hAnsiTheme="majorEastAsia" w:eastAsiaTheme="majorEastAsia" w:cstheme="majorEastAsia"/>
          <w:sz w:val="44"/>
          <w:lang w:val="en-US" w:eastAsia="zh-CN"/>
        </w:rPr>
        <w:t>报价文件格式</w:t>
      </w:r>
      <w:bookmarkEnd w:id="46"/>
      <w:bookmarkEnd w:id="47"/>
      <w:bookmarkEnd w:id="48"/>
      <w:bookmarkEnd w:id="49"/>
    </w:p>
    <w:p w14:paraId="549ED7E3">
      <w:pPr>
        <w:numPr>
          <w:ilvl w:val="0"/>
          <w:numId w:val="0"/>
        </w:numPr>
        <w:rPr>
          <w:rFonts w:hint="eastAsia"/>
          <w:lang w:val="en-US" w:eastAsia="zh-CN"/>
        </w:rPr>
      </w:pPr>
    </w:p>
    <w:p w14:paraId="7E57FEBD">
      <w:pPr>
        <w:adjustRightInd w:val="0"/>
        <w:snapToGrid w:val="0"/>
        <w:spacing w:line="560" w:lineRule="exact"/>
        <w:ind w:left="638" w:leftChars="228"/>
        <w:rPr>
          <w:rFonts w:ascii="黑体" w:hAnsi="黑体" w:eastAsia="黑体" w:cs="黑体"/>
          <w:sz w:val="32"/>
          <w:szCs w:val="32"/>
        </w:rPr>
      </w:pPr>
      <w:r>
        <w:rPr>
          <w:rFonts w:hint="eastAsia" w:ascii="黑体" w:hAnsi="黑体" w:eastAsia="黑体" w:cs="黑体"/>
          <w:sz w:val="32"/>
          <w:szCs w:val="32"/>
        </w:rPr>
        <w:t>一、商务部分</w:t>
      </w:r>
    </w:p>
    <w:p w14:paraId="762D645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响应承诺函</w:t>
      </w:r>
      <w:r>
        <w:rPr>
          <w:rFonts w:hint="eastAsia" w:ascii="仿宋" w:hAnsi="仿宋" w:eastAsia="仿宋" w:cs="仿宋"/>
          <w:sz w:val="32"/>
          <w:szCs w:val="32"/>
        </w:rPr>
        <w:t>（详见附件1）</w:t>
      </w:r>
    </w:p>
    <w:p w14:paraId="2497889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2.★如为授权代表签字，提供法定代表人授权书（详见附件2）</w:t>
      </w:r>
    </w:p>
    <w:p w14:paraId="0714141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3.★近三年内，在经营活动中没有重大违法记录的声明（详见附件3）</w:t>
      </w:r>
    </w:p>
    <w:p w14:paraId="1F74152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4.★商务响应表（详见附件4）</w:t>
      </w:r>
    </w:p>
    <w:p w14:paraId="2BC637B7">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二、资信部分</w:t>
      </w:r>
    </w:p>
    <w:p w14:paraId="69A5DA93">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1.★提供投标人资格要求里的证明材料复印件</w:t>
      </w:r>
    </w:p>
    <w:p w14:paraId="2A2126EB">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三、技术部分</w:t>
      </w:r>
    </w:p>
    <w:p w14:paraId="5C0A526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1.对本项目的技术服务类总体要求的理解（如有）</w:t>
      </w:r>
    </w:p>
    <w:p w14:paraId="1D23EE8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2.项目总体架构及技术解决方案、技术保证措施、供货方案等（如有）</w:t>
      </w:r>
    </w:p>
    <w:p w14:paraId="71143DF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3.★技术响应表（详见附件5）</w:t>
      </w:r>
    </w:p>
    <w:p w14:paraId="3277159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4.投标货物产品图片等证明货物的合格性和符合磋商文件规定的技术资料。（如有）</w:t>
      </w:r>
    </w:p>
    <w:p w14:paraId="2E36038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5.供应商或制造商在采购人所属地区的售后服务维修机构数量及分布情况（如有）。</w:t>
      </w:r>
    </w:p>
    <w:p w14:paraId="08DFABB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6.技术服务、技术培训、售后服务的内容和措施（如有）。</w:t>
      </w:r>
    </w:p>
    <w:p w14:paraId="7227E18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7.供应商同类项目实施情况一览表并提供能证明其业绩属实的合同复印件（如有）。</w:t>
      </w:r>
    </w:p>
    <w:p w14:paraId="4893C21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8.选配件、专用耗材、售后服务优惠表（如有）。</w:t>
      </w:r>
    </w:p>
    <w:p w14:paraId="7FFAA82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9.磋商文件规定或供应商认为其它应介绍或提交的资料和文件。</w:t>
      </w:r>
    </w:p>
    <w:p w14:paraId="6FC17897">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四、报价部分</w:t>
      </w:r>
    </w:p>
    <w:p w14:paraId="1587F5E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★报价一览表（详见附件6）</w:t>
      </w:r>
    </w:p>
    <w:p w14:paraId="31E86F31">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五、特别说明</w:t>
      </w:r>
    </w:p>
    <w:p w14:paraId="06A9B3C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以上格式中标注“★”的，供应商必须提供，未提供或未按要求提供的，一律为无效投标。</w:t>
      </w:r>
    </w:p>
    <w:p w14:paraId="1C470A9B">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22D3635">
      <w:pPr>
        <w:rPr>
          <w:rFonts w:ascii="方正公文黑体" w:hAnsi="方正公文黑体" w:eastAsia="方正公文黑体" w:cs="方正公文黑体"/>
          <w:sz w:val="36"/>
          <w:szCs w:val="36"/>
        </w:rPr>
      </w:pPr>
      <w:bookmarkStart w:id="50" w:name="_Toc14759"/>
      <w:bookmarkStart w:id="51" w:name="_Toc40089800"/>
      <w:bookmarkStart w:id="52" w:name="_Toc356491342"/>
      <w:bookmarkStart w:id="53" w:name="_Toc356490394"/>
      <w:r>
        <w:rPr>
          <w:rFonts w:hint="eastAsia" w:ascii="方正公文黑体" w:hAnsi="方正公文黑体" w:eastAsia="方正公文黑体" w:cs="方正公文黑体"/>
          <w:sz w:val="36"/>
          <w:szCs w:val="36"/>
        </w:rPr>
        <w:t>附件</w:t>
      </w:r>
      <w:bookmarkEnd w:id="50"/>
      <w:bookmarkEnd w:id="51"/>
    </w:p>
    <w:p w14:paraId="5DA5F2C2">
      <w:pPr>
        <w:jc w:val="center"/>
        <w:rPr>
          <w:rFonts w:ascii="仿宋_GB2312" w:hAnsi="仿宋_GB2312" w:eastAsia="仿宋_GB2312" w:cs="仿宋_GB2312"/>
          <w:b/>
        </w:rPr>
      </w:pPr>
    </w:p>
    <w:p w14:paraId="75C8343D">
      <w:pPr>
        <w:jc w:val="center"/>
        <w:rPr>
          <w:rFonts w:ascii="仿宋_GB2312" w:hAnsi="仿宋_GB2312" w:eastAsia="仿宋_GB2312" w:cs="仿宋_GB2312"/>
          <w:b/>
        </w:rPr>
      </w:pPr>
    </w:p>
    <w:p w14:paraId="50D669CC">
      <w:pPr>
        <w:jc w:val="center"/>
        <w:rPr>
          <w:rFonts w:ascii="仿宋_GB2312" w:hAnsi="仿宋_GB2312" w:eastAsia="仿宋_GB2312" w:cs="仿宋_GB2312"/>
          <w:b/>
        </w:rPr>
      </w:pPr>
    </w:p>
    <w:p w14:paraId="0C2DD127">
      <w:pPr>
        <w:jc w:val="center"/>
        <w:rPr>
          <w:rFonts w:ascii="仿宋_GB2312" w:hAnsi="仿宋_GB2312" w:eastAsia="仿宋_GB2312" w:cs="仿宋_GB2312"/>
          <w:b/>
        </w:rPr>
      </w:pPr>
    </w:p>
    <w:p w14:paraId="45A0410C">
      <w:pPr>
        <w:ind w:firstLine="2209" w:firstLineChars="500"/>
        <w:rPr>
          <w:rFonts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55492887">
      <w:pPr>
        <w:jc w:val="right"/>
        <w:rPr>
          <w:rFonts w:ascii="仿宋_GB2312" w:hAnsi="仿宋_GB2312" w:eastAsia="仿宋_GB2312" w:cs="仿宋_GB2312"/>
          <w:b/>
          <w:bCs w:val="0"/>
          <w:sz w:val="36"/>
          <w:szCs w:val="36"/>
        </w:rPr>
      </w:pPr>
      <w:bookmarkStart w:id="54" w:name="_Toc40089801"/>
      <w:bookmarkStart w:id="55" w:name="_Toc1227"/>
      <w:r>
        <w:rPr>
          <w:rFonts w:hint="eastAsia" w:ascii="仿宋_GB2312" w:hAnsi="仿宋_GB2312" w:eastAsia="仿宋_GB2312" w:cs="仿宋_GB2312"/>
          <w:b/>
          <w:bCs w:val="0"/>
          <w:sz w:val="36"/>
          <w:szCs w:val="36"/>
        </w:rPr>
        <w:t>正本或副本</w:t>
      </w:r>
      <w:bookmarkEnd w:id="54"/>
      <w:bookmarkEnd w:id="55"/>
    </w:p>
    <w:p w14:paraId="15EFEC1B">
      <w:pPr>
        <w:ind w:firstLine="2168" w:firstLineChars="600"/>
        <w:rPr>
          <w:rFonts w:ascii="仿宋_GB2312" w:hAnsi="仿宋_GB2312" w:eastAsia="仿宋_GB2312" w:cs="仿宋_GB2312"/>
          <w:b/>
          <w:bCs w:val="0"/>
          <w:sz w:val="36"/>
          <w:szCs w:val="36"/>
          <w:u w:val="single"/>
        </w:rPr>
      </w:pPr>
      <w:bookmarkStart w:id="56" w:name="_Toc27492"/>
      <w:bookmarkStart w:id="57" w:name="_Toc40089802"/>
      <w:r>
        <w:rPr>
          <w:rFonts w:hint="eastAsia" w:ascii="仿宋_GB2312" w:hAnsi="仿宋_GB2312" w:eastAsia="仿宋_GB2312" w:cs="仿宋_GB2312"/>
          <w:b/>
          <w:bCs w:val="0"/>
          <w:sz w:val="36"/>
          <w:szCs w:val="36"/>
          <w:u w:val="single"/>
        </w:rPr>
        <w:t>（项目名称）</w:t>
      </w:r>
      <w:bookmarkEnd w:id="56"/>
      <w:bookmarkEnd w:id="57"/>
      <w:bookmarkStart w:id="58" w:name="_Toc40089803"/>
      <w:bookmarkStart w:id="59" w:name="_Toc2490"/>
      <w:r>
        <w:rPr>
          <w:rFonts w:hint="eastAsia" w:ascii="仿宋_GB2312" w:hAnsi="仿宋_GB2312" w:eastAsia="仿宋_GB2312" w:cs="仿宋_GB2312"/>
          <w:b/>
          <w:bCs w:val="0"/>
          <w:sz w:val="36"/>
          <w:szCs w:val="36"/>
          <w:u w:val="single"/>
        </w:rPr>
        <w:t xml:space="preserve">             </w:t>
      </w:r>
    </w:p>
    <w:p w14:paraId="1DC3FE3F">
      <w:pPr>
        <w:rPr>
          <w:rFonts w:ascii="仿宋_GB2312" w:hAnsi="仿宋_GB2312" w:eastAsia="仿宋_GB2312" w:cs="仿宋_GB2312"/>
        </w:rPr>
      </w:pPr>
    </w:p>
    <w:p w14:paraId="78143937">
      <w:pPr>
        <w:ind w:firstLine="2168" w:firstLineChars="600"/>
        <w:rPr>
          <w:rFonts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58"/>
      <w:bookmarkEnd w:id="59"/>
      <w:r>
        <w:rPr>
          <w:rFonts w:hint="eastAsia" w:ascii="仿宋_GB2312" w:hAnsi="仿宋_GB2312" w:eastAsia="仿宋_GB2312" w:cs="仿宋_GB2312"/>
          <w:b/>
          <w:bCs w:val="0"/>
          <w:sz w:val="36"/>
          <w:szCs w:val="36"/>
          <w:u w:val="single"/>
        </w:rPr>
        <w:t xml:space="preserve">             </w:t>
      </w:r>
    </w:p>
    <w:p w14:paraId="2CBA3115">
      <w:pPr>
        <w:rPr>
          <w:rFonts w:ascii="仿宋_GB2312" w:hAnsi="仿宋_GB2312" w:eastAsia="仿宋_GB2312" w:cs="仿宋_GB2312"/>
        </w:rPr>
      </w:pPr>
    </w:p>
    <w:p w14:paraId="417CC5B4">
      <w:pPr>
        <w:rPr>
          <w:rFonts w:ascii="仿宋_GB2312" w:hAnsi="仿宋_GB2312" w:eastAsia="仿宋_GB2312" w:cs="仿宋_GB2312"/>
        </w:rPr>
      </w:pPr>
    </w:p>
    <w:p w14:paraId="1C51D399">
      <w:pPr>
        <w:jc w:val="center"/>
        <w:rPr>
          <w:rFonts w:ascii="仿宋_GB2312" w:hAnsi="仿宋_GB2312" w:eastAsia="仿宋_GB2312" w:cs="仿宋_GB2312"/>
          <w:b/>
          <w:bCs w:val="0"/>
          <w:sz w:val="52"/>
          <w:szCs w:val="52"/>
        </w:rPr>
      </w:pPr>
      <w:bookmarkStart w:id="60" w:name="_Toc17456"/>
      <w:bookmarkStart w:id="61" w:name="_Toc40089805"/>
    </w:p>
    <w:p w14:paraId="6F207E17">
      <w:pPr>
        <w:jc w:val="center"/>
        <w:rPr>
          <w:rFonts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0"/>
      <w:bookmarkEnd w:id="61"/>
    </w:p>
    <w:p w14:paraId="418A55C8">
      <w:pPr>
        <w:rPr>
          <w:rFonts w:ascii="仿宋_GB2312" w:hAnsi="仿宋_GB2312" w:eastAsia="仿宋_GB2312" w:cs="仿宋_GB2312"/>
        </w:rPr>
      </w:pPr>
    </w:p>
    <w:p w14:paraId="6CE28FA4">
      <w:pPr>
        <w:rPr>
          <w:rFonts w:ascii="仿宋_GB2312" w:hAnsi="仿宋_GB2312" w:eastAsia="仿宋_GB2312" w:cs="仿宋_GB2312"/>
        </w:rPr>
      </w:pPr>
    </w:p>
    <w:p w14:paraId="61BD16A2">
      <w:pPr>
        <w:adjustRightInd w:val="0"/>
        <w:snapToGrid w:val="0"/>
        <w:spacing w:line="560" w:lineRule="exact"/>
        <w:ind w:firstLine="964" w:firstLineChars="300"/>
        <w:rPr>
          <w:rFonts w:ascii="仿宋_GB2312" w:hAnsi="仿宋_GB2312" w:eastAsia="仿宋_GB2312" w:cs="仿宋_GB2312"/>
          <w:b/>
          <w:bCs w:val="0"/>
          <w:sz w:val="32"/>
          <w:szCs w:val="32"/>
          <w:u w:val="single"/>
        </w:rPr>
      </w:pPr>
      <w:bookmarkStart w:id="62" w:name="_Toc40089806"/>
      <w:bookmarkStart w:id="63" w:name="_Toc25141"/>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62"/>
      <w:bookmarkEnd w:id="63"/>
    </w:p>
    <w:p w14:paraId="4FF6D70D">
      <w:pPr>
        <w:adjustRightInd w:val="0"/>
        <w:snapToGrid w:val="0"/>
        <w:spacing w:line="560" w:lineRule="exact"/>
        <w:ind w:firstLine="964" w:firstLineChars="300"/>
        <w:rPr>
          <w:rFonts w:ascii="仿宋_GB2312" w:hAnsi="仿宋_GB2312" w:eastAsia="仿宋_GB2312" w:cs="仿宋_GB2312"/>
          <w:b/>
          <w:bCs w:val="0"/>
          <w:sz w:val="32"/>
          <w:szCs w:val="32"/>
          <w:u w:val="single"/>
        </w:rPr>
      </w:pPr>
      <w:bookmarkStart w:id="64" w:name="_Toc27017"/>
      <w:bookmarkStart w:id="65" w:name="_Toc4008980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64"/>
      <w:bookmarkEnd w:id="65"/>
      <w:r>
        <w:rPr>
          <w:rFonts w:hint="eastAsia" w:ascii="仿宋_GB2312" w:hAnsi="仿宋_GB2312" w:eastAsia="仿宋_GB2312" w:cs="仿宋_GB2312"/>
          <w:b/>
          <w:bCs w:val="0"/>
          <w:sz w:val="32"/>
          <w:szCs w:val="32"/>
          <w:u w:val="single"/>
        </w:rPr>
        <w:t xml:space="preserve">       </w:t>
      </w:r>
    </w:p>
    <w:p w14:paraId="4E3AADF8">
      <w:pPr>
        <w:adjustRightInd w:val="0"/>
        <w:snapToGrid w:val="0"/>
        <w:spacing w:line="560" w:lineRule="exact"/>
        <w:ind w:firstLine="964" w:firstLineChars="300"/>
        <w:rPr>
          <w:rFonts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地   址:</w:t>
      </w:r>
      <w:r>
        <w:rPr>
          <w:rFonts w:hint="eastAsia" w:ascii="仿宋_GB2312" w:hAnsi="仿宋_GB2312" w:eastAsia="仿宋_GB2312" w:cs="仿宋_GB2312"/>
          <w:sz w:val="32"/>
          <w:szCs w:val="32"/>
          <w:u w:val="single"/>
        </w:rPr>
        <w:t xml:space="preserve">                                </w:t>
      </w:r>
    </w:p>
    <w:p w14:paraId="71A8BB8C">
      <w:pPr>
        <w:pStyle w:val="19"/>
        <w:adjustRightInd w:val="0"/>
        <w:snapToGrid w:val="0"/>
        <w:spacing w:line="560" w:lineRule="exact"/>
        <w:ind w:firstLine="964" w:firstLineChars="300"/>
        <w:rPr>
          <w:rFonts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电   话：</w:t>
      </w:r>
      <w:r>
        <w:rPr>
          <w:rFonts w:hint="eastAsia" w:ascii="仿宋_GB2312" w:hAnsi="仿宋_GB2312" w:eastAsia="仿宋_GB2312" w:cs="仿宋_GB2312"/>
          <w:sz w:val="32"/>
          <w:szCs w:val="32"/>
          <w:u w:val="single"/>
        </w:rPr>
        <w:t xml:space="preserve">                                 </w:t>
      </w:r>
    </w:p>
    <w:p w14:paraId="146DE8B2">
      <w:pPr>
        <w:rPr>
          <w:rFonts w:ascii="仿宋_GB2312" w:hAnsi="仿宋_GB2312" w:eastAsia="仿宋_GB2312" w:cs="仿宋_GB2312"/>
        </w:rPr>
      </w:pPr>
      <w:r>
        <w:rPr>
          <w:rFonts w:hint="eastAsia" w:ascii="仿宋_GB2312" w:hAnsi="仿宋_GB2312" w:eastAsia="仿宋_GB2312" w:cs="仿宋_GB2312"/>
        </w:rPr>
        <w:br w:type="page"/>
      </w:r>
    </w:p>
    <w:p w14:paraId="786E60D4">
      <w:pPr>
        <w:pStyle w:val="3"/>
        <w:spacing w:line="240" w:lineRule="auto"/>
        <w:rPr>
          <w:rFonts w:ascii="仿宋_GB2312" w:hAnsi="仿宋_GB2312" w:eastAsia="仿宋_GB2312" w:cs="仿宋_GB2312"/>
          <w:szCs w:val="36"/>
        </w:rPr>
      </w:pPr>
      <w:bookmarkStart w:id="66" w:name="_Toc9943"/>
      <w:bookmarkStart w:id="67" w:name="_Toc25558"/>
      <w:bookmarkStart w:id="68" w:name="_Toc40089808"/>
      <w:r>
        <w:rPr>
          <w:rFonts w:hint="eastAsia"/>
        </w:rPr>
        <w:t>一、商务部分</w:t>
      </w:r>
      <w:bookmarkEnd w:id="66"/>
    </w:p>
    <w:p w14:paraId="6F58E947">
      <w:pPr>
        <w:rPr>
          <w:rFonts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附件1</w:t>
      </w:r>
      <w:bookmarkEnd w:id="52"/>
      <w:bookmarkEnd w:id="53"/>
      <w:bookmarkEnd w:id="67"/>
      <w:bookmarkEnd w:id="68"/>
    </w:p>
    <w:p w14:paraId="3F30314F">
      <w:pPr>
        <w:pStyle w:val="21"/>
        <w:spacing w:line="360" w:lineRule="auto"/>
        <w:jc w:val="center"/>
        <w:rPr>
          <w:rFonts w:ascii="仿宋_GB2312" w:hAnsi="仿宋_GB2312" w:eastAsia="仿宋_GB2312" w:cs="仿宋_GB2312"/>
          <w:b/>
          <w:bCs w:val="0"/>
          <w:sz w:val="36"/>
          <w:szCs w:val="36"/>
        </w:rPr>
      </w:pPr>
      <w:bookmarkStart w:id="69" w:name="_Toc40"/>
      <w:bookmarkStart w:id="70" w:name="_Toc7957"/>
      <w:r>
        <w:rPr>
          <w:rFonts w:hint="eastAsia" w:ascii="仿宋_GB2312" w:hAnsi="仿宋_GB2312" w:eastAsia="仿宋_GB2312" w:cs="仿宋_GB2312"/>
          <w:b/>
          <w:bCs w:val="0"/>
          <w:sz w:val="36"/>
          <w:szCs w:val="36"/>
        </w:rPr>
        <w:t>响应承诺函</w:t>
      </w:r>
      <w:bookmarkEnd w:id="69"/>
      <w:bookmarkEnd w:id="70"/>
    </w:p>
    <w:p w14:paraId="59A8C220">
      <w:pPr>
        <w:adjustRightInd w:val="0"/>
        <w:snapToGrid w:val="0"/>
        <w:spacing w:line="560" w:lineRule="exact"/>
        <w:rPr>
          <w:rFonts w:ascii="仿宋" w:hAnsi="仿宋" w:eastAsia="仿宋" w:cs="仿宋"/>
          <w:b/>
          <w:color w:val="000000"/>
          <w:sz w:val="32"/>
          <w:szCs w:val="32"/>
        </w:rPr>
      </w:pPr>
      <w:r>
        <w:rPr>
          <w:rFonts w:hint="eastAsia" w:ascii="仿宋" w:hAnsi="仿宋" w:eastAsia="仿宋" w:cs="仿宋"/>
          <w:b/>
          <w:color w:val="000000"/>
          <w:sz w:val="32"/>
          <w:szCs w:val="32"/>
        </w:rPr>
        <w:t>致：</w:t>
      </w:r>
    </w:p>
    <w:p w14:paraId="17FCB23F">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根据采购人</w:t>
      </w:r>
      <w:r>
        <w:rPr>
          <w:rFonts w:hint="eastAsia" w:ascii="仿宋" w:hAnsi="仿宋" w:eastAsia="仿宋" w:cs="仿宋"/>
          <w:color w:val="000000"/>
          <w:sz w:val="32"/>
          <w:szCs w:val="32"/>
          <w:u w:val="single"/>
        </w:rPr>
        <w:t xml:space="preserve">    （</w:t>
      </w:r>
      <w:r>
        <w:rPr>
          <w:rFonts w:hint="eastAsia" w:ascii="仿宋" w:hAnsi="仿宋" w:eastAsia="仿宋" w:cs="仿宋"/>
          <w:b/>
          <w:color w:val="000000"/>
          <w:sz w:val="32"/>
          <w:szCs w:val="32"/>
          <w:u w:val="single"/>
        </w:rPr>
        <w:t xml:space="preserve">项目名称和项目编号 ）          </w:t>
      </w:r>
      <w:r>
        <w:rPr>
          <w:rFonts w:hint="eastAsia" w:ascii="仿宋" w:hAnsi="仿宋" w:eastAsia="仿宋" w:cs="仿宋"/>
          <w:color w:val="000000"/>
          <w:sz w:val="32"/>
          <w:szCs w:val="32"/>
        </w:rPr>
        <w:t>的磋商邀请函，正式授权下述签字人</w:t>
      </w:r>
      <w:r>
        <w:rPr>
          <w:rFonts w:hint="eastAsia" w:ascii="仿宋" w:hAnsi="仿宋" w:eastAsia="仿宋" w:cs="仿宋"/>
          <w:b/>
          <w:color w:val="000000"/>
          <w:sz w:val="32"/>
          <w:szCs w:val="32"/>
          <w:u w:val="single"/>
        </w:rPr>
        <w:t>姓名：职务：</w:t>
      </w:r>
      <w:r>
        <w:rPr>
          <w:rFonts w:hint="eastAsia" w:ascii="仿宋" w:hAnsi="仿宋" w:eastAsia="仿宋" w:cs="仿宋"/>
          <w:color w:val="000000"/>
          <w:sz w:val="32"/>
          <w:szCs w:val="32"/>
        </w:rPr>
        <w:t>代表服务商</w:t>
      </w:r>
      <w:r>
        <w:rPr>
          <w:rFonts w:hint="eastAsia" w:ascii="仿宋" w:hAnsi="仿宋" w:eastAsia="仿宋" w:cs="仿宋"/>
          <w:b/>
          <w:color w:val="000000"/>
          <w:sz w:val="32"/>
          <w:szCs w:val="32"/>
          <w:u w:val="single"/>
        </w:rPr>
        <w:t>（服务商名称）</w:t>
      </w:r>
      <w:r>
        <w:rPr>
          <w:rFonts w:hint="eastAsia" w:ascii="仿宋" w:hAnsi="仿宋" w:eastAsia="仿宋" w:cs="仿宋"/>
          <w:color w:val="000000"/>
          <w:sz w:val="32"/>
          <w:szCs w:val="32"/>
        </w:rPr>
        <w:t>，提交纸质响应文件一式</w:t>
      </w:r>
      <w:r>
        <w:rPr>
          <w:rFonts w:hint="eastAsia" w:ascii="仿宋" w:hAnsi="仿宋" w:eastAsia="仿宋" w:cs="仿宋"/>
          <w:color w:val="000000"/>
          <w:sz w:val="32"/>
          <w:szCs w:val="32"/>
          <w:u w:val="single"/>
        </w:rPr>
        <w:t>三</w:t>
      </w:r>
      <w:r>
        <w:rPr>
          <w:rFonts w:hint="eastAsia" w:ascii="仿宋" w:hAnsi="仿宋" w:eastAsia="仿宋" w:cs="仿宋"/>
          <w:color w:val="000000"/>
          <w:sz w:val="32"/>
          <w:szCs w:val="32"/>
        </w:rPr>
        <w:t>份，正本</w:t>
      </w:r>
      <w:r>
        <w:rPr>
          <w:rFonts w:hint="eastAsia" w:ascii="仿宋" w:hAnsi="仿宋" w:eastAsia="仿宋" w:cs="仿宋"/>
          <w:b/>
          <w:color w:val="000000"/>
          <w:sz w:val="32"/>
          <w:szCs w:val="32"/>
          <w:u w:val="single"/>
        </w:rPr>
        <w:t>一</w:t>
      </w:r>
      <w:r>
        <w:rPr>
          <w:rFonts w:hint="eastAsia" w:ascii="仿宋" w:hAnsi="仿宋" w:eastAsia="仿宋" w:cs="仿宋"/>
          <w:color w:val="000000"/>
          <w:sz w:val="32"/>
          <w:szCs w:val="32"/>
        </w:rPr>
        <w:t>份，副本</w:t>
      </w:r>
      <w:r>
        <w:rPr>
          <w:rFonts w:hint="eastAsia" w:ascii="仿宋" w:hAnsi="仿宋" w:eastAsia="仿宋" w:cs="仿宋"/>
          <w:color w:val="000000"/>
          <w:sz w:val="32"/>
          <w:szCs w:val="32"/>
          <w:u w:val="single"/>
        </w:rPr>
        <w:t>二</w:t>
      </w:r>
      <w:r>
        <w:rPr>
          <w:rFonts w:hint="eastAsia" w:ascii="仿宋" w:hAnsi="仿宋" w:eastAsia="仿宋" w:cs="仿宋"/>
          <w:color w:val="000000"/>
          <w:sz w:val="32"/>
          <w:szCs w:val="32"/>
        </w:rPr>
        <w:t>份，电子文档</w:t>
      </w:r>
      <w:r>
        <w:rPr>
          <w:rFonts w:hint="eastAsia" w:ascii="仿宋" w:hAnsi="仿宋" w:eastAsia="仿宋" w:cs="仿宋"/>
          <w:color w:val="000000"/>
          <w:sz w:val="32"/>
          <w:szCs w:val="32"/>
          <w:u w:val="single"/>
        </w:rPr>
        <w:t>一</w:t>
      </w:r>
      <w:r>
        <w:rPr>
          <w:rFonts w:hint="eastAsia" w:ascii="仿宋" w:hAnsi="仿宋" w:eastAsia="仿宋" w:cs="仿宋"/>
          <w:color w:val="000000"/>
          <w:sz w:val="32"/>
          <w:szCs w:val="32"/>
        </w:rPr>
        <w:t>份。</w:t>
      </w:r>
    </w:p>
    <w:p w14:paraId="29667B53">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本公司谨此承诺并声明：</w:t>
      </w:r>
    </w:p>
    <w:p w14:paraId="5E879035">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1．我方承诺在采购文件规定的响应有效期内不修改、撤销响应文件。</w:t>
      </w:r>
    </w:p>
    <w:p w14:paraId="75128603">
      <w:pPr>
        <w:widowControl/>
        <w:adjustRightInd w:val="0"/>
        <w:snapToGrid w:val="0"/>
        <w:spacing w:line="56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2．投标报价金额为人民币</w:t>
      </w:r>
      <w:r>
        <w:rPr>
          <w:rFonts w:hint="eastAsia" w:ascii="仿宋" w:hAnsi="仿宋" w:eastAsia="仿宋" w:cs="仿宋"/>
          <w:color w:val="000000"/>
          <w:sz w:val="32"/>
          <w:szCs w:val="32"/>
          <w:u w:val="single"/>
        </w:rPr>
        <w:t xml:space="preserve"> （大写） </w:t>
      </w:r>
      <w:r>
        <w:rPr>
          <w:rFonts w:hint="eastAsia" w:ascii="仿宋" w:hAnsi="仿宋" w:eastAsia="仿宋" w:cs="仿宋"/>
          <w:color w:val="000000"/>
          <w:sz w:val="32"/>
          <w:szCs w:val="32"/>
        </w:rPr>
        <w:t>（¥）。</w:t>
      </w:r>
    </w:p>
    <w:p w14:paraId="1D2F0DC2">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 xml:space="preserve">3、同意并接受磋商文件的各项条款要求，遵守文件中的各项规定，按磋商文件的要求响应用户需求书的所有内容。 </w:t>
      </w:r>
    </w:p>
    <w:p w14:paraId="53528E77">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kern w:val="0"/>
          <w:sz w:val="32"/>
          <w:szCs w:val="32"/>
        </w:rPr>
        <w:t>本响应文件的有效期为从磋商截止日期起计算的</w:t>
      </w:r>
      <w:r>
        <w:rPr>
          <w:rFonts w:hint="eastAsia" w:ascii="仿宋" w:hAnsi="仿宋" w:eastAsia="仿宋" w:cs="仿宋"/>
          <w:color w:val="000000"/>
          <w:kern w:val="0"/>
          <w:sz w:val="32"/>
          <w:szCs w:val="32"/>
          <w:u w:val="single"/>
          <w:lang w:val="en-US" w:eastAsia="zh-CN"/>
        </w:rPr>
        <w:t xml:space="preserve"> 90 </w:t>
      </w:r>
      <w:r>
        <w:rPr>
          <w:rFonts w:hint="eastAsia" w:ascii="仿宋" w:hAnsi="仿宋" w:eastAsia="仿宋" w:cs="仿宋"/>
          <w:color w:val="000000"/>
          <w:kern w:val="0"/>
          <w:sz w:val="32"/>
          <w:szCs w:val="32"/>
        </w:rPr>
        <w:t>天，在此期间，本响应文件将始终对我们具有约束力，并可随时被接受</w:t>
      </w:r>
      <w:r>
        <w:rPr>
          <w:rFonts w:hint="eastAsia" w:ascii="仿宋" w:hAnsi="仿宋" w:eastAsia="仿宋" w:cs="仿宋"/>
          <w:color w:val="000000"/>
          <w:sz w:val="32"/>
          <w:szCs w:val="32"/>
        </w:rPr>
        <w:t>澄清</w:t>
      </w:r>
      <w:r>
        <w:rPr>
          <w:rFonts w:hint="eastAsia" w:ascii="仿宋" w:hAnsi="仿宋" w:eastAsia="仿宋" w:cs="仿宋"/>
          <w:color w:val="000000"/>
          <w:kern w:val="0"/>
          <w:sz w:val="32"/>
          <w:szCs w:val="32"/>
        </w:rPr>
        <w:t>。如果我们成交，本响应文件在此期间之后将继续保持有效。</w:t>
      </w:r>
    </w:p>
    <w:p w14:paraId="525AE50C">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5、我方已经详细地阅读了全部磋商文件及其附件，包括澄清及参考文件。我方已完全清晰理解磋商文件的要求，不存在任何含糊不清和误解之处，同意放弃对这些文件所提出的异议和质疑的权利。</w:t>
      </w:r>
    </w:p>
    <w:p w14:paraId="17EF1440">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6、我方已毫无保留地向贵方提供一切所需的证明材料。不论在任何时候，将按贵方要求如实提供一切补充材料。</w:t>
      </w:r>
    </w:p>
    <w:p w14:paraId="4DF68223">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7、我方承诺在本次响应中提供的一切文件，无论是原件还是复印件均为真实和准确的，绝无任何虚假、伪造和夸大的成份，否则，愿承担相应的后果和法律责任。</w:t>
      </w:r>
    </w:p>
    <w:p w14:paraId="232B39FD">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8、我方完全服从和尊重磋商小组所作的评审结果，同时清楚理解到响应并不一定获得成交资格。</w:t>
      </w:r>
    </w:p>
    <w:p w14:paraId="13198955">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9、我方在参与本次磋商采购活动中，不以任何不当手段影响、串通、排斥有关当事人或谋取、施予非法利益，如有不当行为，愿承担此行为所造成的不利后果和法律责任。</w:t>
      </w:r>
    </w:p>
    <w:p w14:paraId="780C2100">
      <w:pPr>
        <w:widowControl/>
        <w:adjustRightInd w:val="0"/>
        <w:snapToGrid w:val="0"/>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服务商名称：</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（公章）</w:t>
      </w:r>
    </w:p>
    <w:p w14:paraId="3EA36B6B">
      <w:pPr>
        <w:widowControl/>
        <w:adjustRightInd w:val="0"/>
        <w:snapToGrid w:val="0"/>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法定代表人：</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（签名或盖章）</w:t>
      </w:r>
    </w:p>
    <w:p w14:paraId="485A6234">
      <w:pPr>
        <w:adjustRightInd w:val="0"/>
        <w:snapToGrid w:val="0"/>
        <w:spacing w:line="560" w:lineRule="exact"/>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被授权人：</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（亲笔签名）</w: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color w:val="000000"/>
          <w:sz w:val="32"/>
          <w:szCs w:val="32"/>
        </w:rPr>
        <w:t>职务：</w:t>
      </w:r>
      <w:r>
        <w:rPr>
          <w:rFonts w:hint="eastAsia" w:ascii="仿宋" w:hAnsi="仿宋" w:eastAsia="仿宋" w:cs="仿宋"/>
          <w:color w:val="000000"/>
          <w:sz w:val="32"/>
          <w:szCs w:val="32"/>
          <w:u w:val="single"/>
          <w:lang w:val="en-US" w:eastAsia="zh-CN"/>
        </w:rPr>
        <w:t xml:space="preserve">           </w:t>
      </w:r>
    </w:p>
    <w:p w14:paraId="0ED20BF3">
      <w:pPr>
        <w:adjustRightInd w:val="0"/>
        <w:snapToGrid w:val="0"/>
        <w:spacing w:line="560" w:lineRule="exact"/>
        <w:rPr>
          <w:rFonts w:ascii="仿宋_GB2312" w:hAnsi="仿宋_GB2312" w:eastAsia="仿宋_GB2312" w:cs="仿宋_GB2312"/>
        </w:rPr>
      </w:pPr>
      <w:r>
        <w:rPr>
          <w:rFonts w:hint="eastAsia" w:ascii="仿宋" w:hAnsi="仿宋" w:eastAsia="仿宋" w:cs="仿宋"/>
          <w:color w:val="000000"/>
          <w:sz w:val="32"/>
          <w:szCs w:val="32"/>
        </w:rPr>
        <w:t>承诺日期：年  月  日</w:t>
      </w:r>
      <w:r>
        <w:rPr>
          <w:rFonts w:hint="eastAsia" w:ascii="仿宋" w:hAnsi="仿宋" w:eastAsia="仿宋" w:cs="仿宋"/>
          <w:sz w:val="32"/>
          <w:szCs w:val="32"/>
        </w:rPr>
        <w:br w:type="page"/>
      </w:r>
      <w:bookmarkStart w:id="71" w:name="_Toc323129568"/>
      <w:bookmarkStart w:id="72" w:name="_Toc323130135"/>
      <w:bookmarkStart w:id="73" w:name="_Toc40089809"/>
      <w:bookmarkStart w:id="74" w:name="_Toc26307"/>
      <w:bookmarkStart w:id="75" w:name="_Toc356491343"/>
      <w:bookmarkStart w:id="76" w:name="_Toc325620729"/>
      <w:r>
        <w:rPr>
          <w:rFonts w:hint="eastAsia" w:ascii="方正公文黑体" w:hAnsi="方正公文黑体" w:eastAsia="方正公文黑体" w:cs="方正公文黑体"/>
          <w:sz w:val="36"/>
          <w:szCs w:val="36"/>
        </w:rPr>
        <w:t>附件</w:t>
      </w:r>
      <w:bookmarkEnd w:id="71"/>
      <w:bookmarkEnd w:id="72"/>
      <w:r>
        <w:rPr>
          <w:rFonts w:hint="eastAsia" w:ascii="方正公文黑体" w:hAnsi="方正公文黑体" w:eastAsia="方正公文黑体" w:cs="方正公文黑体"/>
          <w:sz w:val="36"/>
          <w:szCs w:val="36"/>
        </w:rPr>
        <w:t>2</w:t>
      </w:r>
      <w:bookmarkEnd w:id="73"/>
      <w:bookmarkEnd w:id="74"/>
      <w:bookmarkEnd w:id="75"/>
      <w:bookmarkEnd w:id="76"/>
      <w:bookmarkStart w:id="77" w:name="_Toc356490395"/>
      <w:bookmarkStart w:id="78" w:name="_Toc356491344"/>
    </w:p>
    <w:p w14:paraId="4CFC7751">
      <w:pPr>
        <w:pStyle w:val="21"/>
        <w:spacing w:line="360" w:lineRule="auto"/>
        <w:jc w:val="center"/>
        <w:rPr>
          <w:rFonts w:hint="eastAsia" w:ascii="仿宋_GB2312" w:hAnsi="仿宋_GB2312" w:eastAsia="仿宋_GB2312" w:cs="仿宋_GB2312"/>
          <w:b/>
          <w:bCs w:val="0"/>
          <w:sz w:val="36"/>
          <w:szCs w:val="36"/>
        </w:rPr>
      </w:pPr>
      <w:bookmarkStart w:id="79" w:name="_Toc22979"/>
      <w:bookmarkStart w:id="80" w:name="_Toc28196"/>
      <w:bookmarkStart w:id="81" w:name="_Toc16945"/>
      <w:bookmarkStart w:id="82" w:name="_Toc524016633"/>
      <w:bookmarkStart w:id="83" w:name="_Toc3901"/>
      <w:bookmarkStart w:id="84" w:name="_Toc524016738"/>
      <w:bookmarkStart w:id="85" w:name="_Toc32320_WPSOffice_Level2"/>
      <w:bookmarkStart w:id="86" w:name="_Toc524016575"/>
      <w:bookmarkStart w:id="87" w:name="_Toc8229"/>
      <w:bookmarkStart w:id="88" w:name="_Toc14824"/>
      <w:bookmarkStart w:id="89" w:name="_Toc23717"/>
    </w:p>
    <w:p w14:paraId="761E3DF1">
      <w:pPr>
        <w:pStyle w:val="21"/>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bookmarkEnd w:id="79"/>
      <w:bookmarkEnd w:id="80"/>
      <w:bookmarkEnd w:id="81"/>
      <w:bookmarkEnd w:id="82"/>
      <w:bookmarkEnd w:id="83"/>
      <w:bookmarkEnd w:id="84"/>
      <w:bookmarkEnd w:id="85"/>
      <w:bookmarkEnd w:id="86"/>
      <w:bookmarkEnd w:id="87"/>
      <w:bookmarkEnd w:id="88"/>
      <w:bookmarkEnd w:id="89"/>
    </w:p>
    <w:p w14:paraId="42F02AF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72D64B72">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58E451A5">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05B9D3AD">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0E26811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64056747">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7CE0A9D7">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50047F0E">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2B41787E">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61F11FA9">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（附法定代表人身份证明复印件）</w:t>
      </w:r>
    </w:p>
    <w:p w14:paraId="30B235E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486D4091">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188E0392">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45FA3251">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3F3644A6">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653A8221">
      <w:pPr>
        <w:pStyle w:val="21"/>
        <w:spacing w:line="360" w:lineRule="auto"/>
        <w:jc w:val="center"/>
        <w:rPr>
          <w:rFonts w:hint="eastAsia" w:ascii="仿宋_GB2312" w:hAnsi="仿宋_GB2312" w:eastAsia="仿宋_GB2312" w:cs="仿宋_GB2312"/>
          <w:b/>
          <w:bCs w:val="0"/>
          <w:sz w:val="36"/>
          <w:szCs w:val="36"/>
        </w:rPr>
      </w:pPr>
    </w:p>
    <w:p w14:paraId="0E38D9EE">
      <w:pPr>
        <w:pStyle w:val="21"/>
        <w:spacing w:line="360" w:lineRule="auto"/>
        <w:jc w:val="center"/>
        <w:rPr>
          <w:rFonts w:hint="eastAsia" w:ascii="仿宋_GB2312" w:hAnsi="仿宋_GB2312" w:eastAsia="仿宋_GB2312" w:cs="仿宋_GB2312"/>
          <w:b/>
          <w:bCs w:val="0"/>
          <w:sz w:val="36"/>
          <w:szCs w:val="36"/>
        </w:rPr>
      </w:pPr>
    </w:p>
    <w:p w14:paraId="51C6DB65">
      <w:pPr>
        <w:pStyle w:val="21"/>
        <w:spacing w:line="360" w:lineRule="auto"/>
        <w:jc w:val="center"/>
        <w:rPr>
          <w:rFonts w:hint="eastAsia" w:ascii="仿宋_GB2312" w:hAnsi="仿宋_GB2312" w:eastAsia="仿宋_GB2312" w:cs="仿宋_GB2312"/>
          <w:b/>
          <w:bCs w:val="0"/>
          <w:sz w:val="36"/>
          <w:szCs w:val="36"/>
        </w:rPr>
      </w:pPr>
    </w:p>
    <w:p w14:paraId="4E7718B7">
      <w:pPr>
        <w:pStyle w:val="21"/>
        <w:spacing w:line="360" w:lineRule="auto"/>
        <w:jc w:val="center"/>
        <w:rPr>
          <w:rFonts w:hint="eastAsia" w:ascii="仿宋_GB2312" w:hAnsi="仿宋_GB2312" w:eastAsia="仿宋_GB2312" w:cs="仿宋_GB2312"/>
          <w:b/>
          <w:bCs w:val="0"/>
          <w:sz w:val="36"/>
          <w:szCs w:val="36"/>
        </w:rPr>
      </w:pPr>
    </w:p>
    <w:p w14:paraId="315CC93C">
      <w:pPr>
        <w:pStyle w:val="21"/>
        <w:spacing w:line="360" w:lineRule="auto"/>
        <w:jc w:val="center"/>
        <w:rPr>
          <w:rFonts w:hint="eastAsia" w:ascii="仿宋_GB2312" w:hAnsi="仿宋_GB2312" w:eastAsia="仿宋_GB2312" w:cs="仿宋_GB2312"/>
          <w:b/>
          <w:bCs w:val="0"/>
          <w:sz w:val="36"/>
          <w:szCs w:val="36"/>
        </w:rPr>
      </w:pPr>
    </w:p>
    <w:p w14:paraId="4F5D06A8">
      <w:pPr>
        <w:pStyle w:val="21"/>
        <w:spacing w:line="360" w:lineRule="auto"/>
        <w:jc w:val="center"/>
        <w:rPr>
          <w:rFonts w:hint="eastAsia" w:ascii="仿宋" w:hAnsi="仿宋" w:eastAsia="仿宋" w:cs="仿宋"/>
          <w:b/>
          <w:bCs w:val="0"/>
          <w:sz w:val="36"/>
          <w:szCs w:val="36"/>
          <w:lang w:eastAsia="zh-CN"/>
        </w:rPr>
      </w:pPr>
      <w:r>
        <w:rPr>
          <w:rFonts w:hint="eastAsia" w:ascii="仿宋" w:hAnsi="仿宋" w:eastAsia="仿宋" w:cs="仿宋"/>
          <w:b/>
          <w:bCs w:val="0"/>
          <w:sz w:val="36"/>
          <w:szCs w:val="36"/>
        </w:rPr>
        <w:t>法定代表人授权委托书</w:t>
      </w:r>
      <w:r>
        <w:rPr>
          <w:rFonts w:hint="eastAsia" w:ascii="仿宋" w:hAnsi="仿宋" w:eastAsia="仿宋" w:cs="仿宋"/>
          <w:b/>
          <w:bCs w:val="0"/>
          <w:sz w:val="36"/>
          <w:szCs w:val="36"/>
          <w:lang w:eastAsia="zh-CN"/>
        </w:rPr>
        <w:t>（法人参加投标无需提供此表）</w:t>
      </w:r>
    </w:p>
    <w:p w14:paraId="3EF6DDDC">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hint="eastAsia" w:ascii="仿宋" w:hAnsi="仿宋" w:eastAsia="仿宋" w:cs="仿宋"/>
          <w:sz w:val="32"/>
          <w:szCs w:val="32"/>
        </w:rPr>
      </w:pPr>
      <w:r>
        <w:rPr>
          <w:rFonts w:hint="eastAsia" w:ascii="仿宋" w:hAnsi="仿宋" w:eastAsia="仿宋" w:cs="仿宋"/>
          <w:sz w:val="32"/>
          <w:szCs w:val="32"/>
        </w:rPr>
        <w:t>海南卫生健康职业学院：</w:t>
      </w:r>
    </w:p>
    <w:p w14:paraId="18F1CD97">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姓名）系 </w:t>
      </w:r>
      <w:r>
        <w:rPr>
          <w:rFonts w:hint="eastAsia" w:ascii="仿宋" w:hAnsi="仿宋" w:eastAsia="仿宋" w:cs="仿宋"/>
          <w:sz w:val="32"/>
          <w:szCs w:val="32"/>
          <w:u w:val="single"/>
        </w:rPr>
        <w:t xml:space="preserve">           </w:t>
      </w:r>
      <w:r>
        <w:rPr>
          <w:rFonts w:hint="eastAsia" w:ascii="仿宋" w:hAnsi="仿宋" w:eastAsia="仿宋" w:cs="仿宋"/>
          <w:sz w:val="32"/>
          <w:szCs w:val="32"/>
        </w:rPr>
        <w:t>（投标人名称）法定代表人，现授权委托我公司的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（姓名、职务或职称）为我单位本次项目的全权代表，以本公司的名义参加海南卫生健康职业学院组织的                      （项目名称/项目编号）的招标，全权处理招标过程有关的一切事务。</w:t>
      </w:r>
    </w:p>
    <w:p w14:paraId="21D59138">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被授权人在授权书有效期内</w:t>
      </w:r>
      <w:r>
        <w:rPr>
          <w:rFonts w:hint="eastAsia" w:ascii="仿宋" w:hAnsi="仿宋" w:eastAsia="仿宋" w:cs="仿宋"/>
          <w:sz w:val="32"/>
          <w:szCs w:val="32"/>
          <w:u w:val="single"/>
        </w:rPr>
        <w:t xml:space="preserve">   年  月  日至  年  月  日</w:t>
      </w:r>
      <w:r>
        <w:rPr>
          <w:rFonts w:hint="eastAsia" w:ascii="仿宋" w:hAnsi="仿宋" w:eastAsia="仿宋" w:cs="仿宋"/>
          <w:sz w:val="32"/>
          <w:szCs w:val="32"/>
        </w:rPr>
        <w:t>签署的所有文件不因授权的撤消而失效。</w:t>
      </w:r>
    </w:p>
    <w:p w14:paraId="24C767D3">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全权代表无转委托权。特此委托。</w:t>
      </w:r>
    </w:p>
    <w:p w14:paraId="34BFDEBD">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 w:hAnsi="仿宋" w:eastAsia="仿宋" w:cs="仿宋"/>
          <w:sz w:val="32"/>
          <w:szCs w:val="32"/>
        </w:rPr>
      </w:pPr>
    </w:p>
    <w:p w14:paraId="432CA2E8">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（附法定代表人、授权代理人身份证明复印件）</w:t>
      </w:r>
    </w:p>
    <w:p w14:paraId="60E9924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p>
    <w:p w14:paraId="7F5C327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p>
    <w:p w14:paraId="1093429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p>
    <w:p w14:paraId="22BEDF9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投标人（盖章）：</w:t>
      </w:r>
    </w:p>
    <w:p w14:paraId="0FB8952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p>
    <w:p w14:paraId="58995D1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法定代表人：（签字）：</w:t>
      </w:r>
    </w:p>
    <w:p w14:paraId="26E6293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p>
    <w:p w14:paraId="1B22913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授权代理人：（签字）：</w:t>
      </w:r>
    </w:p>
    <w:p w14:paraId="789B02D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p>
    <w:p w14:paraId="25F3EAB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日期：   年   月   日</w:t>
      </w:r>
    </w:p>
    <w:p w14:paraId="1369CD2F">
      <w:pPr>
        <w:rPr>
          <w:rFonts w:ascii="仿宋_GB2312" w:hAnsi="仿宋_GB2312" w:eastAsia="仿宋_GB2312" w:cs="仿宋_GB2312"/>
        </w:rPr>
      </w:pPr>
      <w:r>
        <w:rPr>
          <w:rFonts w:hint="eastAsia" w:ascii="仿宋_GB2312" w:hAnsi="仿宋_GB2312" w:eastAsia="仿宋_GB2312" w:cs="仿宋_GB2312"/>
          <w:szCs w:val="28"/>
        </w:rPr>
        <w:br w:type="page"/>
      </w:r>
      <w:bookmarkStart w:id="90" w:name="_Toc40089810"/>
      <w:bookmarkStart w:id="91" w:name="_Toc513627405"/>
      <w:bookmarkStart w:id="92" w:name="_Toc24686"/>
      <w:r>
        <w:rPr>
          <w:rFonts w:hint="eastAsia" w:ascii="方正公文黑体" w:hAnsi="方正公文黑体" w:eastAsia="方正公文黑体" w:cs="方正公文黑体"/>
          <w:sz w:val="36"/>
          <w:szCs w:val="36"/>
        </w:rPr>
        <w:t>附件3</w:t>
      </w:r>
    </w:p>
    <w:p w14:paraId="669773BD">
      <w:pPr>
        <w:rPr>
          <w:rFonts w:ascii="仿宋_GB2312" w:hAnsi="仿宋_GB2312" w:eastAsia="仿宋_GB2312" w:cs="仿宋_GB2312"/>
        </w:rPr>
      </w:pPr>
    </w:p>
    <w:p w14:paraId="491EEC29">
      <w:pPr>
        <w:pStyle w:val="21"/>
        <w:snapToGrid w:val="0"/>
        <w:spacing w:after="0" w:line="560" w:lineRule="exact"/>
        <w:jc w:val="center"/>
        <w:rPr>
          <w:rFonts w:hint="eastAsia" w:ascii="仿宋" w:hAnsi="仿宋" w:eastAsia="仿宋" w:cs="仿宋"/>
          <w:b/>
          <w:bCs w:val="0"/>
          <w:sz w:val="32"/>
          <w:szCs w:val="32"/>
        </w:rPr>
      </w:pPr>
      <w:r>
        <w:rPr>
          <w:rFonts w:hint="eastAsia" w:ascii="仿宋" w:hAnsi="仿宋" w:eastAsia="仿宋" w:cs="仿宋"/>
          <w:b/>
          <w:bCs w:val="0"/>
          <w:sz w:val="32"/>
          <w:szCs w:val="32"/>
        </w:rPr>
        <w:t>近三年内，在经营活动中没有重大违法记录的声明</w:t>
      </w:r>
      <w:bookmarkEnd w:id="90"/>
      <w:bookmarkEnd w:id="91"/>
      <w:bookmarkEnd w:id="92"/>
      <w:r>
        <w:rPr>
          <w:rFonts w:hint="eastAsia" w:ascii="仿宋" w:hAnsi="仿宋" w:eastAsia="仿宋" w:cs="仿宋"/>
          <w:b/>
          <w:bCs w:val="0"/>
          <w:sz w:val="32"/>
          <w:szCs w:val="32"/>
        </w:rPr>
        <w:t>函</w:t>
      </w:r>
    </w:p>
    <w:p w14:paraId="5F8367C4">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sz w:val="32"/>
          <w:szCs w:val="32"/>
        </w:rPr>
      </w:pPr>
    </w:p>
    <w:p w14:paraId="140F739D">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致：海南卫生健康职业学院</w:t>
      </w:r>
    </w:p>
    <w:p w14:paraId="6C82A2C5">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我单位近三年内在经营活动中没有重大违法记录，特此声明。</w:t>
      </w:r>
    </w:p>
    <w:p w14:paraId="7F635F75">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若招标采购单位在本项目采购过程中，发现我单位近三年内在经营活动中有重大违法记录，我单位将无条件退出本项目的报价，并承担因此引起的一切后果。</w:t>
      </w:r>
    </w:p>
    <w:p w14:paraId="4F7110E0">
      <w:pPr>
        <w:snapToGrid w:val="0"/>
        <w:spacing w:line="560" w:lineRule="exact"/>
        <w:ind w:firstLine="480"/>
        <w:rPr>
          <w:rFonts w:hint="eastAsia" w:ascii="仿宋" w:hAnsi="仿宋" w:eastAsia="仿宋" w:cs="仿宋"/>
          <w:sz w:val="32"/>
          <w:szCs w:val="32"/>
        </w:rPr>
      </w:pPr>
    </w:p>
    <w:p w14:paraId="1BD2184E">
      <w:pPr>
        <w:snapToGrid w:val="0"/>
        <w:spacing w:line="560" w:lineRule="exact"/>
        <w:rPr>
          <w:rFonts w:hint="eastAsia" w:ascii="仿宋" w:hAnsi="仿宋" w:eastAsia="仿宋" w:cs="仿宋"/>
          <w:sz w:val="32"/>
          <w:szCs w:val="32"/>
        </w:rPr>
      </w:pPr>
    </w:p>
    <w:p w14:paraId="18624A12">
      <w:pPr>
        <w:snapToGrid w:val="0"/>
        <w:spacing w:line="560" w:lineRule="exact"/>
        <w:rPr>
          <w:rFonts w:hint="eastAsia" w:ascii="仿宋" w:hAnsi="仿宋" w:eastAsia="仿宋" w:cs="仿宋"/>
          <w:sz w:val="32"/>
          <w:szCs w:val="32"/>
        </w:rPr>
      </w:pPr>
    </w:p>
    <w:p w14:paraId="6EE5CBAA">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供应商（公章）：</w:t>
      </w:r>
      <w:r>
        <w:rPr>
          <w:rFonts w:hint="eastAsia" w:ascii="仿宋" w:hAnsi="仿宋" w:eastAsia="仿宋" w:cs="仿宋"/>
          <w:sz w:val="32"/>
          <w:szCs w:val="32"/>
          <w:u w:val="single"/>
        </w:rPr>
        <w:t xml:space="preserve">                     </w:t>
      </w:r>
    </w:p>
    <w:p w14:paraId="6EC5C4B7">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法人代表或其授权人（签字）：</w:t>
      </w:r>
      <w:r>
        <w:rPr>
          <w:rFonts w:hint="eastAsia" w:ascii="仿宋" w:hAnsi="仿宋" w:eastAsia="仿宋" w:cs="仿宋"/>
          <w:sz w:val="32"/>
          <w:szCs w:val="32"/>
          <w:u w:val="single"/>
        </w:rPr>
        <w:t xml:space="preserve">               </w:t>
      </w:r>
    </w:p>
    <w:p w14:paraId="65B0680A">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日   期：</w:t>
      </w:r>
      <w:r>
        <w:rPr>
          <w:rFonts w:hint="eastAsia" w:ascii="仿宋" w:hAnsi="仿宋" w:eastAsia="仿宋" w:cs="仿宋"/>
          <w:sz w:val="32"/>
          <w:szCs w:val="32"/>
          <w:u w:val="single"/>
        </w:rPr>
        <w:t xml:space="preserve">                   </w:t>
      </w:r>
    </w:p>
    <w:p w14:paraId="32E088FF">
      <w:pPr>
        <w:snapToGrid w:val="0"/>
        <w:spacing w:line="560" w:lineRule="exact"/>
        <w:ind w:firstLine="480"/>
        <w:rPr>
          <w:rFonts w:hint="eastAsia" w:ascii="仿宋" w:hAnsi="仿宋" w:eastAsia="仿宋" w:cs="仿宋"/>
          <w:sz w:val="32"/>
          <w:szCs w:val="32"/>
        </w:rPr>
      </w:pPr>
      <w:r>
        <w:rPr>
          <w:rFonts w:hint="eastAsia" w:ascii="仿宋" w:hAnsi="仿宋" w:eastAsia="仿宋" w:cs="仿宋"/>
          <w:sz w:val="32"/>
          <w:szCs w:val="32"/>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6C722C5D">
      <w:pPr>
        <w:rPr>
          <w:rFonts w:hint="eastAsia" w:ascii="仿宋" w:hAnsi="仿宋" w:eastAsia="仿宋" w:cs="仿宋"/>
          <w:b/>
          <w:bCs w:val="0"/>
          <w:sz w:val="36"/>
          <w:szCs w:val="36"/>
        </w:rPr>
      </w:pPr>
      <w:r>
        <w:rPr>
          <w:rFonts w:hint="eastAsia" w:ascii="仿宋" w:hAnsi="仿宋" w:eastAsia="仿宋" w:cs="仿宋"/>
          <w:sz w:val="24"/>
        </w:rPr>
        <w:br w:type="page"/>
      </w:r>
      <w:bookmarkStart w:id="93" w:name="_Toc9292"/>
      <w:bookmarkStart w:id="94" w:name="_Toc40089811"/>
      <w:r>
        <w:rPr>
          <w:rFonts w:hint="eastAsia" w:ascii="仿宋" w:hAnsi="仿宋" w:eastAsia="仿宋" w:cs="仿宋"/>
          <w:sz w:val="36"/>
          <w:szCs w:val="36"/>
        </w:rPr>
        <w:t>附件4</w:t>
      </w:r>
      <w:bookmarkEnd w:id="93"/>
      <w:bookmarkEnd w:id="94"/>
    </w:p>
    <w:p w14:paraId="43565D0E">
      <w:pPr>
        <w:pStyle w:val="10"/>
        <w:spacing w:before="0" w:after="0"/>
        <w:ind w:right="378" w:rightChars="135"/>
        <w:jc w:val="center"/>
        <w:rPr>
          <w:rFonts w:hint="eastAsia" w:ascii="仿宋" w:hAnsi="仿宋" w:eastAsia="仿宋" w:cs="仿宋"/>
          <w:b/>
          <w:sz w:val="32"/>
          <w:szCs w:val="32"/>
        </w:rPr>
      </w:pPr>
      <w:r>
        <w:rPr>
          <w:rFonts w:hint="eastAsia" w:ascii="仿宋" w:hAnsi="仿宋" w:eastAsia="仿宋" w:cs="仿宋"/>
          <w:b/>
          <w:sz w:val="36"/>
          <w:szCs w:val="36"/>
        </w:rPr>
        <w:t>商务响应表</w:t>
      </w:r>
    </w:p>
    <w:tbl>
      <w:tblPr>
        <w:tblStyle w:val="25"/>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765B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55D16F6D">
            <w:pPr>
              <w:keepNext w:val="0"/>
              <w:keepLines w:val="0"/>
              <w:suppressLineNumbers w:val="0"/>
              <w:adjustRightInd w:val="0"/>
              <w:spacing w:before="0" w:beforeAutospacing="0" w:after="0" w:afterAutospacing="0" w:line="500" w:lineRule="atLeast"/>
              <w:ind w:left="0" w:right="0"/>
              <w:jc w:val="center"/>
              <w:rPr>
                <w:rFonts w:hint="eastAsia" w:ascii="仿宋" w:hAnsi="仿宋" w:eastAsia="仿宋" w:cs="仿宋"/>
                <w:b/>
                <w:sz w:val="32"/>
                <w:szCs w:val="32"/>
              </w:rPr>
            </w:pPr>
            <w:r>
              <w:rPr>
                <w:rFonts w:hint="eastAsia" w:ascii="仿宋" w:hAnsi="仿宋" w:eastAsia="仿宋" w:cs="仿宋"/>
                <w:b/>
                <w:sz w:val="32"/>
                <w:szCs w:val="32"/>
              </w:rPr>
              <w:t>序号</w:t>
            </w:r>
          </w:p>
        </w:tc>
        <w:tc>
          <w:tcPr>
            <w:tcW w:w="3402" w:type="dxa"/>
            <w:vAlign w:val="center"/>
          </w:tcPr>
          <w:p w14:paraId="4401E8E4">
            <w:pPr>
              <w:keepNext w:val="0"/>
              <w:keepLines w:val="0"/>
              <w:suppressLineNumbers w:val="0"/>
              <w:adjustRightInd w:val="0"/>
              <w:spacing w:before="0" w:beforeAutospacing="0" w:after="0" w:afterAutospacing="0" w:line="500" w:lineRule="atLeast"/>
              <w:ind w:left="0" w:right="0"/>
              <w:jc w:val="center"/>
              <w:rPr>
                <w:rFonts w:hint="eastAsia" w:ascii="仿宋" w:hAnsi="仿宋" w:eastAsia="仿宋" w:cs="仿宋"/>
                <w:b/>
                <w:sz w:val="32"/>
                <w:szCs w:val="32"/>
              </w:rPr>
            </w:pPr>
            <w:r>
              <w:rPr>
                <w:rFonts w:hint="eastAsia" w:ascii="仿宋" w:hAnsi="仿宋" w:eastAsia="仿宋" w:cs="仿宋"/>
                <w:b/>
                <w:sz w:val="32"/>
                <w:szCs w:val="32"/>
              </w:rPr>
              <w:t>磋商文件要求</w:t>
            </w:r>
          </w:p>
        </w:tc>
        <w:tc>
          <w:tcPr>
            <w:tcW w:w="1673" w:type="dxa"/>
            <w:vAlign w:val="center"/>
          </w:tcPr>
          <w:p w14:paraId="47582EB3">
            <w:pPr>
              <w:keepNext w:val="0"/>
              <w:keepLines w:val="0"/>
              <w:suppressLineNumbers w:val="0"/>
              <w:adjustRightInd w:val="0"/>
              <w:spacing w:before="0" w:beforeAutospacing="0" w:after="0" w:afterAutospacing="0" w:line="500" w:lineRule="atLeast"/>
              <w:ind w:left="0" w:right="0"/>
              <w:jc w:val="center"/>
              <w:rPr>
                <w:rFonts w:hint="eastAsia" w:ascii="仿宋" w:hAnsi="仿宋" w:eastAsia="仿宋" w:cs="仿宋"/>
                <w:b/>
                <w:sz w:val="32"/>
                <w:szCs w:val="32"/>
              </w:rPr>
            </w:pPr>
            <w:r>
              <w:rPr>
                <w:rFonts w:hint="eastAsia" w:ascii="仿宋" w:hAnsi="仿宋" w:eastAsia="仿宋" w:cs="仿宋"/>
                <w:b/>
                <w:sz w:val="32"/>
                <w:szCs w:val="32"/>
              </w:rPr>
              <w:t>响应程度</w:t>
            </w:r>
          </w:p>
        </w:tc>
        <w:tc>
          <w:tcPr>
            <w:tcW w:w="2544" w:type="dxa"/>
            <w:vAlign w:val="center"/>
          </w:tcPr>
          <w:p w14:paraId="394CFC3A">
            <w:pPr>
              <w:keepNext w:val="0"/>
              <w:keepLines w:val="0"/>
              <w:suppressLineNumbers w:val="0"/>
              <w:adjustRightInd w:val="0"/>
              <w:spacing w:before="0" w:beforeAutospacing="0" w:after="0" w:afterAutospacing="0" w:line="500" w:lineRule="atLeast"/>
              <w:ind w:left="0" w:right="0"/>
              <w:jc w:val="center"/>
              <w:rPr>
                <w:rFonts w:hint="eastAsia" w:ascii="仿宋" w:hAnsi="仿宋" w:eastAsia="仿宋" w:cs="仿宋"/>
                <w:b/>
                <w:sz w:val="32"/>
                <w:szCs w:val="32"/>
              </w:rPr>
            </w:pPr>
            <w:r>
              <w:rPr>
                <w:rStyle w:val="32"/>
                <w:rFonts w:hint="eastAsia" w:ascii="仿宋" w:hAnsi="仿宋" w:eastAsia="仿宋" w:cs="仿宋"/>
                <w:b/>
                <w:bCs w:val="0"/>
                <w:szCs w:val="28"/>
              </w:rPr>
              <w:t>正偏离理由</w:t>
            </w:r>
          </w:p>
        </w:tc>
      </w:tr>
      <w:tr w14:paraId="58AC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6A68E8B4">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eastAsia" w:ascii="仿宋" w:hAnsi="仿宋" w:eastAsia="仿宋" w:cs="仿宋"/>
                <w:bCs w:val="0"/>
                <w:sz w:val="32"/>
                <w:szCs w:val="32"/>
              </w:rPr>
            </w:pPr>
          </w:p>
        </w:tc>
        <w:tc>
          <w:tcPr>
            <w:tcW w:w="3402" w:type="dxa"/>
            <w:vAlign w:val="center"/>
          </w:tcPr>
          <w:p w14:paraId="3004DA49">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eastAsia" w:ascii="仿宋" w:hAnsi="仿宋" w:eastAsia="仿宋" w:cs="仿宋"/>
                <w:bCs w:val="0"/>
                <w:sz w:val="32"/>
                <w:szCs w:val="32"/>
              </w:rPr>
            </w:pPr>
          </w:p>
        </w:tc>
        <w:tc>
          <w:tcPr>
            <w:tcW w:w="1673" w:type="dxa"/>
            <w:vAlign w:val="center"/>
          </w:tcPr>
          <w:p w14:paraId="39C167CF">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eastAsia" w:ascii="仿宋" w:hAnsi="仿宋" w:eastAsia="仿宋" w:cs="仿宋"/>
                <w:bCs w:val="0"/>
                <w:sz w:val="32"/>
                <w:szCs w:val="32"/>
              </w:rPr>
            </w:pPr>
          </w:p>
        </w:tc>
        <w:tc>
          <w:tcPr>
            <w:tcW w:w="2544" w:type="dxa"/>
            <w:vAlign w:val="center"/>
          </w:tcPr>
          <w:p w14:paraId="53C5AD5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eastAsia" w:ascii="仿宋" w:hAnsi="仿宋" w:eastAsia="仿宋" w:cs="仿宋"/>
                <w:bCs w:val="0"/>
                <w:sz w:val="32"/>
                <w:szCs w:val="32"/>
              </w:rPr>
            </w:pPr>
          </w:p>
        </w:tc>
      </w:tr>
      <w:tr w14:paraId="29D7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480CD276">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eastAsia" w:ascii="仿宋" w:hAnsi="仿宋" w:eastAsia="仿宋" w:cs="仿宋"/>
                <w:bCs w:val="0"/>
                <w:sz w:val="32"/>
                <w:szCs w:val="32"/>
              </w:rPr>
            </w:pPr>
          </w:p>
        </w:tc>
        <w:tc>
          <w:tcPr>
            <w:tcW w:w="3402" w:type="dxa"/>
            <w:vAlign w:val="center"/>
          </w:tcPr>
          <w:p w14:paraId="420E047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eastAsia" w:ascii="仿宋" w:hAnsi="仿宋" w:eastAsia="仿宋" w:cs="仿宋"/>
                <w:bCs w:val="0"/>
                <w:sz w:val="32"/>
                <w:szCs w:val="32"/>
              </w:rPr>
            </w:pPr>
          </w:p>
        </w:tc>
        <w:tc>
          <w:tcPr>
            <w:tcW w:w="1673" w:type="dxa"/>
            <w:vAlign w:val="center"/>
          </w:tcPr>
          <w:p w14:paraId="72850BCF">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eastAsia" w:ascii="仿宋" w:hAnsi="仿宋" w:eastAsia="仿宋" w:cs="仿宋"/>
                <w:bCs w:val="0"/>
                <w:sz w:val="32"/>
                <w:szCs w:val="32"/>
              </w:rPr>
            </w:pPr>
          </w:p>
        </w:tc>
        <w:tc>
          <w:tcPr>
            <w:tcW w:w="2544" w:type="dxa"/>
            <w:vAlign w:val="center"/>
          </w:tcPr>
          <w:p w14:paraId="1939732F">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eastAsia" w:ascii="仿宋" w:hAnsi="仿宋" w:eastAsia="仿宋" w:cs="仿宋"/>
                <w:bCs w:val="0"/>
                <w:sz w:val="32"/>
                <w:szCs w:val="32"/>
              </w:rPr>
            </w:pPr>
          </w:p>
        </w:tc>
      </w:tr>
      <w:tr w14:paraId="5F25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33AF293F">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eastAsia" w:ascii="仿宋" w:hAnsi="仿宋" w:eastAsia="仿宋" w:cs="仿宋"/>
                <w:bCs w:val="0"/>
                <w:sz w:val="32"/>
                <w:szCs w:val="32"/>
              </w:rPr>
            </w:pPr>
          </w:p>
        </w:tc>
        <w:tc>
          <w:tcPr>
            <w:tcW w:w="3402" w:type="dxa"/>
            <w:vAlign w:val="center"/>
          </w:tcPr>
          <w:p w14:paraId="343D09D6">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eastAsia" w:ascii="仿宋" w:hAnsi="仿宋" w:eastAsia="仿宋" w:cs="仿宋"/>
                <w:bCs w:val="0"/>
                <w:sz w:val="32"/>
                <w:szCs w:val="32"/>
              </w:rPr>
            </w:pPr>
          </w:p>
        </w:tc>
        <w:tc>
          <w:tcPr>
            <w:tcW w:w="1673" w:type="dxa"/>
            <w:vAlign w:val="center"/>
          </w:tcPr>
          <w:p w14:paraId="45B1A041">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eastAsia" w:ascii="仿宋" w:hAnsi="仿宋" w:eastAsia="仿宋" w:cs="仿宋"/>
                <w:bCs w:val="0"/>
                <w:sz w:val="32"/>
                <w:szCs w:val="32"/>
              </w:rPr>
            </w:pPr>
          </w:p>
        </w:tc>
        <w:tc>
          <w:tcPr>
            <w:tcW w:w="2544" w:type="dxa"/>
            <w:vAlign w:val="center"/>
          </w:tcPr>
          <w:p w14:paraId="3C35690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eastAsia" w:ascii="仿宋" w:hAnsi="仿宋" w:eastAsia="仿宋" w:cs="仿宋"/>
                <w:bCs w:val="0"/>
                <w:sz w:val="32"/>
                <w:szCs w:val="32"/>
              </w:rPr>
            </w:pPr>
          </w:p>
        </w:tc>
      </w:tr>
      <w:tr w14:paraId="50E7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53A7C01B">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eastAsia" w:ascii="仿宋" w:hAnsi="仿宋" w:eastAsia="仿宋" w:cs="仿宋"/>
                <w:bCs w:val="0"/>
                <w:sz w:val="32"/>
                <w:szCs w:val="32"/>
              </w:rPr>
            </w:pPr>
            <w:r>
              <w:rPr>
                <w:rFonts w:hint="eastAsia" w:ascii="仿宋" w:hAnsi="仿宋" w:eastAsia="仿宋" w:cs="仿宋"/>
                <w:bCs w:val="0"/>
                <w:sz w:val="32"/>
                <w:szCs w:val="32"/>
              </w:rPr>
              <w:t>……</w:t>
            </w:r>
          </w:p>
        </w:tc>
        <w:tc>
          <w:tcPr>
            <w:tcW w:w="3402" w:type="dxa"/>
            <w:vAlign w:val="center"/>
          </w:tcPr>
          <w:p w14:paraId="1774A161">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eastAsia" w:ascii="仿宋" w:hAnsi="仿宋" w:eastAsia="仿宋" w:cs="仿宋"/>
                <w:bCs w:val="0"/>
                <w:sz w:val="32"/>
                <w:szCs w:val="32"/>
              </w:rPr>
            </w:pPr>
          </w:p>
        </w:tc>
        <w:tc>
          <w:tcPr>
            <w:tcW w:w="1673" w:type="dxa"/>
            <w:vAlign w:val="center"/>
          </w:tcPr>
          <w:p w14:paraId="16FB0CA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eastAsia" w:ascii="仿宋" w:hAnsi="仿宋" w:eastAsia="仿宋" w:cs="仿宋"/>
                <w:bCs w:val="0"/>
                <w:sz w:val="32"/>
                <w:szCs w:val="32"/>
              </w:rPr>
            </w:pPr>
          </w:p>
        </w:tc>
        <w:tc>
          <w:tcPr>
            <w:tcW w:w="2544" w:type="dxa"/>
            <w:vAlign w:val="center"/>
          </w:tcPr>
          <w:p w14:paraId="3197092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eastAsia" w:ascii="仿宋" w:hAnsi="仿宋" w:eastAsia="仿宋" w:cs="仿宋"/>
                <w:bCs w:val="0"/>
                <w:sz w:val="32"/>
                <w:szCs w:val="32"/>
              </w:rPr>
            </w:pPr>
          </w:p>
        </w:tc>
      </w:tr>
    </w:tbl>
    <w:p w14:paraId="2F00E4DB">
      <w:pPr>
        <w:adjustRightInd w:val="0"/>
        <w:snapToGrid w:val="0"/>
        <w:spacing w:line="560" w:lineRule="exact"/>
        <w:rPr>
          <w:rFonts w:hint="eastAsia" w:ascii="仿宋" w:hAnsi="仿宋" w:eastAsia="仿宋" w:cs="仿宋"/>
          <w:bCs w:val="0"/>
          <w:sz w:val="32"/>
          <w:szCs w:val="32"/>
        </w:rPr>
      </w:pPr>
      <w:r>
        <w:rPr>
          <w:rFonts w:hint="eastAsia" w:ascii="仿宋" w:hAnsi="仿宋" w:eastAsia="仿宋" w:cs="仿宋"/>
          <w:sz w:val="32"/>
          <w:szCs w:val="32"/>
        </w:rPr>
        <w:t>注：1.按照磋商文件第五部分项目需求中的商务需求的顺序对应逐条应答，</w:t>
      </w:r>
      <w:r>
        <w:rPr>
          <w:rFonts w:hint="eastAsia" w:ascii="仿宋" w:hAnsi="仿宋" w:eastAsia="仿宋" w:cs="仿宋"/>
          <w:bCs w:val="0"/>
          <w:sz w:val="32"/>
          <w:szCs w:val="32"/>
        </w:rPr>
        <w:t>对照磋商文件要求在“响应程度”栏填写“无偏离”或“正偏离”或“负偏离”。</w:t>
      </w:r>
    </w:p>
    <w:p w14:paraId="234FE94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2.供应商必须据实填写，不得虚假填写，否则将取消其报价或中选。</w:t>
      </w:r>
    </w:p>
    <w:p w14:paraId="024BDD8D">
      <w:pPr>
        <w:spacing w:line="480" w:lineRule="auto"/>
        <w:rPr>
          <w:rFonts w:hint="eastAsia" w:ascii="仿宋" w:hAnsi="仿宋" w:eastAsia="仿宋" w:cs="仿宋"/>
          <w:sz w:val="24"/>
        </w:rPr>
      </w:pPr>
    </w:p>
    <w:p w14:paraId="75F32F52">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bCs w:val="0"/>
          <w:sz w:val="32"/>
          <w:szCs w:val="32"/>
        </w:rPr>
      </w:pPr>
      <w:r>
        <w:rPr>
          <w:rFonts w:hint="eastAsia" w:ascii="仿宋" w:hAnsi="仿宋" w:eastAsia="仿宋" w:cs="仿宋"/>
          <w:bCs w:val="0"/>
          <w:sz w:val="32"/>
          <w:szCs w:val="32"/>
        </w:rPr>
        <w:t>供应商（公章）：</w:t>
      </w:r>
      <w:r>
        <w:rPr>
          <w:rFonts w:hint="eastAsia" w:ascii="仿宋" w:hAnsi="仿宋" w:eastAsia="仿宋" w:cs="仿宋"/>
          <w:bCs w:val="0"/>
          <w:sz w:val="32"/>
          <w:szCs w:val="32"/>
          <w:u w:val="single"/>
        </w:rPr>
        <w:t xml:space="preserve">                          </w:t>
      </w:r>
      <w:r>
        <w:rPr>
          <w:rFonts w:hint="eastAsia" w:ascii="仿宋" w:hAnsi="仿宋" w:eastAsia="仿宋" w:cs="仿宋"/>
          <w:bCs w:val="0"/>
          <w:sz w:val="32"/>
          <w:szCs w:val="32"/>
        </w:rPr>
        <w:t xml:space="preserve">         </w:t>
      </w:r>
    </w:p>
    <w:p w14:paraId="2BBC50AB">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bCs w:val="0"/>
          <w:sz w:val="32"/>
          <w:szCs w:val="32"/>
        </w:rPr>
      </w:pPr>
      <w:r>
        <w:rPr>
          <w:rFonts w:hint="eastAsia" w:ascii="仿宋" w:hAnsi="仿宋" w:eastAsia="仿宋" w:cs="仿宋"/>
          <w:bCs w:val="0"/>
          <w:sz w:val="32"/>
          <w:szCs w:val="32"/>
        </w:rPr>
        <w:t>法人代表或其授权人（签字）：</w:t>
      </w:r>
      <w:r>
        <w:rPr>
          <w:rFonts w:hint="eastAsia" w:ascii="仿宋" w:hAnsi="仿宋" w:eastAsia="仿宋" w:cs="仿宋"/>
          <w:bCs w:val="0"/>
          <w:sz w:val="32"/>
          <w:szCs w:val="32"/>
          <w:u w:val="single"/>
        </w:rPr>
        <w:t xml:space="preserve">              </w:t>
      </w:r>
      <w:r>
        <w:rPr>
          <w:rFonts w:hint="eastAsia" w:ascii="仿宋" w:hAnsi="仿宋" w:eastAsia="仿宋" w:cs="仿宋"/>
          <w:bCs w:val="0"/>
          <w:sz w:val="32"/>
          <w:szCs w:val="32"/>
        </w:rPr>
        <w:t xml:space="preserve">               </w:t>
      </w:r>
    </w:p>
    <w:p w14:paraId="56BA2278">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sz w:val="32"/>
          <w:szCs w:val="32"/>
          <w:u w:val="single"/>
        </w:rPr>
      </w:pPr>
      <w:r>
        <w:rPr>
          <w:rFonts w:hint="eastAsia" w:ascii="仿宋" w:hAnsi="仿宋" w:eastAsia="仿宋" w:cs="仿宋"/>
          <w:bCs w:val="0"/>
          <w:sz w:val="32"/>
          <w:szCs w:val="32"/>
        </w:rPr>
        <w:t>日   期：</w:t>
      </w:r>
      <w:r>
        <w:rPr>
          <w:rFonts w:hint="eastAsia" w:ascii="仿宋" w:hAnsi="仿宋" w:eastAsia="仿宋" w:cs="仿宋"/>
          <w:sz w:val="32"/>
          <w:szCs w:val="32"/>
          <w:u w:val="single"/>
        </w:rPr>
        <w:t xml:space="preserve">                                  </w:t>
      </w:r>
    </w:p>
    <w:p w14:paraId="201835F8">
      <w:pPr>
        <w:rPr>
          <w:rFonts w:hint="eastAsia" w:ascii="仿宋" w:hAnsi="仿宋" w:eastAsia="仿宋" w:cs="仿宋"/>
        </w:rPr>
      </w:pPr>
      <w:r>
        <w:rPr>
          <w:rFonts w:hint="eastAsia" w:ascii="仿宋" w:hAnsi="仿宋" w:eastAsia="仿宋" w:cs="仿宋"/>
        </w:rPr>
        <w:br w:type="page"/>
      </w:r>
      <w:bookmarkStart w:id="95" w:name="_Toc40089812"/>
      <w:bookmarkStart w:id="96" w:name="_Toc23941"/>
    </w:p>
    <w:p w14:paraId="3D16031F">
      <w:pPr>
        <w:pStyle w:val="3"/>
        <w:numPr>
          <w:ilvl w:val="0"/>
          <w:numId w:val="6"/>
        </w:numPr>
        <w:spacing w:line="240" w:lineRule="auto"/>
        <w:rPr>
          <w:rFonts w:hint="eastAsia" w:ascii="仿宋" w:hAnsi="仿宋" w:eastAsia="仿宋" w:cs="仿宋"/>
        </w:rPr>
      </w:pPr>
      <w:bookmarkStart w:id="97" w:name="_Toc21595"/>
      <w:r>
        <w:rPr>
          <w:rFonts w:hint="eastAsia" w:ascii="仿宋" w:hAnsi="仿宋" w:eastAsia="仿宋" w:cs="仿宋"/>
        </w:rPr>
        <w:t>资信部分</w:t>
      </w:r>
      <w:bookmarkEnd w:id="97"/>
    </w:p>
    <w:p w14:paraId="4AE21C23">
      <w:pPr>
        <w:rPr>
          <w:rFonts w:hint="eastAsia" w:ascii="仿宋" w:hAnsi="仿宋" w:eastAsia="仿宋" w:cs="仿宋"/>
          <w:kern w:val="0"/>
          <w:sz w:val="32"/>
          <w:szCs w:val="32"/>
        </w:rPr>
      </w:pPr>
    </w:p>
    <w:p w14:paraId="4BE5BAE7">
      <w:pPr>
        <w:pStyle w:val="31"/>
        <w:widowControl/>
        <w:adjustRightInd w:val="0"/>
        <w:snapToGrid w:val="0"/>
        <w:spacing w:line="560" w:lineRule="exact"/>
        <w:ind w:firstLine="640"/>
        <w:jc w:val="left"/>
        <w:textAlignment w:val="center"/>
        <w:rPr>
          <w:rFonts w:hint="eastAsia" w:ascii="仿宋" w:hAnsi="仿宋" w:eastAsia="仿宋" w:cs="仿宋"/>
          <w:bCs/>
          <w:kern w:val="0"/>
          <w:sz w:val="32"/>
          <w:szCs w:val="32"/>
        </w:rPr>
      </w:pPr>
      <w:r>
        <w:rPr>
          <w:rFonts w:hint="eastAsia" w:ascii="仿宋" w:hAnsi="仿宋" w:eastAsia="仿宋" w:cs="仿宋"/>
          <w:bCs/>
          <w:kern w:val="0"/>
          <w:sz w:val="32"/>
          <w:szCs w:val="32"/>
        </w:rPr>
        <w:t>1.符合《中华人民共和国政府采购法》第二十二条规定，在中国境内注册的具有独立法人资格或个体户（提供营业执照）。</w:t>
      </w:r>
    </w:p>
    <w:p w14:paraId="7D4973B5">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2.未被“信用中国”网站（www.creditchina.gov.cn）列入失信被执行人、重大税收违法案件当事人名单、政府采购严重失信行为记录名单（提供网上截图加盖公章）或信用报告。</w:t>
      </w:r>
    </w:p>
    <w:p w14:paraId="5A50CE85">
      <w:pPr>
        <w:pStyle w:val="21"/>
        <w:snapToGrid w:val="0"/>
        <w:spacing w:after="0"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.承诺函(样本)</w:t>
      </w:r>
    </w:p>
    <w:p w14:paraId="5AC33756">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sz w:val="32"/>
          <w:szCs w:val="32"/>
        </w:rPr>
      </w:pPr>
    </w:p>
    <w:p w14:paraId="565EF19C">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承诺函</w:t>
      </w:r>
    </w:p>
    <w:p w14:paraId="715C3AEA">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 w:hAnsi="仿宋" w:eastAsia="仿宋" w:cs="仿宋"/>
          <w:kern w:val="0"/>
          <w:sz w:val="32"/>
          <w:szCs w:val="32"/>
        </w:rPr>
      </w:pPr>
    </w:p>
    <w:p w14:paraId="4001AD8A">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致：海南卫生健康职业学院</w:t>
      </w:r>
    </w:p>
    <w:p w14:paraId="2C25AEB0">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我单位</w:t>
      </w:r>
      <w:r>
        <w:rPr>
          <w:rFonts w:hint="eastAsia" w:ascii="仿宋" w:hAnsi="仿宋" w:eastAsia="仿宋" w:cs="仿宋"/>
          <w:kern w:val="0"/>
          <w:sz w:val="32"/>
          <w:szCs w:val="32"/>
        </w:rPr>
        <w:t>不是联合体参与报价，我单位承诺成交后不转包、不分包</w:t>
      </w:r>
      <w:r>
        <w:rPr>
          <w:rFonts w:hint="eastAsia" w:ascii="仿宋" w:hAnsi="仿宋" w:eastAsia="仿宋" w:cs="仿宋"/>
          <w:sz w:val="32"/>
          <w:szCs w:val="32"/>
        </w:rPr>
        <w:t>，并承担因此引起的一切后果。</w:t>
      </w:r>
    </w:p>
    <w:p w14:paraId="7E57DC61">
      <w:pPr>
        <w:snapToGrid w:val="0"/>
        <w:spacing w:line="560" w:lineRule="exact"/>
        <w:rPr>
          <w:rFonts w:hint="eastAsia" w:ascii="仿宋" w:hAnsi="仿宋" w:eastAsia="仿宋" w:cs="仿宋"/>
          <w:sz w:val="32"/>
          <w:szCs w:val="32"/>
        </w:rPr>
      </w:pPr>
    </w:p>
    <w:p w14:paraId="54EEB805">
      <w:pPr>
        <w:snapToGrid w:val="0"/>
        <w:spacing w:line="560" w:lineRule="exact"/>
        <w:rPr>
          <w:rFonts w:hint="eastAsia" w:ascii="仿宋" w:hAnsi="仿宋" w:eastAsia="仿宋" w:cs="仿宋"/>
          <w:sz w:val="32"/>
          <w:szCs w:val="32"/>
        </w:rPr>
      </w:pPr>
    </w:p>
    <w:p w14:paraId="12D61C63">
      <w:pPr>
        <w:snapToGrid w:val="0"/>
        <w:spacing w:line="560" w:lineRule="exact"/>
        <w:rPr>
          <w:rFonts w:hint="eastAsia" w:ascii="仿宋" w:hAnsi="仿宋" w:eastAsia="仿宋" w:cs="仿宋"/>
          <w:sz w:val="32"/>
          <w:szCs w:val="32"/>
        </w:rPr>
      </w:pPr>
    </w:p>
    <w:p w14:paraId="29B4390C">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供应商（公章）：</w:t>
      </w:r>
      <w:r>
        <w:rPr>
          <w:rFonts w:hint="eastAsia" w:ascii="仿宋" w:hAnsi="仿宋" w:eastAsia="仿宋" w:cs="仿宋"/>
          <w:sz w:val="32"/>
          <w:szCs w:val="32"/>
          <w:u w:val="single"/>
        </w:rPr>
        <w:t xml:space="preserve">                     </w:t>
      </w:r>
    </w:p>
    <w:p w14:paraId="680009A0">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法人代表或其授权人（签字）：</w:t>
      </w:r>
      <w:r>
        <w:rPr>
          <w:rFonts w:hint="eastAsia" w:ascii="仿宋" w:hAnsi="仿宋" w:eastAsia="仿宋" w:cs="仿宋"/>
          <w:sz w:val="32"/>
          <w:szCs w:val="32"/>
          <w:u w:val="single"/>
        </w:rPr>
        <w:t xml:space="preserve">               </w:t>
      </w:r>
    </w:p>
    <w:p w14:paraId="59F19DEB">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日   期：</w:t>
      </w:r>
      <w:r>
        <w:rPr>
          <w:rFonts w:hint="eastAsia" w:ascii="仿宋" w:hAnsi="仿宋" w:eastAsia="仿宋" w:cs="仿宋"/>
          <w:sz w:val="32"/>
          <w:szCs w:val="32"/>
          <w:u w:val="single"/>
        </w:rPr>
        <w:t xml:space="preserve">                   </w:t>
      </w:r>
    </w:p>
    <w:p w14:paraId="639AA206">
      <w:pPr>
        <w:rPr>
          <w:rFonts w:hint="eastAsia" w:ascii="仿宋" w:hAnsi="仿宋" w:eastAsia="仿宋" w:cs="仿宋"/>
        </w:rPr>
      </w:pPr>
    </w:p>
    <w:p w14:paraId="21A42D0E">
      <w:pPr>
        <w:rPr>
          <w:rFonts w:hint="eastAsia" w:ascii="仿宋" w:hAnsi="仿宋" w:eastAsia="仿宋" w:cs="仿宋"/>
          <w:kern w:val="0"/>
          <w:sz w:val="32"/>
          <w:szCs w:val="32"/>
        </w:rPr>
      </w:pPr>
    </w:p>
    <w:p w14:paraId="3B491B51">
      <w:pPr>
        <w:rPr>
          <w:rFonts w:hint="eastAsia" w:ascii="仿宋" w:hAnsi="仿宋" w:eastAsia="仿宋" w:cs="仿宋"/>
        </w:rPr>
      </w:pPr>
    </w:p>
    <w:p w14:paraId="21180AD9">
      <w:pPr>
        <w:rPr>
          <w:rFonts w:hint="eastAsia" w:ascii="仿宋" w:hAnsi="仿宋" w:eastAsia="仿宋" w:cs="仿宋"/>
        </w:rPr>
      </w:pPr>
    </w:p>
    <w:p w14:paraId="4C131A93">
      <w:pPr>
        <w:rPr>
          <w:rFonts w:hint="eastAsia" w:ascii="仿宋" w:hAnsi="仿宋" w:eastAsia="仿宋" w:cs="仿宋"/>
        </w:rPr>
      </w:pPr>
    </w:p>
    <w:p w14:paraId="127A38CC">
      <w:pPr>
        <w:rPr>
          <w:rFonts w:hint="eastAsia" w:ascii="仿宋" w:hAnsi="仿宋" w:eastAsia="仿宋" w:cs="仿宋"/>
        </w:rPr>
      </w:pPr>
    </w:p>
    <w:p w14:paraId="2631B994">
      <w:pPr>
        <w:rPr>
          <w:rFonts w:hint="eastAsia" w:ascii="仿宋" w:hAnsi="仿宋" w:eastAsia="仿宋" w:cs="仿宋"/>
        </w:rPr>
      </w:pPr>
    </w:p>
    <w:p w14:paraId="3D99D03F">
      <w:pPr>
        <w:rPr>
          <w:rFonts w:hint="eastAsia" w:ascii="仿宋" w:hAnsi="仿宋" w:eastAsia="仿宋" w:cs="仿宋"/>
        </w:rPr>
      </w:pPr>
    </w:p>
    <w:p w14:paraId="4F87FA85">
      <w:pPr>
        <w:rPr>
          <w:rFonts w:hint="eastAsia" w:ascii="仿宋" w:hAnsi="仿宋" w:eastAsia="仿宋" w:cs="仿宋"/>
        </w:rPr>
      </w:pPr>
    </w:p>
    <w:p w14:paraId="409C6E7F">
      <w:pPr>
        <w:pStyle w:val="3"/>
        <w:numPr>
          <w:ilvl w:val="0"/>
          <w:numId w:val="6"/>
        </w:numPr>
        <w:spacing w:line="240" w:lineRule="auto"/>
        <w:rPr>
          <w:rFonts w:hint="eastAsia" w:ascii="仿宋" w:hAnsi="仿宋" w:eastAsia="仿宋" w:cs="仿宋"/>
        </w:rPr>
      </w:pPr>
      <w:bookmarkStart w:id="98" w:name="_Toc28212"/>
      <w:r>
        <w:rPr>
          <w:rFonts w:hint="eastAsia" w:ascii="仿宋" w:hAnsi="仿宋" w:eastAsia="仿宋" w:cs="仿宋"/>
        </w:rPr>
        <w:t>技术部分</w:t>
      </w:r>
      <w:bookmarkEnd w:id="98"/>
    </w:p>
    <w:p w14:paraId="1F277A72">
      <w:pPr>
        <w:rPr>
          <w:rFonts w:hint="eastAsia" w:ascii="仿宋" w:hAnsi="仿宋" w:eastAsia="仿宋" w:cs="仿宋"/>
          <w:b/>
          <w:kern w:val="0"/>
          <w:sz w:val="36"/>
          <w:szCs w:val="36"/>
        </w:rPr>
      </w:pPr>
      <w:bookmarkStart w:id="99" w:name="_Toc248"/>
    </w:p>
    <w:bookmarkEnd w:id="99"/>
    <w:p w14:paraId="1584B4B2">
      <w:pPr>
        <w:rPr>
          <w:rFonts w:hint="eastAsia" w:ascii="仿宋" w:hAnsi="仿宋" w:eastAsia="仿宋" w:cs="仿宋"/>
          <w:sz w:val="36"/>
          <w:szCs w:val="36"/>
        </w:rPr>
      </w:pPr>
      <w:r>
        <w:rPr>
          <w:rFonts w:hint="eastAsia" w:ascii="仿宋" w:hAnsi="仿宋" w:eastAsia="仿宋" w:cs="仿宋"/>
          <w:b/>
          <w:bCs w:val="0"/>
          <w:sz w:val="36"/>
          <w:szCs w:val="36"/>
        </w:rPr>
        <w:t>附件5</w:t>
      </w:r>
    </w:p>
    <w:p w14:paraId="620F5A01">
      <w:pPr>
        <w:pStyle w:val="10"/>
        <w:spacing w:before="0" w:after="0"/>
        <w:ind w:right="378" w:rightChars="135"/>
        <w:jc w:val="center"/>
        <w:rPr>
          <w:rFonts w:hint="eastAsia" w:ascii="仿宋" w:hAnsi="仿宋" w:eastAsia="仿宋" w:cs="仿宋"/>
          <w:b/>
          <w:sz w:val="36"/>
          <w:szCs w:val="36"/>
          <w:lang w:val="en-US" w:eastAsia="zh-CN"/>
        </w:rPr>
      </w:pPr>
      <w:r>
        <w:rPr>
          <w:rFonts w:hint="eastAsia" w:ascii="仿宋" w:hAnsi="仿宋" w:eastAsia="仿宋" w:cs="仿宋"/>
          <w:b/>
          <w:sz w:val="36"/>
          <w:szCs w:val="36"/>
        </w:rPr>
        <w:t>技术响应</w:t>
      </w:r>
      <w:r>
        <w:rPr>
          <w:rFonts w:hint="eastAsia" w:ascii="仿宋" w:hAnsi="仿宋" w:eastAsia="仿宋" w:cs="仿宋"/>
          <w:b/>
          <w:sz w:val="36"/>
          <w:szCs w:val="36"/>
          <w:lang w:val="en-US" w:eastAsia="zh-CN"/>
        </w:rPr>
        <w:t>表</w:t>
      </w:r>
    </w:p>
    <w:tbl>
      <w:tblPr>
        <w:tblStyle w:val="25"/>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208"/>
        <w:gridCol w:w="2181"/>
        <w:gridCol w:w="1565"/>
        <w:gridCol w:w="1850"/>
      </w:tblGrid>
      <w:tr w14:paraId="5ACF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24" w:type="dxa"/>
            <w:vAlign w:val="center"/>
          </w:tcPr>
          <w:p w14:paraId="76369A5D">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eastAsia" w:ascii="仿宋" w:hAnsi="仿宋" w:eastAsia="仿宋" w:cs="仿宋"/>
                <w:b/>
                <w:bCs w:val="0"/>
                <w:sz w:val="32"/>
                <w:szCs w:val="32"/>
              </w:rPr>
            </w:pPr>
            <w:r>
              <w:rPr>
                <w:rStyle w:val="32"/>
                <w:rFonts w:hint="eastAsia" w:ascii="仿宋" w:hAnsi="仿宋" w:eastAsia="仿宋" w:cs="仿宋"/>
                <w:b/>
                <w:bCs w:val="0"/>
                <w:sz w:val="32"/>
                <w:szCs w:val="32"/>
              </w:rPr>
              <w:t>项目</w:t>
            </w:r>
          </w:p>
        </w:tc>
        <w:tc>
          <w:tcPr>
            <w:tcW w:w="2208" w:type="dxa"/>
            <w:vAlign w:val="center"/>
          </w:tcPr>
          <w:p w14:paraId="5AD3A73D">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eastAsia" w:ascii="仿宋" w:hAnsi="仿宋" w:eastAsia="仿宋" w:cs="仿宋"/>
                <w:b/>
                <w:bCs w:val="0"/>
                <w:sz w:val="32"/>
                <w:szCs w:val="32"/>
              </w:rPr>
            </w:pPr>
            <w:r>
              <w:rPr>
                <w:rStyle w:val="32"/>
                <w:rFonts w:hint="eastAsia" w:ascii="仿宋" w:hAnsi="仿宋" w:eastAsia="仿宋" w:cs="仿宋"/>
                <w:b/>
                <w:bCs w:val="0"/>
                <w:sz w:val="32"/>
                <w:szCs w:val="32"/>
              </w:rPr>
              <w:t>磋商文件要求</w:t>
            </w:r>
          </w:p>
        </w:tc>
        <w:tc>
          <w:tcPr>
            <w:tcW w:w="2181" w:type="dxa"/>
            <w:vAlign w:val="center"/>
          </w:tcPr>
          <w:p w14:paraId="7005424E">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eastAsia" w:ascii="仿宋" w:hAnsi="仿宋" w:eastAsia="仿宋" w:cs="仿宋"/>
                <w:b/>
                <w:bCs w:val="0"/>
                <w:sz w:val="32"/>
                <w:szCs w:val="32"/>
              </w:rPr>
            </w:pPr>
            <w:r>
              <w:rPr>
                <w:rStyle w:val="32"/>
                <w:rFonts w:hint="eastAsia" w:ascii="仿宋" w:hAnsi="仿宋" w:eastAsia="仿宋" w:cs="仿宋"/>
                <w:b/>
                <w:bCs w:val="0"/>
                <w:sz w:val="32"/>
                <w:szCs w:val="32"/>
              </w:rPr>
              <w:t>报价文件响应情况</w:t>
            </w:r>
          </w:p>
        </w:tc>
        <w:tc>
          <w:tcPr>
            <w:tcW w:w="1565" w:type="dxa"/>
            <w:vAlign w:val="center"/>
          </w:tcPr>
          <w:p w14:paraId="6C2B0555">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eastAsia" w:ascii="仿宋" w:hAnsi="仿宋" w:eastAsia="仿宋" w:cs="仿宋"/>
                <w:b/>
                <w:bCs w:val="0"/>
                <w:sz w:val="32"/>
                <w:szCs w:val="32"/>
              </w:rPr>
            </w:pPr>
            <w:r>
              <w:rPr>
                <w:rStyle w:val="32"/>
                <w:rFonts w:hint="eastAsia" w:ascii="仿宋" w:hAnsi="仿宋" w:eastAsia="仿宋" w:cs="仿宋"/>
                <w:b/>
                <w:bCs w:val="0"/>
                <w:sz w:val="32"/>
                <w:szCs w:val="32"/>
              </w:rPr>
              <w:t>响应程度</w:t>
            </w:r>
          </w:p>
        </w:tc>
        <w:tc>
          <w:tcPr>
            <w:tcW w:w="1850" w:type="dxa"/>
            <w:vAlign w:val="center"/>
          </w:tcPr>
          <w:p w14:paraId="1A9ED05C">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eastAsia" w:ascii="仿宋" w:hAnsi="仿宋" w:eastAsia="仿宋" w:cs="仿宋"/>
                <w:b/>
                <w:bCs w:val="0"/>
                <w:sz w:val="32"/>
                <w:szCs w:val="32"/>
              </w:rPr>
            </w:pPr>
            <w:r>
              <w:rPr>
                <w:rStyle w:val="32"/>
                <w:rFonts w:hint="eastAsia" w:ascii="仿宋" w:hAnsi="仿宋" w:eastAsia="仿宋" w:cs="仿宋"/>
                <w:b/>
                <w:bCs w:val="0"/>
                <w:sz w:val="32"/>
                <w:szCs w:val="32"/>
              </w:rPr>
              <w:t>正偏离理由</w:t>
            </w:r>
          </w:p>
        </w:tc>
      </w:tr>
      <w:tr w14:paraId="166E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24" w:type="dxa"/>
            <w:vAlign w:val="center"/>
          </w:tcPr>
          <w:p w14:paraId="71F6B22A">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eastAsia" w:ascii="仿宋" w:hAnsi="仿宋" w:eastAsia="仿宋" w:cs="仿宋"/>
                <w:sz w:val="32"/>
                <w:szCs w:val="32"/>
              </w:rPr>
            </w:pPr>
          </w:p>
        </w:tc>
        <w:tc>
          <w:tcPr>
            <w:tcW w:w="2208" w:type="dxa"/>
            <w:vAlign w:val="center"/>
          </w:tcPr>
          <w:p w14:paraId="6A9FC97C">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eastAsia" w:ascii="仿宋" w:hAnsi="仿宋" w:eastAsia="仿宋" w:cs="仿宋"/>
                <w:sz w:val="32"/>
                <w:szCs w:val="32"/>
                <w:lang w:val="en-US" w:eastAsia="zh-CN"/>
              </w:rPr>
            </w:pPr>
          </w:p>
        </w:tc>
        <w:tc>
          <w:tcPr>
            <w:tcW w:w="2181" w:type="dxa"/>
            <w:vAlign w:val="center"/>
          </w:tcPr>
          <w:p w14:paraId="3BF1218B">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eastAsia" w:ascii="仿宋" w:hAnsi="仿宋" w:eastAsia="仿宋" w:cs="仿宋"/>
                <w:sz w:val="32"/>
                <w:szCs w:val="32"/>
              </w:rPr>
            </w:pPr>
          </w:p>
        </w:tc>
        <w:tc>
          <w:tcPr>
            <w:tcW w:w="1565" w:type="dxa"/>
            <w:vAlign w:val="center"/>
          </w:tcPr>
          <w:p w14:paraId="1942133C">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eastAsia" w:ascii="仿宋" w:hAnsi="仿宋" w:eastAsia="仿宋" w:cs="仿宋"/>
                <w:sz w:val="32"/>
                <w:szCs w:val="32"/>
              </w:rPr>
            </w:pPr>
          </w:p>
        </w:tc>
        <w:tc>
          <w:tcPr>
            <w:tcW w:w="1850" w:type="dxa"/>
          </w:tcPr>
          <w:p w14:paraId="413E4889">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eastAsia" w:ascii="仿宋" w:hAnsi="仿宋" w:eastAsia="仿宋" w:cs="仿宋"/>
                <w:sz w:val="32"/>
                <w:szCs w:val="32"/>
              </w:rPr>
            </w:pPr>
          </w:p>
        </w:tc>
      </w:tr>
      <w:tr w14:paraId="199D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24" w:type="dxa"/>
            <w:vAlign w:val="center"/>
          </w:tcPr>
          <w:p w14:paraId="054B0346">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eastAsia" w:ascii="仿宋" w:hAnsi="仿宋" w:eastAsia="仿宋" w:cs="仿宋"/>
                <w:sz w:val="32"/>
                <w:szCs w:val="32"/>
              </w:rPr>
            </w:pPr>
          </w:p>
        </w:tc>
        <w:tc>
          <w:tcPr>
            <w:tcW w:w="2208" w:type="dxa"/>
            <w:vAlign w:val="center"/>
          </w:tcPr>
          <w:p w14:paraId="69E32C12">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eastAsia" w:ascii="仿宋" w:hAnsi="仿宋" w:eastAsia="仿宋" w:cs="仿宋"/>
                <w:sz w:val="32"/>
                <w:szCs w:val="32"/>
              </w:rPr>
            </w:pPr>
          </w:p>
        </w:tc>
        <w:tc>
          <w:tcPr>
            <w:tcW w:w="2181" w:type="dxa"/>
            <w:vAlign w:val="center"/>
          </w:tcPr>
          <w:p w14:paraId="3EEC3259">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eastAsia" w:ascii="仿宋" w:hAnsi="仿宋" w:eastAsia="仿宋" w:cs="仿宋"/>
                <w:sz w:val="32"/>
                <w:szCs w:val="32"/>
              </w:rPr>
            </w:pPr>
          </w:p>
        </w:tc>
        <w:tc>
          <w:tcPr>
            <w:tcW w:w="1565" w:type="dxa"/>
            <w:vAlign w:val="center"/>
          </w:tcPr>
          <w:p w14:paraId="685CACEA">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eastAsia" w:ascii="仿宋" w:hAnsi="仿宋" w:eastAsia="仿宋" w:cs="仿宋"/>
                <w:sz w:val="32"/>
                <w:szCs w:val="32"/>
              </w:rPr>
            </w:pPr>
          </w:p>
        </w:tc>
        <w:tc>
          <w:tcPr>
            <w:tcW w:w="1850" w:type="dxa"/>
          </w:tcPr>
          <w:p w14:paraId="67A1CE06">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eastAsia" w:ascii="仿宋" w:hAnsi="仿宋" w:eastAsia="仿宋" w:cs="仿宋"/>
                <w:sz w:val="32"/>
                <w:szCs w:val="32"/>
              </w:rPr>
            </w:pPr>
          </w:p>
        </w:tc>
      </w:tr>
      <w:tr w14:paraId="64AD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24" w:type="dxa"/>
            <w:vAlign w:val="center"/>
          </w:tcPr>
          <w:p w14:paraId="307E755D">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eastAsia" w:ascii="仿宋" w:hAnsi="仿宋" w:eastAsia="仿宋" w:cs="仿宋"/>
                <w:bCs w:val="0"/>
                <w:sz w:val="32"/>
                <w:szCs w:val="32"/>
              </w:rPr>
            </w:pPr>
          </w:p>
        </w:tc>
        <w:tc>
          <w:tcPr>
            <w:tcW w:w="2208" w:type="dxa"/>
            <w:vAlign w:val="center"/>
          </w:tcPr>
          <w:p w14:paraId="23D80C56">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eastAsia" w:ascii="仿宋" w:hAnsi="仿宋" w:eastAsia="仿宋" w:cs="仿宋"/>
                <w:bCs w:val="0"/>
                <w:sz w:val="32"/>
                <w:szCs w:val="32"/>
              </w:rPr>
            </w:pPr>
          </w:p>
        </w:tc>
        <w:tc>
          <w:tcPr>
            <w:tcW w:w="2181" w:type="dxa"/>
            <w:vAlign w:val="center"/>
          </w:tcPr>
          <w:p w14:paraId="3D791A4C">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eastAsia" w:ascii="仿宋" w:hAnsi="仿宋" w:eastAsia="仿宋" w:cs="仿宋"/>
                <w:bCs w:val="0"/>
                <w:sz w:val="32"/>
                <w:szCs w:val="32"/>
              </w:rPr>
            </w:pPr>
          </w:p>
        </w:tc>
        <w:tc>
          <w:tcPr>
            <w:tcW w:w="1565" w:type="dxa"/>
            <w:vAlign w:val="center"/>
          </w:tcPr>
          <w:p w14:paraId="23A209F4">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eastAsia" w:ascii="仿宋" w:hAnsi="仿宋" w:eastAsia="仿宋" w:cs="仿宋"/>
                <w:bCs w:val="0"/>
                <w:sz w:val="32"/>
                <w:szCs w:val="32"/>
              </w:rPr>
            </w:pPr>
          </w:p>
        </w:tc>
        <w:tc>
          <w:tcPr>
            <w:tcW w:w="1850" w:type="dxa"/>
          </w:tcPr>
          <w:p w14:paraId="20E20F5B">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eastAsia" w:ascii="仿宋" w:hAnsi="仿宋" w:eastAsia="仿宋" w:cs="仿宋"/>
                <w:bCs w:val="0"/>
                <w:sz w:val="32"/>
                <w:szCs w:val="32"/>
              </w:rPr>
            </w:pPr>
          </w:p>
        </w:tc>
      </w:tr>
      <w:tr w14:paraId="6393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024" w:type="dxa"/>
            <w:vAlign w:val="center"/>
          </w:tcPr>
          <w:p w14:paraId="637C3D39">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eastAsia" w:ascii="仿宋" w:hAnsi="仿宋" w:eastAsia="仿宋" w:cs="仿宋"/>
                <w:bCs w:val="0"/>
                <w:sz w:val="32"/>
                <w:szCs w:val="32"/>
              </w:rPr>
            </w:pPr>
          </w:p>
        </w:tc>
        <w:tc>
          <w:tcPr>
            <w:tcW w:w="2208" w:type="dxa"/>
            <w:vAlign w:val="center"/>
          </w:tcPr>
          <w:p w14:paraId="3E403895">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eastAsia" w:ascii="仿宋" w:hAnsi="仿宋" w:eastAsia="仿宋" w:cs="仿宋"/>
                <w:bCs w:val="0"/>
                <w:sz w:val="32"/>
                <w:szCs w:val="32"/>
              </w:rPr>
            </w:pPr>
          </w:p>
        </w:tc>
        <w:tc>
          <w:tcPr>
            <w:tcW w:w="2181" w:type="dxa"/>
            <w:vAlign w:val="center"/>
          </w:tcPr>
          <w:p w14:paraId="48AEEDE6">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eastAsia" w:ascii="仿宋" w:hAnsi="仿宋" w:eastAsia="仿宋" w:cs="仿宋"/>
                <w:bCs w:val="0"/>
                <w:sz w:val="32"/>
                <w:szCs w:val="32"/>
              </w:rPr>
            </w:pPr>
          </w:p>
        </w:tc>
        <w:tc>
          <w:tcPr>
            <w:tcW w:w="1565" w:type="dxa"/>
            <w:vAlign w:val="center"/>
          </w:tcPr>
          <w:p w14:paraId="75E12335">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eastAsia" w:ascii="仿宋" w:hAnsi="仿宋" w:eastAsia="仿宋" w:cs="仿宋"/>
                <w:bCs w:val="0"/>
                <w:sz w:val="32"/>
                <w:szCs w:val="32"/>
              </w:rPr>
            </w:pPr>
          </w:p>
        </w:tc>
        <w:tc>
          <w:tcPr>
            <w:tcW w:w="1850" w:type="dxa"/>
          </w:tcPr>
          <w:p w14:paraId="6DABC5E4">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eastAsia" w:ascii="仿宋" w:hAnsi="仿宋" w:eastAsia="仿宋" w:cs="仿宋"/>
                <w:bCs w:val="0"/>
                <w:sz w:val="32"/>
                <w:szCs w:val="32"/>
              </w:rPr>
            </w:pPr>
          </w:p>
        </w:tc>
      </w:tr>
      <w:tr w14:paraId="0388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24" w:type="dxa"/>
            <w:vAlign w:val="center"/>
          </w:tcPr>
          <w:p w14:paraId="78727004">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eastAsia" w:ascii="仿宋" w:hAnsi="仿宋" w:eastAsia="仿宋" w:cs="仿宋"/>
                <w:bCs w:val="0"/>
                <w:sz w:val="32"/>
                <w:szCs w:val="32"/>
              </w:rPr>
            </w:pPr>
          </w:p>
        </w:tc>
        <w:tc>
          <w:tcPr>
            <w:tcW w:w="2208" w:type="dxa"/>
            <w:vAlign w:val="center"/>
          </w:tcPr>
          <w:p w14:paraId="3B08169A">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eastAsia" w:ascii="仿宋" w:hAnsi="仿宋" w:eastAsia="仿宋" w:cs="仿宋"/>
                <w:bCs w:val="0"/>
                <w:sz w:val="32"/>
                <w:szCs w:val="32"/>
              </w:rPr>
            </w:pPr>
          </w:p>
        </w:tc>
        <w:tc>
          <w:tcPr>
            <w:tcW w:w="2181" w:type="dxa"/>
            <w:vAlign w:val="center"/>
          </w:tcPr>
          <w:p w14:paraId="51B60765">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eastAsia" w:ascii="仿宋" w:hAnsi="仿宋" w:eastAsia="仿宋" w:cs="仿宋"/>
                <w:bCs w:val="0"/>
                <w:sz w:val="32"/>
                <w:szCs w:val="32"/>
              </w:rPr>
            </w:pPr>
          </w:p>
        </w:tc>
        <w:tc>
          <w:tcPr>
            <w:tcW w:w="1565" w:type="dxa"/>
            <w:vAlign w:val="center"/>
          </w:tcPr>
          <w:p w14:paraId="39048B4C">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eastAsia" w:ascii="仿宋" w:hAnsi="仿宋" w:eastAsia="仿宋" w:cs="仿宋"/>
                <w:bCs w:val="0"/>
                <w:sz w:val="32"/>
                <w:szCs w:val="32"/>
              </w:rPr>
            </w:pPr>
          </w:p>
        </w:tc>
        <w:tc>
          <w:tcPr>
            <w:tcW w:w="1850" w:type="dxa"/>
          </w:tcPr>
          <w:p w14:paraId="4FEBDE8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eastAsia" w:ascii="仿宋" w:hAnsi="仿宋" w:eastAsia="仿宋" w:cs="仿宋"/>
                <w:bCs w:val="0"/>
                <w:sz w:val="32"/>
                <w:szCs w:val="32"/>
              </w:rPr>
            </w:pPr>
          </w:p>
        </w:tc>
      </w:tr>
    </w:tbl>
    <w:p w14:paraId="256DC073">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bCs w:val="0"/>
          <w:sz w:val="32"/>
          <w:szCs w:val="32"/>
        </w:rPr>
      </w:pPr>
      <w:r>
        <w:rPr>
          <w:rFonts w:hint="eastAsia" w:ascii="仿宋" w:hAnsi="仿宋" w:eastAsia="仿宋" w:cs="仿宋"/>
          <w:bCs w:val="0"/>
          <w:sz w:val="32"/>
          <w:szCs w:val="32"/>
        </w:rPr>
        <w:t>注：</w:t>
      </w:r>
    </w:p>
    <w:p w14:paraId="1EF55165">
      <w:pPr>
        <w:adjustRightInd w:val="0"/>
        <w:snapToGrid w:val="0"/>
        <w:spacing w:line="560" w:lineRule="exact"/>
        <w:ind w:firstLine="640" w:firstLineChars="200"/>
        <w:rPr>
          <w:rFonts w:hint="eastAsia" w:ascii="仿宋" w:hAnsi="仿宋" w:eastAsia="仿宋" w:cs="仿宋"/>
          <w:bCs w:val="0"/>
          <w:sz w:val="32"/>
          <w:szCs w:val="32"/>
        </w:rPr>
      </w:pPr>
      <w:r>
        <w:rPr>
          <w:rFonts w:hint="eastAsia" w:ascii="仿宋" w:hAnsi="仿宋" w:eastAsia="仿宋" w:cs="仿宋"/>
          <w:sz w:val="32"/>
          <w:szCs w:val="32"/>
        </w:rPr>
        <w:t>1.按照磋商文件第五部分项目需求</w:t>
      </w:r>
      <w:r>
        <w:rPr>
          <w:rFonts w:hint="eastAsia" w:ascii="仿宋" w:hAnsi="仿宋" w:eastAsia="仿宋" w:cs="仿宋"/>
          <w:sz w:val="32"/>
          <w:szCs w:val="32"/>
          <w:lang w:eastAsia="zh-CN"/>
        </w:rPr>
        <w:t>中的技术需求</w:t>
      </w:r>
      <w:r>
        <w:rPr>
          <w:rFonts w:hint="eastAsia" w:ascii="仿宋" w:hAnsi="仿宋" w:eastAsia="仿宋" w:cs="仿宋"/>
          <w:sz w:val="32"/>
          <w:szCs w:val="32"/>
        </w:rPr>
        <w:t>顺序对应逐条应答，</w:t>
      </w:r>
      <w:r>
        <w:rPr>
          <w:rFonts w:hint="eastAsia" w:ascii="仿宋" w:hAnsi="仿宋" w:eastAsia="仿宋" w:cs="仿宋"/>
          <w:bCs w:val="0"/>
          <w:sz w:val="32"/>
          <w:szCs w:val="32"/>
        </w:rPr>
        <w:t>对照磋商文件要求在“响应程度”栏填写“无偏离”或“正偏离”或“负偏离”。</w:t>
      </w:r>
    </w:p>
    <w:p w14:paraId="25FF53EE">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bCs w:val="0"/>
          <w:sz w:val="32"/>
          <w:szCs w:val="32"/>
        </w:rPr>
      </w:pPr>
      <w:r>
        <w:rPr>
          <w:rFonts w:hint="eastAsia" w:ascii="仿宋" w:hAnsi="仿宋" w:eastAsia="仿宋" w:cs="仿宋"/>
          <w:bCs w:val="0"/>
          <w:sz w:val="32"/>
          <w:szCs w:val="32"/>
        </w:rPr>
        <w:t>2.不填写对应指标，而只填写响应情况或弄虚作假、前后不一致的，其报价文件有可能被拒绝。</w:t>
      </w:r>
    </w:p>
    <w:p w14:paraId="75743975">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供应商（公章）：</w:t>
      </w:r>
      <w:r>
        <w:rPr>
          <w:rFonts w:hint="eastAsia" w:ascii="仿宋" w:hAnsi="仿宋" w:eastAsia="仿宋" w:cs="仿宋"/>
          <w:sz w:val="32"/>
          <w:szCs w:val="32"/>
          <w:u w:val="single"/>
        </w:rPr>
        <w:t xml:space="preserve">                           </w:t>
      </w:r>
    </w:p>
    <w:p w14:paraId="51B11952">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法人代表或其授权人（签字）：</w:t>
      </w:r>
      <w:r>
        <w:rPr>
          <w:rFonts w:hint="eastAsia" w:ascii="仿宋" w:hAnsi="仿宋" w:eastAsia="仿宋" w:cs="仿宋"/>
          <w:sz w:val="32"/>
          <w:szCs w:val="32"/>
          <w:u w:val="single"/>
        </w:rPr>
        <w:t xml:space="preserve">               </w:t>
      </w:r>
    </w:p>
    <w:p w14:paraId="3EF7EEF8">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日   期：</w:t>
      </w:r>
      <w:r>
        <w:rPr>
          <w:rFonts w:hint="eastAsia" w:ascii="仿宋" w:hAnsi="仿宋" w:eastAsia="仿宋" w:cs="仿宋"/>
          <w:sz w:val="32"/>
          <w:szCs w:val="32"/>
          <w:u w:val="single"/>
        </w:rPr>
        <w:t xml:space="preserve">                                 </w:t>
      </w:r>
    </w:p>
    <w:p w14:paraId="0180AC1D">
      <w:pPr>
        <w:spacing w:line="480" w:lineRule="auto"/>
        <w:ind w:firstLine="480"/>
        <w:rPr>
          <w:rFonts w:hint="eastAsia" w:ascii="仿宋" w:hAnsi="仿宋" w:eastAsia="仿宋" w:cs="仿宋"/>
          <w:sz w:val="24"/>
        </w:rPr>
      </w:pPr>
    </w:p>
    <w:p w14:paraId="670B9FFF">
      <w:pPr>
        <w:rPr>
          <w:rFonts w:hint="eastAsia" w:ascii="仿宋" w:hAnsi="仿宋" w:eastAsia="仿宋" w:cs="仿宋"/>
        </w:rPr>
      </w:pPr>
      <w:r>
        <w:rPr>
          <w:rFonts w:hint="eastAsia" w:ascii="仿宋" w:hAnsi="仿宋" w:eastAsia="仿宋" w:cs="仿宋"/>
        </w:rPr>
        <w:br w:type="page"/>
      </w:r>
    </w:p>
    <w:p w14:paraId="02495BBA">
      <w:pPr>
        <w:jc w:val="center"/>
        <w:rPr>
          <w:rFonts w:hint="eastAsia" w:ascii="仿宋" w:hAnsi="仿宋" w:eastAsia="仿宋" w:cs="仿宋"/>
          <w:sz w:val="44"/>
          <w:szCs w:val="44"/>
        </w:rPr>
      </w:pPr>
      <w:bookmarkStart w:id="100" w:name="_Toc25388"/>
      <w:r>
        <w:rPr>
          <w:rFonts w:hint="eastAsia" w:ascii="仿宋" w:hAnsi="仿宋" w:eastAsia="仿宋" w:cs="仿宋"/>
          <w:sz w:val="44"/>
          <w:szCs w:val="44"/>
        </w:rPr>
        <w:t>商务及技术证明材料</w:t>
      </w:r>
    </w:p>
    <w:p w14:paraId="2F013BD2">
      <w:pPr>
        <w:pStyle w:val="13"/>
        <w:spacing w:before="84"/>
        <w:jc w:val="left"/>
        <w:rPr>
          <w:rFonts w:hint="eastAsia" w:ascii="仿宋" w:hAnsi="仿宋" w:eastAsia="仿宋" w:cs="仿宋"/>
          <w:spacing w:val="-2"/>
          <w:sz w:val="32"/>
          <w:szCs w:val="32"/>
        </w:rPr>
      </w:pPr>
    </w:p>
    <w:p w14:paraId="53255367">
      <w:pPr>
        <w:pStyle w:val="13"/>
        <w:spacing w:before="84"/>
        <w:jc w:val="left"/>
        <w:rPr>
          <w:rFonts w:hint="eastAsia" w:ascii="仿宋" w:hAnsi="仿宋" w:eastAsia="仿宋" w:cs="仿宋"/>
          <w:spacing w:val="-2"/>
          <w:sz w:val="32"/>
          <w:szCs w:val="32"/>
        </w:rPr>
      </w:pPr>
      <w:r>
        <w:rPr>
          <w:rFonts w:hint="eastAsia" w:ascii="仿宋" w:hAnsi="仿宋" w:eastAsia="仿宋" w:cs="仿宋"/>
          <w:spacing w:val="-2"/>
          <w:sz w:val="32"/>
          <w:szCs w:val="32"/>
        </w:rPr>
        <w:t>（供应商根据竞争性磋商文件第三部分附表 2评分细则表中的要求提供，格式自拟）</w:t>
      </w:r>
    </w:p>
    <w:p w14:paraId="526F129A">
      <w:pPr>
        <w:rPr>
          <w:rFonts w:hint="eastAsia" w:ascii="仿宋" w:hAnsi="仿宋" w:eastAsia="仿宋" w:cs="仿宋"/>
          <w:sz w:val="32"/>
          <w:szCs w:val="32"/>
        </w:rPr>
      </w:pPr>
    </w:p>
    <w:p w14:paraId="285E128D">
      <w:pPr>
        <w:rPr>
          <w:rFonts w:hint="eastAsia" w:ascii="仿宋" w:hAnsi="仿宋" w:eastAsia="仿宋" w:cs="仿宋"/>
        </w:rPr>
      </w:pPr>
    </w:p>
    <w:p w14:paraId="7D5459B5">
      <w:pPr>
        <w:rPr>
          <w:rFonts w:hint="eastAsia" w:ascii="仿宋" w:hAnsi="仿宋" w:eastAsia="仿宋" w:cs="仿宋"/>
        </w:rPr>
      </w:pPr>
    </w:p>
    <w:p w14:paraId="69E0AE69">
      <w:pPr>
        <w:rPr>
          <w:rFonts w:hint="eastAsia" w:ascii="仿宋" w:hAnsi="仿宋" w:eastAsia="仿宋" w:cs="仿宋"/>
        </w:rPr>
      </w:pPr>
    </w:p>
    <w:p w14:paraId="44A65A1E">
      <w:pPr>
        <w:rPr>
          <w:rFonts w:hint="eastAsia" w:ascii="仿宋" w:hAnsi="仿宋" w:eastAsia="仿宋" w:cs="仿宋"/>
        </w:rPr>
      </w:pPr>
    </w:p>
    <w:p w14:paraId="0017F002">
      <w:pPr>
        <w:rPr>
          <w:rFonts w:hint="eastAsia" w:ascii="仿宋" w:hAnsi="仿宋" w:eastAsia="仿宋" w:cs="仿宋"/>
        </w:rPr>
      </w:pPr>
    </w:p>
    <w:p w14:paraId="10D5D949">
      <w:pPr>
        <w:rPr>
          <w:rFonts w:hint="eastAsia" w:ascii="仿宋" w:hAnsi="仿宋" w:eastAsia="仿宋" w:cs="仿宋"/>
        </w:rPr>
      </w:pPr>
    </w:p>
    <w:p w14:paraId="456903DB">
      <w:pPr>
        <w:rPr>
          <w:rFonts w:hint="eastAsia" w:ascii="仿宋" w:hAnsi="仿宋" w:eastAsia="仿宋" w:cs="仿宋"/>
        </w:rPr>
      </w:pPr>
    </w:p>
    <w:p w14:paraId="4B7FF62E">
      <w:pPr>
        <w:rPr>
          <w:rFonts w:hint="eastAsia" w:ascii="仿宋" w:hAnsi="仿宋" w:eastAsia="仿宋" w:cs="仿宋"/>
        </w:rPr>
      </w:pPr>
    </w:p>
    <w:p w14:paraId="5467A7EC">
      <w:pPr>
        <w:rPr>
          <w:rFonts w:hint="eastAsia" w:ascii="仿宋" w:hAnsi="仿宋" w:eastAsia="仿宋" w:cs="仿宋"/>
        </w:rPr>
      </w:pPr>
    </w:p>
    <w:p w14:paraId="6DE134D4">
      <w:pPr>
        <w:rPr>
          <w:rFonts w:hint="eastAsia" w:ascii="仿宋" w:hAnsi="仿宋" w:eastAsia="仿宋" w:cs="仿宋"/>
        </w:rPr>
      </w:pPr>
    </w:p>
    <w:p w14:paraId="1E1DFF0A">
      <w:pPr>
        <w:rPr>
          <w:rFonts w:hint="eastAsia" w:ascii="仿宋" w:hAnsi="仿宋" w:eastAsia="仿宋" w:cs="仿宋"/>
        </w:rPr>
      </w:pPr>
    </w:p>
    <w:p w14:paraId="6062B9E2">
      <w:pPr>
        <w:rPr>
          <w:rFonts w:hint="eastAsia" w:ascii="仿宋" w:hAnsi="仿宋" w:eastAsia="仿宋" w:cs="仿宋"/>
        </w:rPr>
      </w:pPr>
    </w:p>
    <w:p w14:paraId="5D86FBFF"/>
    <w:p w14:paraId="320A4556"/>
    <w:p w14:paraId="0EEB2D35"/>
    <w:p w14:paraId="2477DE0E"/>
    <w:p w14:paraId="7D3549AF"/>
    <w:p w14:paraId="3BF609FC"/>
    <w:p w14:paraId="0CDBB5AE"/>
    <w:p w14:paraId="08FAB0E3"/>
    <w:p w14:paraId="5109F0B2"/>
    <w:p w14:paraId="5A294477"/>
    <w:p w14:paraId="1FF793D3"/>
    <w:p w14:paraId="6AF6E8CB"/>
    <w:p w14:paraId="2606980C"/>
    <w:p w14:paraId="22BB8322"/>
    <w:p w14:paraId="02F55C51"/>
    <w:p w14:paraId="16558765"/>
    <w:p w14:paraId="68419C94"/>
    <w:p w14:paraId="4705D289"/>
    <w:p w14:paraId="56D91909"/>
    <w:p w14:paraId="411AF7B0">
      <w:pPr>
        <w:pStyle w:val="3"/>
        <w:spacing w:line="240" w:lineRule="auto"/>
      </w:pPr>
      <w:bookmarkStart w:id="101" w:name="_Toc2093"/>
      <w:r>
        <w:rPr>
          <w:rFonts w:hint="eastAsia"/>
        </w:rPr>
        <w:t>四、报价部分</w:t>
      </w:r>
      <w:bookmarkEnd w:id="100"/>
      <w:bookmarkEnd w:id="101"/>
    </w:p>
    <w:p w14:paraId="0B58AC59">
      <w:pPr>
        <w:rPr>
          <w:rFonts w:ascii="方正公文黑体" w:hAnsi="方正公文黑体" w:eastAsia="方正公文黑体" w:cs="方正公文黑体"/>
          <w:sz w:val="36"/>
          <w:szCs w:val="36"/>
        </w:rPr>
      </w:pPr>
      <w:bookmarkStart w:id="102" w:name="_Toc15965"/>
      <w:r>
        <w:rPr>
          <w:rFonts w:hint="eastAsia" w:ascii="方正公文黑体" w:hAnsi="方正公文黑体" w:eastAsia="方正公文黑体" w:cs="方正公文黑体"/>
          <w:sz w:val="36"/>
          <w:szCs w:val="36"/>
        </w:rPr>
        <w:t>附件</w:t>
      </w:r>
      <w:bookmarkEnd w:id="102"/>
      <w:r>
        <w:rPr>
          <w:rFonts w:hint="eastAsia" w:ascii="方正公文黑体" w:hAnsi="方正公文黑体" w:eastAsia="方正公文黑体" w:cs="方正公文黑体"/>
          <w:sz w:val="36"/>
          <w:szCs w:val="36"/>
        </w:rPr>
        <w:t>6</w:t>
      </w:r>
    </w:p>
    <w:p w14:paraId="39B47086">
      <w:pPr>
        <w:jc w:val="center"/>
        <w:rPr>
          <w:rFonts w:ascii="仿宋_GB2312" w:hAnsi="仿宋_GB2312" w:eastAsia="仿宋_GB2312" w:cs="仿宋_GB2312"/>
          <w:b/>
          <w:bCs w:val="0"/>
          <w:sz w:val="36"/>
          <w:szCs w:val="36"/>
        </w:rPr>
      </w:pPr>
    </w:p>
    <w:p w14:paraId="2284CC9F">
      <w:pPr>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0A7A61B7">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788A9498">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tbl>
      <w:tblPr>
        <w:tblStyle w:val="25"/>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133B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1D92D5B0">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141" w:type="dxa"/>
            <w:vAlign w:val="center"/>
          </w:tcPr>
          <w:p w14:paraId="47990333">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sz w:val="32"/>
                <w:szCs w:val="32"/>
              </w:rPr>
            </w:pPr>
          </w:p>
        </w:tc>
      </w:tr>
      <w:tr w14:paraId="232A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6D64FB42">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总报价</w:t>
            </w:r>
          </w:p>
          <w:p w14:paraId="73731186">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（人民币/元）</w:t>
            </w:r>
          </w:p>
        </w:tc>
        <w:tc>
          <w:tcPr>
            <w:tcW w:w="7141" w:type="dxa"/>
            <w:vAlign w:val="center"/>
          </w:tcPr>
          <w:p w14:paraId="28F851EB">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firstLine="320" w:firstLineChars="100"/>
              <w:rPr>
                <w:rFonts w:hint="default" w:ascii="仿宋_GB2312" w:hAnsi="仿宋_GB2312" w:eastAsia="仿宋_GB2312" w:cs="仿宋_GB2312"/>
                <w:sz w:val="32"/>
                <w:szCs w:val="32"/>
                <w:u w:val="single"/>
              </w:rPr>
            </w:pP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28F28A60">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firstLine="320" w:firstLineChars="100"/>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p>
        </w:tc>
      </w:tr>
      <w:tr w14:paraId="532F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vAlign w:val="center"/>
          </w:tcPr>
          <w:p w14:paraId="54034A5D">
            <w:pPr>
              <w:keepNext w:val="0"/>
              <w:keepLines w:val="0"/>
              <w:suppressLineNumbers w:val="0"/>
              <w:tabs>
                <w:tab w:val="left" w:pos="720"/>
                <w:tab w:val="left" w:pos="144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sz w:val="32"/>
                <w:szCs w:val="32"/>
              </w:rPr>
            </w:pPr>
            <w:r>
              <w:rPr>
                <w:rFonts w:hint="eastAsia" w:ascii="仿宋" w:hAnsi="仿宋" w:eastAsia="仿宋" w:cs="仿宋"/>
                <w:sz w:val="32"/>
                <w:szCs w:val="32"/>
              </w:rPr>
              <w:t>项目完成期限</w:t>
            </w:r>
          </w:p>
        </w:tc>
        <w:tc>
          <w:tcPr>
            <w:tcW w:w="7141" w:type="dxa"/>
            <w:vAlign w:val="center"/>
          </w:tcPr>
          <w:p w14:paraId="257A66B6">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sz w:val="32"/>
                <w:szCs w:val="32"/>
              </w:rPr>
            </w:pPr>
          </w:p>
        </w:tc>
      </w:tr>
      <w:tr w14:paraId="1EEE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7133C0C4">
            <w:pPr>
              <w:keepNext w:val="0"/>
              <w:keepLines w:val="0"/>
              <w:suppressLineNumbers w:val="0"/>
              <w:tabs>
                <w:tab w:val="left" w:pos="720"/>
                <w:tab w:val="left" w:pos="144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141" w:type="dxa"/>
            <w:vAlign w:val="center"/>
          </w:tcPr>
          <w:p w14:paraId="4F7E0CD3">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sz w:val="32"/>
                <w:szCs w:val="32"/>
              </w:rPr>
            </w:pPr>
          </w:p>
        </w:tc>
      </w:tr>
    </w:tbl>
    <w:p w14:paraId="63E1BDE4">
      <w:pPr>
        <w:adjustRightInd w:val="0"/>
        <w:snapToGrid w:val="0"/>
        <w:spacing w:line="560" w:lineRule="exact"/>
        <w:rPr>
          <w:rFonts w:ascii="仿宋_GB2312" w:hAnsi="仿宋_GB2312" w:eastAsia="仿宋_GB2312" w:cs="仿宋_GB2312"/>
          <w:bCs w:val="0"/>
          <w:sz w:val="32"/>
          <w:szCs w:val="32"/>
        </w:rPr>
      </w:pPr>
    </w:p>
    <w:p w14:paraId="64491A38">
      <w:pPr>
        <w:adjustRightInd w:val="0"/>
        <w:snapToGrid w:val="0"/>
        <w:spacing w:line="560" w:lineRule="exact"/>
        <w:ind w:firstLine="320" w:firstLineChars="100"/>
        <w:rPr>
          <w:rFonts w:ascii="仿宋_GB2312" w:hAnsi="仿宋_GB2312" w:eastAsia="仿宋_GB2312" w:cs="仿宋_GB2312"/>
          <w:bCs w:val="0"/>
          <w:sz w:val="32"/>
          <w:szCs w:val="32"/>
          <w:u w:val="single"/>
        </w:rPr>
      </w:pPr>
      <w:r>
        <w:rPr>
          <w:rFonts w:hint="eastAsia" w:ascii="仿宋_GB2312" w:hAnsi="仿宋_GB2312" w:eastAsia="仿宋_GB2312" w:cs="仿宋_GB2312"/>
          <w:sz w:val="32"/>
          <w:szCs w:val="32"/>
        </w:rPr>
        <w:t>投标人名称（公章）：</w:t>
      </w:r>
    </w:p>
    <w:p w14:paraId="254BE235">
      <w:pPr>
        <w:adjustRightInd w:val="0"/>
        <w:snapToGrid w:val="0"/>
        <w:spacing w:line="560" w:lineRule="exact"/>
        <w:ind w:firstLine="320" w:firstLineChars="100"/>
        <w:rPr>
          <w:rFonts w:ascii="仿宋_GB2312" w:hAnsi="仿宋_GB2312" w:eastAsia="仿宋_GB2312" w:cs="仿宋_GB2312"/>
          <w:sz w:val="32"/>
          <w:szCs w:val="32"/>
        </w:rPr>
      </w:pPr>
    </w:p>
    <w:p w14:paraId="09377EAD">
      <w:pPr>
        <w:adjustRightInd w:val="0"/>
        <w:snapToGrid w:val="0"/>
        <w:spacing w:line="560" w:lineRule="exact"/>
        <w:ind w:firstLine="320" w:firstLineChars="100"/>
        <w:rPr>
          <w:rFonts w:ascii="仿宋_GB2312" w:hAnsi="仿宋_GB2312" w:eastAsia="仿宋_GB2312" w:cs="仿宋_GB2312"/>
          <w:bCs w:val="0"/>
          <w:sz w:val="32"/>
          <w:szCs w:val="32"/>
        </w:rPr>
      </w:pPr>
      <w:r>
        <w:rPr>
          <w:rFonts w:hint="eastAsia" w:ascii="仿宋_GB2312" w:hAnsi="仿宋_GB2312" w:eastAsia="仿宋_GB2312" w:cs="仿宋_GB2312"/>
          <w:sz w:val="32"/>
          <w:szCs w:val="32"/>
        </w:rPr>
        <w:t>法定代表人或授权代理人（签字）：</w:t>
      </w:r>
    </w:p>
    <w:p w14:paraId="7D53E228">
      <w:pPr>
        <w:adjustRightInd w:val="0"/>
        <w:snapToGrid w:val="0"/>
        <w:spacing w:line="560" w:lineRule="exact"/>
        <w:ind w:firstLine="1600" w:firstLineChars="500"/>
        <w:rPr>
          <w:rFonts w:hint="eastAsia" w:ascii="仿宋_GB2312" w:hAnsi="仿宋_GB2312" w:eastAsia="仿宋_GB2312" w:cs="仿宋_GB2312"/>
          <w:sz w:val="32"/>
          <w:szCs w:val="32"/>
        </w:rPr>
      </w:pPr>
    </w:p>
    <w:p w14:paraId="134DDEFE">
      <w:pPr>
        <w:adjustRightInd w:val="0"/>
        <w:snapToGrid w:val="0"/>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44DE66DC">
      <w:pPr>
        <w:pStyle w:val="16"/>
        <w:adjustRightInd w:val="0"/>
        <w:snapToGrid w:val="0"/>
        <w:spacing w:after="0" w:line="560" w:lineRule="exact"/>
        <w:ind w:left="0" w:leftChars="0"/>
        <w:rPr>
          <w:rFonts w:ascii="仿宋_GB2312" w:hAnsi="仿宋_GB2312" w:eastAsia="仿宋_GB2312" w:cs="仿宋_GB2312"/>
          <w:kern w:val="2"/>
          <w:sz w:val="32"/>
          <w:szCs w:val="32"/>
        </w:rPr>
      </w:pPr>
    </w:p>
    <w:p w14:paraId="04B44183">
      <w:pPr>
        <w:pStyle w:val="16"/>
        <w:adjustRightInd w:val="0"/>
        <w:snapToGrid w:val="0"/>
        <w:spacing w:after="0" w:line="560" w:lineRule="exact"/>
        <w:ind w:left="0" w:leftChars="0"/>
        <w:rPr>
          <w:rFonts w:ascii="仿宋_GB2312" w:hAnsi="仿宋_GB2312" w:eastAsia="仿宋_GB2312" w:cs="仿宋_GB2312"/>
          <w:kern w:val="2"/>
          <w:sz w:val="32"/>
          <w:szCs w:val="32"/>
        </w:rPr>
      </w:pPr>
    </w:p>
    <w:bookmarkEnd w:id="77"/>
    <w:bookmarkEnd w:id="78"/>
    <w:bookmarkEnd w:id="95"/>
    <w:bookmarkEnd w:id="96"/>
    <w:p w14:paraId="2E34513C">
      <w:pPr>
        <w:pStyle w:val="3"/>
        <w:spacing w:line="240" w:lineRule="auto"/>
      </w:pPr>
      <w:bookmarkStart w:id="103" w:name="_Toc4812"/>
      <w:bookmarkStart w:id="104" w:name="_Toc22438"/>
      <w:r>
        <w:rPr>
          <w:rFonts w:hint="eastAsia"/>
        </w:rPr>
        <w:t>封套格式</w:t>
      </w:r>
      <w:bookmarkEnd w:id="103"/>
      <w:bookmarkEnd w:id="104"/>
    </w:p>
    <w:tbl>
      <w:tblPr>
        <w:tblStyle w:val="25"/>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6761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tcPr>
          <w:p w14:paraId="76369823">
            <w:pPr>
              <w:pStyle w:val="14"/>
              <w:keepNext w:val="0"/>
              <w:keepLines w:val="0"/>
              <w:suppressLineNumbers w:val="0"/>
              <w:adjustRightInd w:val="0"/>
              <w:snapToGrid w:val="0"/>
              <w:spacing w:before="0" w:beforeAutospacing="0" w:after="0" w:afterAutospacing="0" w:line="560" w:lineRule="exact"/>
              <w:ind w:left="0" w:right="0" w:firstLine="0" w:firstLineChars="0"/>
              <w:rPr>
                <w:rFonts w:hint="default" w:ascii="仿宋_GB2312" w:hAnsi="仿宋_GB2312" w:eastAsia="仿宋_GB2312" w:cs="仿宋_GB2312"/>
                <w:sz w:val="32"/>
                <w:szCs w:val="32"/>
              </w:rPr>
            </w:pPr>
          </w:p>
          <w:p w14:paraId="4DAA054F">
            <w:pPr>
              <w:pStyle w:val="14"/>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仿宋_GB2312" w:hAnsi="仿宋_GB2312" w:eastAsia="仿宋_GB2312" w:cs="仿宋_GB2312"/>
                <w:sz w:val="32"/>
                <w:szCs w:val="32"/>
              </w:rPr>
            </w:pPr>
          </w:p>
          <w:p w14:paraId="2B5123B0">
            <w:pPr>
              <w:pStyle w:val="14"/>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仿宋_GB2312" w:hAnsi="仿宋_GB2312" w:eastAsia="仿宋_GB2312" w:cs="仿宋_GB2312"/>
                <w:bCs/>
                <w:sz w:val="32"/>
                <w:szCs w:val="32"/>
              </w:rPr>
            </w:pPr>
            <w:r>
              <w:rPr>
                <w:rFonts w:hint="eastAsia" w:ascii="仿宋_GB2312" w:hAnsi="仿宋_GB2312" w:eastAsia="仿宋_GB2312" w:cs="仿宋_GB2312"/>
                <w:bCs/>
                <w:sz w:val="32"/>
                <w:szCs w:val="32"/>
              </w:rPr>
              <w:t>报价文件（正本/副本）</w:t>
            </w:r>
          </w:p>
          <w:p w14:paraId="0D86F063">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76CF51C5">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p w14:paraId="088C98AB">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sz w:val="32"/>
                <w:szCs w:val="32"/>
              </w:rPr>
            </w:pPr>
            <w:r>
              <w:rPr>
                <w:rFonts w:hint="eastAsia" w:ascii="仿宋_GB2312" w:hAnsi="仿宋_GB2312" w:eastAsia="仿宋_GB2312" w:cs="仿宋_GB2312"/>
                <w:bCs w:val="0"/>
                <w:sz w:val="32"/>
                <w:szCs w:val="32"/>
              </w:rPr>
              <w:t>投标人名称（公章）：</w:t>
            </w:r>
          </w:p>
          <w:p w14:paraId="0B5DF1E4">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sz w:val="32"/>
                <w:szCs w:val="32"/>
              </w:rPr>
            </w:pPr>
            <w:r>
              <w:rPr>
                <w:rFonts w:hint="eastAsia" w:ascii="仿宋_GB2312" w:hAnsi="仿宋_GB2312" w:eastAsia="仿宋_GB2312" w:cs="仿宋_GB2312"/>
                <w:bCs w:val="0"/>
                <w:sz w:val="32"/>
                <w:szCs w:val="32"/>
              </w:rPr>
              <w:t>地址：</w:t>
            </w:r>
          </w:p>
          <w:p w14:paraId="5BB63A6A">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sz w:val="32"/>
                <w:szCs w:val="32"/>
              </w:rPr>
            </w:pPr>
            <w:r>
              <w:rPr>
                <w:rFonts w:hint="eastAsia" w:ascii="仿宋_GB2312" w:hAnsi="仿宋_GB2312" w:eastAsia="仿宋_GB2312" w:cs="仿宋_GB2312"/>
                <w:bCs w:val="0"/>
                <w:sz w:val="32"/>
                <w:szCs w:val="32"/>
              </w:rPr>
              <w:t>电话：</w:t>
            </w:r>
          </w:p>
          <w:p w14:paraId="56D32434">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sz w:val="32"/>
                <w:szCs w:val="32"/>
              </w:rPr>
            </w:pPr>
            <w:r>
              <w:rPr>
                <w:rFonts w:hint="eastAsia" w:ascii="仿宋_GB2312" w:hAnsi="仿宋_GB2312" w:eastAsia="仿宋_GB2312" w:cs="仿宋_GB2312"/>
                <w:bCs w:val="0"/>
                <w:sz w:val="32"/>
                <w:szCs w:val="32"/>
              </w:rPr>
              <w:t>传真：</w:t>
            </w:r>
          </w:p>
        </w:tc>
      </w:tr>
    </w:tbl>
    <w:p w14:paraId="029A0E0D">
      <w:pPr>
        <w:adjustRightInd w:val="0"/>
        <w:snapToGrid w:val="0"/>
        <w:spacing w:line="560" w:lineRule="exact"/>
        <w:rPr>
          <w:rFonts w:ascii="仿宋_GB2312" w:hAnsi="仿宋_GB2312" w:eastAsia="仿宋_GB2312" w:cs="仿宋_GB2312"/>
          <w:vanish/>
          <w:sz w:val="32"/>
          <w:szCs w:val="32"/>
        </w:rPr>
      </w:pPr>
    </w:p>
    <w:p w14:paraId="43C9886B">
      <w:pPr>
        <w:adjustRightInd w:val="0"/>
        <w:snapToGrid w:val="0"/>
        <w:spacing w:line="560" w:lineRule="exact"/>
        <w:rPr>
          <w:rFonts w:ascii="仿宋_GB2312" w:hAnsi="仿宋_GB2312" w:eastAsia="仿宋_GB2312" w:cs="仿宋_GB2312"/>
          <w:vanish/>
          <w:sz w:val="32"/>
          <w:szCs w:val="32"/>
        </w:rPr>
      </w:pPr>
    </w:p>
    <w:tbl>
      <w:tblPr>
        <w:tblStyle w:val="25"/>
        <w:tblpPr w:leftFromText="180" w:rightFromText="180" w:vertAnchor="text" w:horzAnchor="page" w:tblpX="1608" w:tblpY="901"/>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1138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7CB876C0">
            <w:pPr>
              <w:pStyle w:val="14"/>
              <w:keepNext w:val="0"/>
              <w:keepLines w:val="0"/>
              <w:suppressLineNumbers w:val="0"/>
              <w:adjustRightInd w:val="0"/>
              <w:snapToGrid w:val="0"/>
              <w:spacing w:before="0" w:beforeAutospacing="0" w:after="0" w:afterAutospacing="0" w:line="560" w:lineRule="exact"/>
              <w:ind w:left="0" w:right="0" w:firstLine="0" w:firstLineChars="0"/>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………于2025年   月   日    时之前不准启封………</w:t>
            </w:r>
          </w:p>
        </w:tc>
      </w:tr>
    </w:tbl>
    <w:p w14:paraId="1642BF53">
      <w:pPr>
        <w:adjustRightInd w:val="0"/>
        <w:snapToGrid w:val="0"/>
        <w:spacing w:line="560" w:lineRule="exact"/>
        <w:rPr>
          <w:rFonts w:ascii="仿宋_GB2312" w:hAnsi="仿宋_GB2312" w:eastAsia="仿宋_GB2312" w:cs="仿宋_GB2312"/>
          <w:sz w:val="32"/>
          <w:szCs w:val="32"/>
        </w:rPr>
      </w:pPr>
    </w:p>
    <w:sectPr>
      <w:headerReference r:id="rId12" w:type="first"/>
      <w:headerReference r:id="rId11" w:type="default"/>
      <w:footerReference r:id="rId13" w:type="default"/>
      <w:footerReference r:id="rId14" w:type="even"/>
      <w:pgSz w:w="11907" w:h="16840"/>
      <w:pgMar w:top="141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1ECA0E-F4E4-4CA0-9F44-510B177461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4AC7CCC-7A89-44AC-BF3F-95F63E4B1ACC}"/>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方正公文小标宋">
    <w:panose1 w:val="02000500000000000000"/>
    <w:charset w:val="86"/>
    <w:family w:val="auto"/>
    <w:pitch w:val="default"/>
    <w:sig w:usb0="A00002BF" w:usb1="38CF7CFA" w:usb2="00000016" w:usb3="00000000" w:csb0="00040001" w:csb1="00000000"/>
    <w:embedRegular r:id="rId3" w:fontKey="{193D5185-6755-4E4A-A9F6-5783D3F5554C}"/>
  </w:font>
  <w:font w:name="仿宋_GB2312">
    <w:altName w:val="仿宋"/>
    <w:panose1 w:val="02010609030101010101"/>
    <w:charset w:val="86"/>
    <w:family w:val="modern"/>
    <w:pitch w:val="default"/>
    <w:sig w:usb0="00000000" w:usb1="00000000" w:usb2="00000000" w:usb3="00000000" w:csb0="00040000" w:csb1="00000000"/>
    <w:embedRegular r:id="rId4" w:fontKey="{9225B954-702D-455A-BFC7-5C0645ABD7E6}"/>
  </w:font>
  <w:font w:name="方正公文黑体">
    <w:altName w:val="黑体"/>
    <w:panose1 w:val="02000500000000000000"/>
    <w:charset w:val="86"/>
    <w:family w:val="auto"/>
    <w:pitch w:val="default"/>
    <w:sig w:usb0="00000000" w:usb1="00000000" w:usb2="00000016" w:usb3="00000000" w:csb0="00040001" w:csb1="00000000"/>
    <w:embedRegular r:id="rId5" w:fontKey="{BB821C5C-5615-4EFA-8B52-840844D303DA}"/>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7847A">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A1E40">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80A1E40">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1393B">
    <w:pPr>
      <w:pStyle w:val="17"/>
      <w:tabs>
        <w:tab w:val="center" w:pos="4426"/>
        <w:tab w:val="left" w:pos="6262"/>
      </w:tabs>
      <w:jc w:val="lef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4659F">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DB4659F">
                    <w:pPr>
                      <w:pStyle w:val="17"/>
                    </w:pPr>
                    <w:r>
                      <w:fldChar w:fldCharType="begin"/>
                    </w:r>
                    <w:r>
                      <w:instrText xml:space="preserve"> PAGE  \* MERGEFORMAT </w:instrText>
                    </w:r>
                    <w:r>
                      <w:fldChar w:fldCharType="separate"/>
                    </w:r>
                    <w:r>
                      <w:t>- 2 -</w:t>
                    </w:r>
                    <w:r>
                      <w:fldChar w:fldCharType="end"/>
                    </w:r>
                  </w:p>
                </w:txbxContent>
              </v:textbox>
            </v:shape>
          </w:pict>
        </mc:Fallback>
      </mc:AlternateContent>
    </w:r>
    <w:r>
      <w:rPr>
        <w:lang w:val="en-US"/>
      </w:rPr>
      <w:tab/>
    </w:r>
    <w:r>
      <w:rPr>
        <w:lang w:val="en-US"/>
      </w:rPr>
      <w:tab/>
    </w:r>
    <w:r>
      <w:rPr>
        <w:lang w:val="en-US"/>
      </w:rPr>
      <w:tab/>
    </w:r>
    <w:r>
      <w:rPr>
        <w:lang w:val="en-US"/>
      </w:rPr>
      <w:tab/>
    </w:r>
  </w:p>
  <w:p w14:paraId="4EB31AA0">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DA304">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ACC2A">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11ACC2A">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712C4">
    <w:pPr>
      <w:spacing w:line="14" w:lineRule="auto"/>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3E374">
                          <w:pPr>
                            <w:pStyle w:val="17"/>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C43E374">
                    <w:pPr>
                      <w:pStyle w:val="17"/>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B946C">
    <w:pPr>
      <w:pStyle w:val="17"/>
      <w:ind w:right="360" w:firstLine="4860" w:firstLineChars="270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6F061">
                          <w:pPr>
                            <w:pStyle w:val="17"/>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7B6F061">
                    <w:pPr>
                      <w:pStyle w:val="17"/>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8EEEE">
    <w:pPr>
      <w:pStyle w:val="17"/>
      <w:framePr w:wrap="around" w:vAnchor="text" w:hAnchor="margin" w:xAlign="center" w:y="1"/>
      <w:rPr>
        <w:rStyle w:val="28"/>
      </w:rPr>
    </w:pPr>
    <w:r>
      <w:fldChar w:fldCharType="begin"/>
    </w:r>
    <w:r>
      <w:rPr>
        <w:rStyle w:val="28"/>
      </w:rPr>
      <w:instrText xml:space="preserve">PAGE  </w:instrText>
    </w:r>
    <w:r>
      <w:fldChar w:fldCharType="separate"/>
    </w:r>
    <w:r>
      <w:rPr>
        <w:rStyle w:val="28"/>
      </w:rPr>
      <w:t>32</w:t>
    </w:r>
    <w:r>
      <w:fldChar w:fldCharType="end"/>
    </w:r>
  </w:p>
  <w:p w14:paraId="18CB1244">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0FB5B">
    <w:pPr>
      <w:pStyle w:val="18"/>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47B89">
    <w:pPr>
      <w:pStyle w:val="18"/>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75379">
    <w:pPr>
      <w:pStyle w:val="18"/>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05A3C">
    <w:pPr>
      <w:pStyle w:val="18"/>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AD9E0">
    <w:pPr>
      <w:pStyle w:val="18"/>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17A11">
    <w:pPr>
      <w:pStyle w:val="18"/>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BE738B54"/>
    <w:multiLevelType w:val="singleLevel"/>
    <w:tmpl w:val="BE738B54"/>
    <w:lvl w:ilvl="0" w:tentative="0">
      <w:start w:val="4"/>
      <w:numFmt w:val="decimal"/>
      <w:suff w:val="nothing"/>
      <w:lvlText w:val="（%1）"/>
      <w:lvlJc w:val="left"/>
    </w:lvl>
  </w:abstractNum>
  <w:abstractNum w:abstractNumId="2">
    <w:nsid w:val="06760612"/>
    <w:multiLevelType w:val="multilevel"/>
    <w:tmpl w:val="06760612"/>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pStyle w:val="7"/>
      <w:suff w:val="nothing"/>
      <w:lvlText w:val="%1.%2.%3"/>
      <w:lvlJc w:val="left"/>
      <w:pPr>
        <w:ind w:left="0" w:firstLine="0"/>
      </w:pPr>
      <w:rPr>
        <w:rFonts w:hint="eastAsia"/>
      </w:rPr>
    </w:lvl>
    <w:lvl w:ilvl="3" w:tentative="0">
      <w:start w:val="1"/>
      <w:numFmt w:val="decimal"/>
      <w:pStyle w:val="8"/>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3">
    <w:nsid w:val="0E8F681B"/>
    <w:multiLevelType w:val="singleLevel"/>
    <w:tmpl w:val="0E8F681B"/>
    <w:lvl w:ilvl="0" w:tentative="0">
      <w:start w:val="6"/>
      <w:numFmt w:val="chineseCounting"/>
      <w:suff w:val="space"/>
      <w:lvlText w:val="第%1部分"/>
      <w:lvlJc w:val="left"/>
      <w:rPr>
        <w:rFonts w:hint="eastAsia"/>
      </w:rPr>
    </w:lvl>
  </w:abstractNum>
  <w:abstractNum w:abstractNumId="4">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5">
    <w:nsid w:val="35DB52C3"/>
    <w:multiLevelType w:val="singleLevel"/>
    <w:tmpl w:val="35DB52C3"/>
    <w:lvl w:ilvl="0" w:tentative="0">
      <w:start w:val="1"/>
      <w:numFmt w:val="decimal"/>
      <w:lvlText w:val="%1."/>
      <w:lvlJc w:val="left"/>
      <w:pPr>
        <w:tabs>
          <w:tab w:val="left" w:pos="312"/>
        </w:tabs>
      </w:p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0003064"/>
    <w:rsid w:val="0002075D"/>
    <w:rsid w:val="00025991"/>
    <w:rsid w:val="000273FD"/>
    <w:rsid w:val="000613D1"/>
    <w:rsid w:val="000A6129"/>
    <w:rsid w:val="000B329A"/>
    <w:rsid w:val="000C7BD5"/>
    <w:rsid w:val="00105A68"/>
    <w:rsid w:val="001164B5"/>
    <w:rsid w:val="001351AA"/>
    <w:rsid w:val="001519E6"/>
    <w:rsid w:val="00160194"/>
    <w:rsid w:val="00171DBC"/>
    <w:rsid w:val="00181324"/>
    <w:rsid w:val="001A1B19"/>
    <w:rsid w:val="001D1DAD"/>
    <w:rsid w:val="001D3C3A"/>
    <w:rsid w:val="00237A6E"/>
    <w:rsid w:val="00243C19"/>
    <w:rsid w:val="002455C0"/>
    <w:rsid w:val="0025701E"/>
    <w:rsid w:val="002829F4"/>
    <w:rsid w:val="00282BE6"/>
    <w:rsid w:val="002B1AFF"/>
    <w:rsid w:val="002D11F7"/>
    <w:rsid w:val="003012DA"/>
    <w:rsid w:val="00307A48"/>
    <w:rsid w:val="00334CA9"/>
    <w:rsid w:val="003D295E"/>
    <w:rsid w:val="00440AD4"/>
    <w:rsid w:val="004631B8"/>
    <w:rsid w:val="00463866"/>
    <w:rsid w:val="00493632"/>
    <w:rsid w:val="00547BFA"/>
    <w:rsid w:val="00563FEF"/>
    <w:rsid w:val="005D793B"/>
    <w:rsid w:val="00614FDC"/>
    <w:rsid w:val="00640DDC"/>
    <w:rsid w:val="00643548"/>
    <w:rsid w:val="00647BFA"/>
    <w:rsid w:val="006A2E9F"/>
    <w:rsid w:val="006A627C"/>
    <w:rsid w:val="006A6581"/>
    <w:rsid w:val="006D5ACB"/>
    <w:rsid w:val="0070536A"/>
    <w:rsid w:val="00723C70"/>
    <w:rsid w:val="00785950"/>
    <w:rsid w:val="0079174A"/>
    <w:rsid w:val="007934CC"/>
    <w:rsid w:val="00845118"/>
    <w:rsid w:val="00851A1C"/>
    <w:rsid w:val="008560D3"/>
    <w:rsid w:val="008806B9"/>
    <w:rsid w:val="00932EF4"/>
    <w:rsid w:val="009848F2"/>
    <w:rsid w:val="00995A62"/>
    <w:rsid w:val="009B0D00"/>
    <w:rsid w:val="00A11BD6"/>
    <w:rsid w:val="00A13675"/>
    <w:rsid w:val="00A212B3"/>
    <w:rsid w:val="00A3539F"/>
    <w:rsid w:val="00A90DC2"/>
    <w:rsid w:val="00AA61C0"/>
    <w:rsid w:val="00AE01B1"/>
    <w:rsid w:val="00BD1B66"/>
    <w:rsid w:val="00BE6D42"/>
    <w:rsid w:val="00BF04E9"/>
    <w:rsid w:val="00C24CB0"/>
    <w:rsid w:val="00CE4297"/>
    <w:rsid w:val="00CF1702"/>
    <w:rsid w:val="00D13D87"/>
    <w:rsid w:val="00D31982"/>
    <w:rsid w:val="00DA35B1"/>
    <w:rsid w:val="00DC2271"/>
    <w:rsid w:val="00E27680"/>
    <w:rsid w:val="00E4733C"/>
    <w:rsid w:val="00E707D8"/>
    <w:rsid w:val="00E817E5"/>
    <w:rsid w:val="00E865C2"/>
    <w:rsid w:val="00F1031F"/>
    <w:rsid w:val="00F70E5C"/>
    <w:rsid w:val="00F73779"/>
    <w:rsid w:val="00F87360"/>
    <w:rsid w:val="00FA0DB4"/>
    <w:rsid w:val="00FA7158"/>
    <w:rsid w:val="00FF50E6"/>
    <w:rsid w:val="010E4F6E"/>
    <w:rsid w:val="013712F7"/>
    <w:rsid w:val="013C246A"/>
    <w:rsid w:val="01535BBA"/>
    <w:rsid w:val="016F7099"/>
    <w:rsid w:val="01AE10A4"/>
    <w:rsid w:val="01AF3A4F"/>
    <w:rsid w:val="01C27B77"/>
    <w:rsid w:val="01E0373D"/>
    <w:rsid w:val="02451033"/>
    <w:rsid w:val="026F7BA0"/>
    <w:rsid w:val="028C62E2"/>
    <w:rsid w:val="02D8307B"/>
    <w:rsid w:val="02EC2996"/>
    <w:rsid w:val="02FE5FA0"/>
    <w:rsid w:val="03215DBB"/>
    <w:rsid w:val="038B3937"/>
    <w:rsid w:val="03B92498"/>
    <w:rsid w:val="03BA4A14"/>
    <w:rsid w:val="03C03826"/>
    <w:rsid w:val="03E1761F"/>
    <w:rsid w:val="04210BBD"/>
    <w:rsid w:val="043A0EC2"/>
    <w:rsid w:val="04BD1B14"/>
    <w:rsid w:val="04C21C5A"/>
    <w:rsid w:val="05080FE1"/>
    <w:rsid w:val="051536FE"/>
    <w:rsid w:val="0521245C"/>
    <w:rsid w:val="0524197F"/>
    <w:rsid w:val="0539563E"/>
    <w:rsid w:val="0569541C"/>
    <w:rsid w:val="06220A34"/>
    <w:rsid w:val="063B0A20"/>
    <w:rsid w:val="063D115E"/>
    <w:rsid w:val="063D7F45"/>
    <w:rsid w:val="06515A71"/>
    <w:rsid w:val="06966A2B"/>
    <w:rsid w:val="069D2831"/>
    <w:rsid w:val="06B362BB"/>
    <w:rsid w:val="06CC1424"/>
    <w:rsid w:val="06E03B70"/>
    <w:rsid w:val="06E67100"/>
    <w:rsid w:val="06FF6413"/>
    <w:rsid w:val="07043A2A"/>
    <w:rsid w:val="07281BB4"/>
    <w:rsid w:val="07586296"/>
    <w:rsid w:val="076013B7"/>
    <w:rsid w:val="077417A0"/>
    <w:rsid w:val="077E558A"/>
    <w:rsid w:val="07854B6B"/>
    <w:rsid w:val="07943000"/>
    <w:rsid w:val="08156C5F"/>
    <w:rsid w:val="081D4626"/>
    <w:rsid w:val="084F19EE"/>
    <w:rsid w:val="08DA0EE6"/>
    <w:rsid w:val="09542027"/>
    <w:rsid w:val="09692E5A"/>
    <w:rsid w:val="09831F2B"/>
    <w:rsid w:val="09A432A2"/>
    <w:rsid w:val="09BC4A90"/>
    <w:rsid w:val="09BE64C0"/>
    <w:rsid w:val="09FB55B8"/>
    <w:rsid w:val="0A3F0100"/>
    <w:rsid w:val="0A560A40"/>
    <w:rsid w:val="0A7B2255"/>
    <w:rsid w:val="0B04224A"/>
    <w:rsid w:val="0B16263E"/>
    <w:rsid w:val="0B8B2FBA"/>
    <w:rsid w:val="0B9B2EA1"/>
    <w:rsid w:val="0BDA3067"/>
    <w:rsid w:val="0BED6A7B"/>
    <w:rsid w:val="0BF70C1C"/>
    <w:rsid w:val="0C65652A"/>
    <w:rsid w:val="0C6C07D5"/>
    <w:rsid w:val="0C8353F1"/>
    <w:rsid w:val="0C9D49EB"/>
    <w:rsid w:val="0CA5180B"/>
    <w:rsid w:val="0CB02DAF"/>
    <w:rsid w:val="0CB63A18"/>
    <w:rsid w:val="0CD143AE"/>
    <w:rsid w:val="0CF74AB8"/>
    <w:rsid w:val="0D181FDD"/>
    <w:rsid w:val="0D3D1A44"/>
    <w:rsid w:val="0D5648B3"/>
    <w:rsid w:val="0D5D3E94"/>
    <w:rsid w:val="0D761459"/>
    <w:rsid w:val="0D766D04"/>
    <w:rsid w:val="0E812BF3"/>
    <w:rsid w:val="0E9733D5"/>
    <w:rsid w:val="0EB06E60"/>
    <w:rsid w:val="0EB10E23"/>
    <w:rsid w:val="0EF07055"/>
    <w:rsid w:val="0EFB1BB6"/>
    <w:rsid w:val="0F1A7048"/>
    <w:rsid w:val="0F317386"/>
    <w:rsid w:val="0F5574D8"/>
    <w:rsid w:val="0F601A19"/>
    <w:rsid w:val="0F6C64AC"/>
    <w:rsid w:val="0FA1275E"/>
    <w:rsid w:val="0FB76D11"/>
    <w:rsid w:val="0FD55F4E"/>
    <w:rsid w:val="0FE16FFE"/>
    <w:rsid w:val="0FE32D76"/>
    <w:rsid w:val="0FE33B06"/>
    <w:rsid w:val="0FF705D0"/>
    <w:rsid w:val="10017FB3"/>
    <w:rsid w:val="10090BD7"/>
    <w:rsid w:val="10235B8D"/>
    <w:rsid w:val="10515328"/>
    <w:rsid w:val="1088396D"/>
    <w:rsid w:val="108B0D18"/>
    <w:rsid w:val="109567B4"/>
    <w:rsid w:val="111700D2"/>
    <w:rsid w:val="11190C87"/>
    <w:rsid w:val="11B83D8F"/>
    <w:rsid w:val="11D67F1C"/>
    <w:rsid w:val="123A29F6"/>
    <w:rsid w:val="123E35CF"/>
    <w:rsid w:val="12450EE5"/>
    <w:rsid w:val="12490E8B"/>
    <w:rsid w:val="12DE7825"/>
    <w:rsid w:val="12E070F9"/>
    <w:rsid w:val="12E952FB"/>
    <w:rsid w:val="131821D8"/>
    <w:rsid w:val="132A2348"/>
    <w:rsid w:val="13347445"/>
    <w:rsid w:val="133C34EE"/>
    <w:rsid w:val="133F619B"/>
    <w:rsid w:val="13853604"/>
    <w:rsid w:val="138F79D2"/>
    <w:rsid w:val="13DF0BCE"/>
    <w:rsid w:val="13E0137B"/>
    <w:rsid w:val="13E56991"/>
    <w:rsid w:val="13EC5CCF"/>
    <w:rsid w:val="13F84916"/>
    <w:rsid w:val="14187963"/>
    <w:rsid w:val="142167F1"/>
    <w:rsid w:val="145C05DA"/>
    <w:rsid w:val="1468384A"/>
    <w:rsid w:val="14793E91"/>
    <w:rsid w:val="147A2925"/>
    <w:rsid w:val="14A730DD"/>
    <w:rsid w:val="150572EB"/>
    <w:rsid w:val="15945E81"/>
    <w:rsid w:val="15AC3C0A"/>
    <w:rsid w:val="15CA407F"/>
    <w:rsid w:val="15DF7B3C"/>
    <w:rsid w:val="15FD2BBA"/>
    <w:rsid w:val="16900E36"/>
    <w:rsid w:val="16D77AEA"/>
    <w:rsid w:val="16D96054"/>
    <w:rsid w:val="17127A9D"/>
    <w:rsid w:val="17140673"/>
    <w:rsid w:val="17141B46"/>
    <w:rsid w:val="17231CAA"/>
    <w:rsid w:val="172F13BB"/>
    <w:rsid w:val="17365147"/>
    <w:rsid w:val="17417AEF"/>
    <w:rsid w:val="17617B9E"/>
    <w:rsid w:val="17B531B3"/>
    <w:rsid w:val="17C50FB3"/>
    <w:rsid w:val="17EE07BE"/>
    <w:rsid w:val="18883998"/>
    <w:rsid w:val="189D5A8C"/>
    <w:rsid w:val="18C2202E"/>
    <w:rsid w:val="18C33745"/>
    <w:rsid w:val="18F31AB7"/>
    <w:rsid w:val="1901426D"/>
    <w:rsid w:val="191C10A7"/>
    <w:rsid w:val="191C2DD1"/>
    <w:rsid w:val="1925050E"/>
    <w:rsid w:val="19387060"/>
    <w:rsid w:val="197B254B"/>
    <w:rsid w:val="19A46172"/>
    <w:rsid w:val="19C46CD8"/>
    <w:rsid w:val="19C84D8B"/>
    <w:rsid w:val="19DE010A"/>
    <w:rsid w:val="19F245C4"/>
    <w:rsid w:val="1A014E15"/>
    <w:rsid w:val="1A0A7151"/>
    <w:rsid w:val="1A18186E"/>
    <w:rsid w:val="1A2B0002"/>
    <w:rsid w:val="1A2C531A"/>
    <w:rsid w:val="1A361CF4"/>
    <w:rsid w:val="1A5361CB"/>
    <w:rsid w:val="1A785A33"/>
    <w:rsid w:val="1AA2382E"/>
    <w:rsid w:val="1B3A4B9B"/>
    <w:rsid w:val="1B46065D"/>
    <w:rsid w:val="1B4E306E"/>
    <w:rsid w:val="1BA50EE0"/>
    <w:rsid w:val="1BAB583C"/>
    <w:rsid w:val="1BB3C7C0"/>
    <w:rsid w:val="1BDD4B1E"/>
    <w:rsid w:val="1C146065"/>
    <w:rsid w:val="1CFA6CD7"/>
    <w:rsid w:val="1D3C1D18"/>
    <w:rsid w:val="1D726A12"/>
    <w:rsid w:val="1D863B83"/>
    <w:rsid w:val="1DD42870"/>
    <w:rsid w:val="1DD45AAC"/>
    <w:rsid w:val="1DE91A1B"/>
    <w:rsid w:val="1DF50EBD"/>
    <w:rsid w:val="1DF87FC5"/>
    <w:rsid w:val="1E122A78"/>
    <w:rsid w:val="1E2D340E"/>
    <w:rsid w:val="1E7554E1"/>
    <w:rsid w:val="1E7A7A86"/>
    <w:rsid w:val="1E804B75"/>
    <w:rsid w:val="1ED57D2E"/>
    <w:rsid w:val="1EF62324"/>
    <w:rsid w:val="1F765554"/>
    <w:rsid w:val="1F845AC6"/>
    <w:rsid w:val="1F884CCF"/>
    <w:rsid w:val="1F9B949E"/>
    <w:rsid w:val="1F9F033C"/>
    <w:rsid w:val="1FEC25BF"/>
    <w:rsid w:val="1FEF6E6E"/>
    <w:rsid w:val="20350AB8"/>
    <w:rsid w:val="209B0A84"/>
    <w:rsid w:val="20C0056A"/>
    <w:rsid w:val="210D14B1"/>
    <w:rsid w:val="21887642"/>
    <w:rsid w:val="219407F2"/>
    <w:rsid w:val="219F2875"/>
    <w:rsid w:val="21DB2A55"/>
    <w:rsid w:val="21E87D78"/>
    <w:rsid w:val="220B1CB9"/>
    <w:rsid w:val="220F3557"/>
    <w:rsid w:val="22227D34"/>
    <w:rsid w:val="22250FCC"/>
    <w:rsid w:val="225E0B1F"/>
    <w:rsid w:val="22AD2D70"/>
    <w:rsid w:val="22B366F6"/>
    <w:rsid w:val="22B660C8"/>
    <w:rsid w:val="22E6561F"/>
    <w:rsid w:val="23005595"/>
    <w:rsid w:val="23294AEC"/>
    <w:rsid w:val="232E330C"/>
    <w:rsid w:val="2330729E"/>
    <w:rsid w:val="233139A1"/>
    <w:rsid w:val="23377EE9"/>
    <w:rsid w:val="23C2284B"/>
    <w:rsid w:val="23FE7B1E"/>
    <w:rsid w:val="2412563B"/>
    <w:rsid w:val="243674C1"/>
    <w:rsid w:val="2443398C"/>
    <w:rsid w:val="24963C3A"/>
    <w:rsid w:val="24D77410"/>
    <w:rsid w:val="25903244"/>
    <w:rsid w:val="25A47958"/>
    <w:rsid w:val="25C94365"/>
    <w:rsid w:val="25CD79B1"/>
    <w:rsid w:val="25F5597A"/>
    <w:rsid w:val="263E440B"/>
    <w:rsid w:val="26924756"/>
    <w:rsid w:val="269A09F7"/>
    <w:rsid w:val="2739601D"/>
    <w:rsid w:val="27433CA3"/>
    <w:rsid w:val="2771221C"/>
    <w:rsid w:val="278136ED"/>
    <w:rsid w:val="278E3045"/>
    <w:rsid w:val="279B0C50"/>
    <w:rsid w:val="279D270A"/>
    <w:rsid w:val="27A75FE0"/>
    <w:rsid w:val="27B626C7"/>
    <w:rsid w:val="27DA0163"/>
    <w:rsid w:val="288938C1"/>
    <w:rsid w:val="28B3769A"/>
    <w:rsid w:val="28DD71C8"/>
    <w:rsid w:val="290F795D"/>
    <w:rsid w:val="292F44DF"/>
    <w:rsid w:val="2976189C"/>
    <w:rsid w:val="29BD4AD2"/>
    <w:rsid w:val="29CD6601"/>
    <w:rsid w:val="29E9585C"/>
    <w:rsid w:val="29F758E8"/>
    <w:rsid w:val="2A307B20"/>
    <w:rsid w:val="2A566664"/>
    <w:rsid w:val="2A701253"/>
    <w:rsid w:val="2A8274CB"/>
    <w:rsid w:val="2A8D3BB3"/>
    <w:rsid w:val="2AAF03D5"/>
    <w:rsid w:val="2AC82E3D"/>
    <w:rsid w:val="2ADF07C0"/>
    <w:rsid w:val="2AF1729B"/>
    <w:rsid w:val="2BD10AFE"/>
    <w:rsid w:val="2C301C6E"/>
    <w:rsid w:val="2C9454FE"/>
    <w:rsid w:val="2C9A25B7"/>
    <w:rsid w:val="2CAD22EA"/>
    <w:rsid w:val="2CB238EE"/>
    <w:rsid w:val="2CBC077F"/>
    <w:rsid w:val="2CD94552"/>
    <w:rsid w:val="2D2500D2"/>
    <w:rsid w:val="2D71156A"/>
    <w:rsid w:val="2D8A262B"/>
    <w:rsid w:val="2D947006"/>
    <w:rsid w:val="2DD732E8"/>
    <w:rsid w:val="2DE312CD"/>
    <w:rsid w:val="2DEF248E"/>
    <w:rsid w:val="2E1E55CD"/>
    <w:rsid w:val="2E3A65F9"/>
    <w:rsid w:val="2E432355"/>
    <w:rsid w:val="2E6800CC"/>
    <w:rsid w:val="2E9B79E3"/>
    <w:rsid w:val="2EB455B4"/>
    <w:rsid w:val="2ED40002"/>
    <w:rsid w:val="2EFA733D"/>
    <w:rsid w:val="2F283F03"/>
    <w:rsid w:val="2F397E65"/>
    <w:rsid w:val="2F487110"/>
    <w:rsid w:val="2F544C9F"/>
    <w:rsid w:val="2F7470EF"/>
    <w:rsid w:val="2FD44032"/>
    <w:rsid w:val="2FED7D34"/>
    <w:rsid w:val="302A5A00"/>
    <w:rsid w:val="302E54F0"/>
    <w:rsid w:val="3058256D"/>
    <w:rsid w:val="3079557E"/>
    <w:rsid w:val="307F3D64"/>
    <w:rsid w:val="31175F84"/>
    <w:rsid w:val="31262305"/>
    <w:rsid w:val="31327262"/>
    <w:rsid w:val="31D9148B"/>
    <w:rsid w:val="31EA4EA1"/>
    <w:rsid w:val="324F6CEB"/>
    <w:rsid w:val="325B2EC3"/>
    <w:rsid w:val="326E1087"/>
    <w:rsid w:val="327F7178"/>
    <w:rsid w:val="32986C49"/>
    <w:rsid w:val="32992B58"/>
    <w:rsid w:val="32A2020C"/>
    <w:rsid w:val="32A46599"/>
    <w:rsid w:val="32A7158A"/>
    <w:rsid w:val="32F02F31"/>
    <w:rsid w:val="32F72DCA"/>
    <w:rsid w:val="332B7EA7"/>
    <w:rsid w:val="33423678"/>
    <w:rsid w:val="33644F60"/>
    <w:rsid w:val="336B25B7"/>
    <w:rsid w:val="33AB4232"/>
    <w:rsid w:val="33D20888"/>
    <w:rsid w:val="33EE0701"/>
    <w:rsid w:val="33FB7DDF"/>
    <w:rsid w:val="33FF6CF8"/>
    <w:rsid w:val="340C5B48"/>
    <w:rsid w:val="34131094"/>
    <w:rsid w:val="342033A2"/>
    <w:rsid w:val="344828F8"/>
    <w:rsid w:val="3451508A"/>
    <w:rsid w:val="34520673"/>
    <w:rsid w:val="34607C42"/>
    <w:rsid w:val="34E268A9"/>
    <w:rsid w:val="34E44900"/>
    <w:rsid w:val="35176F31"/>
    <w:rsid w:val="351C625F"/>
    <w:rsid w:val="353D0CC0"/>
    <w:rsid w:val="35487054"/>
    <w:rsid w:val="3579427A"/>
    <w:rsid w:val="359B6AF0"/>
    <w:rsid w:val="35B74975"/>
    <w:rsid w:val="35E52AF5"/>
    <w:rsid w:val="36405F7D"/>
    <w:rsid w:val="36591B2F"/>
    <w:rsid w:val="366A2FFA"/>
    <w:rsid w:val="367237F7"/>
    <w:rsid w:val="3676199F"/>
    <w:rsid w:val="36A96651"/>
    <w:rsid w:val="36C42F0E"/>
    <w:rsid w:val="36D04C5A"/>
    <w:rsid w:val="36D22A64"/>
    <w:rsid w:val="36DC2DE1"/>
    <w:rsid w:val="3711707E"/>
    <w:rsid w:val="379C71E3"/>
    <w:rsid w:val="37E312B6"/>
    <w:rsid w:val="37E56DDC"/>
    <w:rsid w:val="37F214F9"/>
    <w:rsid w:val="37FA5416"/>
    <w:rsid w:val="37FFE6AC"/>
    <w:rsid w:val="38691F82"/>
    <w:rsid w:val="38B13162"/>
    <w:rsid w:val="391D15F5"/>
    <w:rsid w:val="3A410CD0"/>
    <w:rsid w:val="3A5F655A"/>
    <w:rsid w:val="3A7B57D6"/>
    <w:rsid w:val="3AB72586"/>
    <w:rsid w:val="3B153CF8"/>
    <w:rsid w:val="3B3616FD"/>
    <w:rsid w:val="3B6E533A"/>
    <w:rsid w:val="3B7D32FB"/>
    <w:rsid w:val="3B9D352A"/>
    <w:rsid w:val="3BC4654E"/>
    <w:rsid w:val="3BFC2946"/>
    <w:rsid w:val="3C137C90"/>
    <w:rsid w:val="3C1C4D96"/>
    <w:rsid w:val="3C380806"/>
    <w:rsid w:val="3C5677D7"/>
    <w:rsid w:val="3C577B7C"/>
    <w:rsid w:val="3C6D183D"/>
    <w:rsid w:val="3CBE61C5"/>
    <w:rsid w:val="3CD15B81"/>
    <w:rsid w:val="3CE112D9"/>
    <w:rsid w:val="3D7959A4"/>
    <w:rsid w:val="3D8E3A72"/>
    <w:rsid w:val="3D98189B"/>
    <w:rsid w:val="3DBF1E7D"/>
    <w:rsid w:val="3DC120E1"/>
    <w:rsid w:val="3DDC1999"/>
    <w:rsid w:val="3DDEB4E4"/>
    <w:rsid w:val="3E6B3412"/>
    <w:rsid w:val="3E976956"/>
    <w:rsid w:val="3ED92ACB"/>
    <w:rsid w:val="3EE85404"/>
    <w:rsid w:val="3EF721D5"/>
    <w:rsid w:val="3EFA354B"/>
    <w:rsid w:val="3F0B4E92"/>
    <w:rsid w:val="3F56236D"/>
    <w:rsid w:val="3F7A2D95"/>
    <w:rsid w:val="3F8841F5"/>
    <w:rsid w:val="3FBB2D68"/>
    <w:rsid w:val="3FCC0881"/>
    <w:rsid w:val="3FE78442"/>
    <w:rsid w:val="408D71EA"/>
    <w:rsid w:val="409F3A59"/>
    <w:rsid w:val="40AD17DF"/>
    <w:rsid w:val="40EB4D37"/>
    <w:rsid w:val="40F25411"/>
    <w:rsid w:val="411A6F63"/>
    <w:rsid w:val="419D4069"/>
    <w:rsid w:val="41A97E1E"/>
    <w:rsid w:val="41AA4BF2"/>
    <w:rsid w:val="42294664"/>
    <w:rsid w:val="42462B6D"/>
    <w:rsid w:val="428B4A24"/>
    <w:rsid w:val="429D17C3"/>
    <w:rsid w:val="42B40F7C"/>
    <w:rsid w:val="42B7058F"/>
    <w:rsid w:val="42F779C3"/>
    <w:rsid w:val="430F2450"/>
    <w:rsid w:val="43291B47"/>
    <w:rsid w:val="43344A35"/>
    <w:rsid w:val="438C45B0"/>
    <w:rsid w:val="43AB0A6B"/>
    <w:rsid w:val="43AF120B"/>
    <w:rsid w:val="43C81360"/>
    <w:rsid w:val="43F17F21"/>
    <w:rsid w:val="441A4EF4"/>
    <w:rsid w:val="444958B2"/>
    <w:rsid w:val="448B0D0B"/>
    <w:rsid w:val="448D4A83"/>
    <w:rsid w:val="44901E7E"/>
    <w:rsid w:val="44E64193"/>
    <w:rsid w:val="451F3201"/>
    <w:rsid w:val="45394A3E"/>
    <w:rsid w:val="458012DF"/>
    <w:rsid w:val="45856265"/>
    <w:rsid w:val="45FA6FCC"/>
    <w:rsid w:val="45FF375F"/>
    <w:rsid w:val="46001216"/>
    <w:rsid w:val="46396545"/>
    <w:rsid w:val="46603AD2"/>
    <w:rsid w:val="46833C2E"/>
    <w:rsid w:val="468E6891"/>
    <w:rsid w:val="46AB11F1"/>
    <w:rsid w:val="46C155FF"/>
    <w:rsid w:val="46CE0318"/>
    <w:rsid w:val="46DB773D"/>
    <w:rsid w:val="46F506BE"/>
    <w:rsid w:val="470D4DDB"/>
    <w:rsid w:val="4743722B"/>
    <w:rsid w:val="47476ADD"/>
    <w:rsid w:val="475C073D"/>
    <w:rsid w:val="47680E90"/>
    <w:rsid w:val="47B6FF77"/>
    <w:rsid w:val="48304052"/>
    <w:rsid w:val="483616A5"/>
    <w:rsid w:val="485458B8"/>
    <w:rsid w:val="485C6F76"/>
    <w:rsid w:val="486453C9"/>
    <w:rsid w:val="486A6E89"/>
    <w:rsid w:val="488F68F0"/>
    <w:rsid w:val="4891774B"/>
    <w:rsid w:val="48A50E28"/>
    <w:rsid w:val="48F65CAE"/>
    <w:rsid w:val="490966A2"/>
    <w:rsid w:val="49234F3A"/>
    <w:rsid w:val="494E0559"/>
    <w:rsid w:val="49935F6C"/>
    <w:rsid w:val="49C600F0"/>
    <w:rsid w:val="49EC224C"/>
    <w:rsid w:val="4A1365B8"/>
    <w:rsid w:val="4A722AB5"/>
    <w:rsid w:val="4AA456FF"/>
    <w:rsid w:val="4AF2550B"/>
    <w:rsid w:val="4B1878F5"/>
    <w:rsid w:val="4B4C383A"/>
    <w:rsid w:val="4B670273"/>
    <w:rsid w:val="4B746C0F"/>
    <w:rsid w:val="4B95246F"/>
    <w:rsid w:val="4C51283A"/>
    <w:rsid w:val="4C581661"/>
    <w:rsid w:val="4C5E6D05"/>
    <w:rsid w:val="4C7F417C"/>
    <w:rsid w:val="4C875185"/>
    <w:rsid w:val="4C8F03ED"/>
    <w:rsid w:val="4CC3201B"/>
    <w:rsid w:val="4D4128AF"/>
    <w:rsid w:val="4D942C25"/>
    <w:rsid w:val="4DA91E14"/>
    <w:rsid w:val="4DA9F889"/>
    <w:rsid w:val="4E0B430A"/>
    <w:rsid w:val="4E20644E"/>
    <w:rsid w:val="4E740A62"/>
    <w:rsid w:val="4E876790"/>
    <w:rsid w:val="4EB533A9"/>
    <w:rsid w:val="4ED92673"/>
    <w:rsid w:val="4EFF657E"/>
    <w:rsid w:val="4F0C71D9"/>
    <w:rsid w:val="4F140E7E"/>
    <w:rsid w:val="4F2B26E0"/>
    <w:rsid w:val="4F604B42"/>
    <w:rsid w:val="4F610F13"/>
    <w:rsid w:val="4F716D4F"/>
    <w:rsid w:val="4F7640F5"/>
    <w:rsid w:val="4F8B2F41"/>
    <w:rsid w:val="4F93361D"/>
    <w:rsid w:val="4F9A44F8"/>
    <w:rsid w:val="4F9E0374"/>
    <w:rsid w:val="4F9E7FF4"/>
    <w:rsid w:val="4FA90414"/>
    <w:rsid w:val="4FB93147"/>
    <w:rsid w:val="4FC305DC"/>
    <w:rsid w:val="4FCD4A8E"/>
    <w:rsid w:val="4FFA9109"/>
    <w:rsid w:val="503462A6"/>
    <w:rsid w:val="507871BF"/>
    <w:rsid w:val="50BE7671"/>
    <w:rsid w:val="50C03C7C"/>
    <w:rsid w:val="50D937EF"/>
    <w:rsid w:val="51142088"/>
    <w:rsid w:val="511E6A63"/>
    <w:rsid w:val="51313675"/>
    <w:rsid w:val="51501312"/>
    <w:rsid w:val="516079D1"/>
    <w:rsid w:val="516B7B44"/>
    <w:rsid w:val="51721D7C"/>
    <w:rsid w:val="52131FB2"/>
    <w:rsid w:val="523D285F"/>
    <w:rsid w:val="524644C3"/>
    <w:rsid w:val="527A5F1B"/>
    <w:rsid w:val="528172AA"/>
    <w:rsid w:val="52927709"/>
    <w:rsid w:val="52990A97"/>
    <w:rsid w:val="529F7C3F"/>
    <w:rsid w:val="52A1781D"/>
    <w:rsid w:val="52A766E1"/>
    <w:rsid w:val="52CC7D2D"/>
    <w:rsid w:val="52E21FCD"/>
    <w:rsid w:val="535C6BD8"/>
    <w:rsid w:val="53852DC9"/>
    <w:rsid w:val="53876B42"/>
    <w:rsid w:val="53DF2D8E"/>
    <w:rsid w:val="53F9269E"/>
    <w:rsid w:val="53FF2B7C"/>
    <w:rsid w:val="54065CB8"/>
    <w:rsid w:val="544F44F7"/>
    <w:rsid w:val="5461435C"/>
    <w:rsid w:val="547B6AD0"/>
    <w:rsid w:val="549C3AA8"/>
    <w:rsid w:val="54BD29C9"/>
    <w:rsid w:val="54E57FC4"/>
    <w:rsid w:val="54F77CF7"/>
    <w:rsid w:val="551C1A85"/>
    <w:rsid w:val="55257521"/>
    <w:rsid w:val="555313D1"/>
    <w:rsid w:val="55684751"/>
    <w:rsid w:val="557B1097"/>
    <w:rsid w:val="5587107B"/>
    <w:rsid w:val="55AB5C7A"/>
    <w:rsid w:val="55B27534"/>
    <w:rsid w:val="55C7591B"/>
    <w:rsid w:val="55CE0A58"/>
    <w:rsid w:val="55CE3334"/>
    <w:rsid w:val="55D4285A"/>
    <w:rsid w:val="5605091D"/>
    <w:rsid w:val="5616066A"/>
    <w:rsid w:val="562211C9"/>
    <w:rsid w:val="564D6793"/>
    <w:rsid w:val="56A1616C"/>
    <w:rsid w:val="56D45B12"/>
    <w:rsid w:val="56EE60A5"/>
    <w:rsid w:val="56FC793A"/>
    <w:rsid w:val="57AF4E6E"/>
    <w:rsid w:val="57FA1966"/>
    <w:rsid w:val="583D0E0B"/>
    <w:rsid w:val="585D494D"/>
    <w:rsid w:val="5862192B"/>
    <w:rsid w:val="586B6A32"/>
    <w:rsid w:val="58B935B5"/>
    <w:rsid w:val="58CB5722"/>
    <w:rsid w:val="58D85297"/>
    <w:rsid w:val="58EC5B9C"/>
    <w:rsid w:val="590757B1"/>
    <w:rsid w:val="59581206"/>
    <w:rsid w:val="59BD32BD"/>
    <w:rsid w:val="59DC36CB"/>
    <w:rsid w:val="59E5440B"/>
    <w:rsid w:val="5A6C2FE9"/>
    <w:rsid w:val="5A8838A1"/>
    <w:rsid w:val="5AA82EA1"/>
    <w:rsid w:val="5AC91B3E"/>
    <w:rsid w:val="5ADF7B69"/>
    <w:rsid w:val="5AE34010"/>
    <w:rsid w:val="5AE57128"/>
    <w:rsid w:val="5AFAF733"/>
    <w:rsid w:val="5B2F6A01"/>
    <w:rsid w:val="5B865931"/>
    <w:rsid w:val="5BAF4A67"/>
    <w:rsid w:val="5BDF731D"/>
    <w:rsid w:val="5C421DD1"/>
    <w:rsid w:val="5C4E58CF"/>
    <w:rsid w:val="5C78796F"/>
    <w:rsid w:val="5CFD2954"/>
    <w:rsid w:val="5D351CF6"/>
    <w:rsid w:val="5D4F6922"/>
    <w:rsid w:val="5D6109F5"/>
    <w:rsid w:val="5D681792"/>
    <w:rsid w:val="5D9C027E"/>
    <w:rsid w:val="5DB03139"/>
    <w:rsid w:val="5DBFE2E4"/>
    <w:rsid w:val="5DDF7A87"/>
    <w:rsid w:val="5DE278B7"/>
    <w:rsid w:val="5E40270F"/>
    <w:rsid w:val="5E772EC1"/>
    <w:rsid w:val="5E82108D"/>
    <w:rsid w:val="5E824AD5"/>
    <w:rsid w:val="5E8E6FD6"/>
    <w:rsid w:val="5E9C71C5"/>
    <w:rsid w:val="5ED846F5"/>
    <w:rsid w:val="5F034C6F"/>
    <w:rsid w:val="5F622211"/>
    <w:rsid w:val="5F8F28CB"/>
    <w:rsid w:val="5FB44B2E"/>
    <w:rsid w:val="5FFD49A1"/>
    <w:rsid w:val="601E16EE"/>
    <w:rsid w:val="60512F91"/>
    <w:rsid w:val="60597BCF"/>
    <w:rsid w:val="60667D3B"/>
    <w:rsid w:val="60864B16"/>
    <w:rsid w:val="608E2818"/>
    <w:rsid w:val="60C73D08"/>
    <w:rsid w:val="60D47FE9"/>
    <w:rsid w:val="613F7EC8"/>
    <w:rsid w:val="61652C49"/>
    <w:rsid w:val="617C580C"/>
    <w:rsid w:val="6192071F"/>
    <w:rsid w:val="61CB6793"/>
    <w:rsid w:val="61D45648"/>
    <w:rsid w:val="626F614B"/>
    <w:rsid w:val="62BC011C"/>
    <w:rsid w:val="62DB2A06"/>
    <w:rsid w:val="62DD0CC0"/>
    <w:rsid w:val="631D6B7A"/>
    <w:rsid w:val="632223E3"/>
    <w:rsid w:val="63527CBF"/>
    <w:rsid w:val="63604CB9"/>
    <w:rsid w:val="63B868A3"/>
    <w:rsid w:val="63D7141F"/>
    <w:rsid w:val="64040C59"/>
    <w:rsid w:val="64306D81"/>
    <w:rsid w:val="64524F4A"/>
    <w:rsid w:val="64564049"/>
    <w:rsid w:val="6479B950"/>
    <w:rsid w:val="6481138B"/>
    <w:rsid w:val="65165F77"/>
    <w:rsid w:val="65723276"/>
    <w:rsid w:val="659438DB"/>
    <w:rsid w:val="65CF7132"/>
    <w:rsid w:val="65D9039F"/>
    <w:rsid w:val="668FFD52"/>
    <w:rsid w:val="66AB26EF"/>
    <w:rsid w:val="66BC351E"/>
    <w:rsid w:val="67206C39"/>
    <w:rsid w:val="678533FB"/>
    <w:rsid w:val="67A51172"/>
    <w:rsid w:val="67CE1AEA"/>
    <w:rsid w:val="6819678B"/>
    <w:rsid w:val="685E3EBD"/>
    <w:rsid w:val="68660FC4"/>
    <w:rsid w:val="68C36416"/>
    <w:rsid w:val="68EB3277"/>
    <w:rsid w:val="68EF0FB9"/>
    <w:rsid w:val="6907627A"/>
    <w:rsid w:val="690E575F"/>
    <w:rsid w:val="69180D06"/>
    <w:rsid w:val="691C1682"/>
    <w:rsid w:val="692A7707"/>
    <w:rsid w:val="692C0A4C"/>
    <w:rsid w:val="6933534A"/>
    <w:rsid w:val="69336C29"/>
    <w:rsid w:val="69375D48"/>
    <w:rsid w:val="69692B1A"/>
    <w:rsid w:val="696A0640"/>
    <w:rsid w:val="69766FE4"/>
    <w:rsid w:val="698649C0"/>
    <w:rsid w:val="69D77881"/>
    <w:rsid w:val="6A372C18"/>
    <w:rsid w:val="6A835E5D"/>
    <w:rsid w:val="6AB04778"/>
    <w:rsid w:val="6AD2649C"/>
    <w:rsid w:val="6B5C045C"/>
    <w:rsid w:val="6B6F3E15"/>
    <w:rsid w:val="6B7036D0"/>
    <w:rsid w:val="6B722607"/>
    <w:rsid w:val="6B841E8D"/>
    <w:rsid w:val="6BBF2EC5"/>
    <w:rsid w:val="6BFB5EC7"/>
    <w:rsid w:val="6C066D46"/>
    <w:rsid w:val="6C07661A"/>
    <w:rsid w:val="6C3A69EF"/>
    <w:rsid w:val="6C714041"/>
    <w:rsid w:val="6C89702F"/>
    <w:rsid w:val="6C9A748E"/>
    <w:rsid w:val="6CB31D0E"/>
    <w:rsid w:val="6D3A6E8E"/>
    <w:rsid w:val="6D8F4B19"/>
    <w:rsid w:val="6DAA3701"/>
    <w:rsid w:val="6DB17E51"/>
    <w:rsid w:val="6DBA3B2E"/>
    <w:rsid w:val="6DFD14DA"/>
    <w:rsid w:val="6E0E3C8F"/>
    <w:rsid w:val="6E2A0D69"/>
    <w:rsid w:val="6E4C2A0A"/>
    <w:rsid w:val="6E4E0530"/>
    <w:rsid w:val="6EA97E5C"/>
    <w:rsid w:val="6ED651FE"/>
    <w:rsid w:val="6F467505"/>
    <w:rsid w:val="6F5150BD"/>
    <w:rsid w:val="702F68EB"/>
    <w:rsid w:val="70453800"/>
    <w:rsid w:val="70AD748E"/>
    <w:rsid w:val="70BB1F0C"/>
    <w:rsid w:val="70DB235B"/>
    <w:rsid w:val="71092E34"/>
    <w:rsid w:val="711E68DF"/>
    <w:rsid w:val="714874B8"/>
    <w:rsid w:val="71897AFB"/>
    <w:rsid w:val="728A3B01"/>
    <w:rsid w:val="72AE2727"/>
    <w:rsid w:val="72C72CA2"/>
    <w:rsid w:val="7309650C"/>
    <w:rsid w:val="733A7699"/>
    <w:rsid w:val="7355410F"/>
    <w:rsid w:val="737F118B"/>
    <w:rsid w:val="73BC418E"/>
    <w:rsid w:val="73CA207F"/>
    <w:rsid w:val="73F70C5C"/>
    <w:rsid w:val="740D083A"/>
    <w:rsid w:val="741E10D9"/>
    <w:rsid w:val="744877CF"/>
    <w:rsid w:val="745213E3"/>
    <w:rsid w:val="748A31AB"/>
    <w:rsid w:val="74A72748"/>
    <w:rsid w:val="74AB2123"/>
    <w:rsid w:val="74CE23CA"/>
    <w:rsid w:val="74DC4AE7"/>
    <w:rsid w:val="753955FE"/>
    <w:rsid w:val="756923C9"/>
    <w:rsid w:val="75705230"/>
    <w:rsid w:val="759E1D9D"/>
    <w:rsid w:val="759E7FEF"/>
    <w:rsid w:val="75DE488F"/>
    <w:rsid w:val="75FE7BC6"/>
    <w:rsid w:val="76171B4F"/>
    <w:rsid w:val="767F0AB9"/>
    <w:rsid w:val="76FF717E"/>
    <w:rsid w:val="77035C3C"/>
    <w:rsid w:val="77313CD6"/>
    <w:rsid w:val="77334767"/>
    <w:rsid w:val="77790089"/>
    <w:rsid w:val="77FA1D1D"/>
    <w:rsid w:val="781F1BE1"/>
    <w:rsid w:val="783E3DBF"/>
    <w:rsid w:val="78873B38"/>
    <w:rsid w:val="78AB4366"/>
    <w:rsid w:val="78C23FF4"/>
    <w:rsid w:val="793A221E"/>
    <w:rsid w:val="79F47917"/>
    <w:rsid w:val="79F521A7"/>
    <w:rsid w:val="79F71A7C"/>
    <w:rsid w:val="79FF4DD4"/>
    <w:rsid w:val="7A6705D1"/>
    <w:rsid w:val="7AAC0AB8"/>
    <w:rsid w:val="7AAFEAD9"/>
    <w:rsid w:val="7ABB208A"/>
    <w:rsid w:val="7AD65B35"/>
    <w:rsid w:val="7AEC35AA"/>
    <w:rsid w:val="7AEF8F0A"/>
    <w:rsid w:val="7B0B6204"/>
    <w:rsid w:val="7B164E20"/>
    <w:rsid w:val="7B252618"/>
    <w:rsid w:val="7B5B24DE"/>
    <w:rsid w:val="7B5F5B2A"/>
    <w:rsid w:val="7B7729FD"/>
    <w:rsid w:val="7BA6A1BC"/>
    <w:rsid w:val="7BA94FF8"/>
    <w:rsid w:val="7BDA78A7"/>
    <w:rsid w:val="7BDD5915"/>
    <w:rsid w:val="7C077AC2"/>
    <w:rsid w:val="7C496298"/>
    <w:rsid w:val="7C8141C6"/>
    <w:rsid w:val="7CC14D89"/>
    <w:rsid w:val="7D627B54"/>
    <w:rsid w:val="7D6903CE"/>
    <w:rsid w:val="7D7A4E9D"/>
    <w:rsid w:val="7DBD489D"/>
    <w:rsid w:val="7DE60D6B"/>
    <w:rsid w:val="7DFA0FA7"/>
    <w:rsid w:val="7E097FCF"/>
    <w:rsid w:val="7E1A2770"/>
    <w:rsid w:val="7E1D19FF"/>
    <w:rsid w:val="7ECF5C04"/>
    <w:rsid w:val="7ED76320"/>
    <w:rsid w:val="7EDBB46D"/>
    <w:rsid w:val="7EEF7932"/>
    <w:rsid w:val="7EF96031"/>
    <w:rsid w:val="7F17C953"/>
    <w:rsid w:val="7F47478E"/>
    <w:rsid w:val="7F547970"/>
    <w:rsid w:val="7F7F3ECC"/>
    <w:rsid w:val="7F8A5218"/>
    <w:rsid w:val="7FC1463E"/>
    <w:rsid w:val="7FE42AA2"/>
    <w:rsid w:val="7FF1D104"/>
    <w:rsid w:val="7FFF02C2"/>
    <w:rsid w:val="7FFF7290"/>
    <w:rsid w:val="89FFE25E"/>
    <w:rsid w:val="8E77A75C"/>
    <w:rsid w:val="8FAEDAF7"/>
    <w:rsid w:val="9C6695D8"/>
    <w:rsid w:val="9F1DF5B6"/>
    <w:rsid w:val="9FC7D7A0"/>
    <w:rsid w:val="9FEBD47A"/>
    <w:rsid w:val="9FFB1BB0"/>
    <w:rsid w:val="B3FA7BD4"/>
    <w:rsid w:val="BBDC010C"/>
    <w:rsid w:val="BD6FC866"/>
    <w:rsid w:val="BF5BE882"/>
    <w:rsid w:val="C5EEC2B8"/>
    <w:rsid w:val="CD769B72"/>
    <w:rsid w:val="CFDFDD44"/>
    <w:rsid w:val="CFF75846"/>
    <w:rsid w:val="D02E98C1"/>
    <w:rsid w:val="D39F11C1"/>
    <w:rsid w:val="D75B3E5F"/>
    <w:rsid w:val="D9FBD706"/>
    <w:rsid w:val="DDBA2C75"/>
    <w:rsid w:val="DDD7B5A2"/>
    <w:rsid w:val="DEF0A3FE"/>
    <w:rsid w:val="DF79B985"/>
    <w:rsid w:val="DFE907B8"/>
    <w:rsid w:val="E6B5B3F0"/>
    <w:rsid w:val="E6DD95A2"/>
    <w:rsid w:val="EBD94E16"/>
    <w:rsid w:val="EBFB2486"/>
    <w:rsid w:val="EBFF9917"/>
    <w:rsid w:val="EDBF2C24"/>
    <w:rsid w:val="EF5DC7F0"/>
    <w:rsid w:val="F7BF9ABD"/>
    <w:rsid w:val="F99E4C4B"/>
    <w:rsid w:val="FC74C654"/>
    <w:rsid w:val="FC9444D8"/>
    <w:rsid w:val="FD5F2E8F"/>
    <w:rsid w:val="FDEFA1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9" w:semiHidden="0" w:name="heading 4"/>
    <w:lsdException w:qFormat="1" w:unhideWhenUsed="0" w:uiPriority="0"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bCs/>
      <w:kern w:val="2"/>
      <w:sz w:val="28"/>
      <w:szCs w:val="24"/>
      <w:lang w:val="en-US" w:eastAsia="zh-CN" w:bidi="ar-SA"/>
    </w:rPr>
  </w:style>
  <w:style w:type="paragraph" w:styleId="3">
    <w:name w:val="heading 1"/>
    <w:basedOn w:val="1"/>
    <w:next w:val="1"/>
    <w:link w:val="30"/>
    <w:qFormat/>
    <w:uiPriority w:val="0"/>
    <w:pPr>
      <w:keepNext/>
      <w:keepLines/>
      <w:spacing w:line="360" w:lineRule="auto"/>
      <w:jc w:val="center"/>
      <w:outlineLvl w:val="0"/>
    </w:pPr>
    <w:rPr>
      <w:b/>
      <w:kern w:val="44"/>
      <w:sz w:val="36"/>
      <w:szCs w:val="44"/>
    </w:rPr>
  </w:style>
  <w:style w:type="paragraph" w:styleId="2">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3"/>
    <w:basedOn w:val="1"/>
    <w:next w:val="1"/>
    <w:qFormat/>
    <w:uiPriority w:val="1"/>
    <w:pPr>
      <w:outlineLvl w:val="2"/>
    </w:pPr>
    <w:rPr>
      <w:rFonts w:ascii="仿宋" w:hAnsi="仿宋" w:eastAsia="仿宋"/>
      <w:b/>
      <w:sz w:val="32"/>
      <w:szCs w:val="32"/>
    </w:rPr>
  </w:style>
  <w:style w:type="paragraph" w:styleId="5">
    <w:name w:val="heading 4"/>
    <w:basedOn w:val="1"/>
    <w:next w:val="6"/>
    <w:unhideWhenUsed/>
    <w:qFormat/>
    <w:uiPriority w:val="9"/>
    <w:pPr>
      <w:keepNext/>
      <w:keepLines/>
      <w:numPr>
        <w:ilvl w:val="3"/>
        <w:numId w:val="1"/>
      </w:numPr>
      <w:spacing w:line="377" w:lineRule="auto"/>
      <w:outlineLvl w:val="3"/>
    </w:pPr>
    <w:rPr>
      <w:rFonts w:asciiTheme="majorHAnsi" w:hAnsiTheme="majorHAnsi" w:cstheme="majorBidi"/>
      <w:b/>
      <w:szCs w:val="28"/>
    </w:rPr>
  </w:style>
  <w:style w:type="paragraph" w:styleId="7">
    <w:name w:val="heading 5"/>
    <w:basedOn w:val="1"/>
    <w:next w:val="1"/>
    <w:qFormat/>
    <w:uiPriority w:val="0"/>
    <w:pPr>
      <w:keepNext/>
      <w:keepLines/>
      <w:numPr>
        <w:ilvl w:val="2"/>
        <w:numId w:val="2"/>
      </w:numPr>
      <w:tabs>
        <w:tab w:val="left" w:pos="1260"/>
      </w:tabs>
      <w:spacing w:before="156" w:after="156" w:line="377" w:lineRule="auto"/>
      <w:outlineLvl w:val="4"/>
    </w:pPr>
    <w:rPr>
      <w:rFonts w:hAnsi="宋体"/>
      <w:b/>
      <w:color w:val="000000"/>
      <w:szCs w:val="21"/>
      <w:lang w:val="zh-CN"/>
    </w:rPr>
  </w:style>
  <w:style w:type="paragraph" w:styleId="8">
    <w:name w:val="heading 6"/>
    <w:basedOn w:val="1"/>
    <w:next w:val="1"/>
    <w:unhideWhenUsed/>
    <w:qFormat/>
    <w:uiPriority w:val="9"/>
    <w:pPr>
      <w:keepNext/>
      <w:keepLines/>
      <w:numPr>
        <w:ilvl w:val="3"/>
        <w:numId w:val="2"/>
      </w:numPr>
      <w:spacing w:before="240" w:after="64" w:line="320" w:lineRule="auto"/>
      <w:outlineLvl w:val="5"/>
    </w:pPr>
    <w:rPr>
      <w:rFonts w:ascii="等线 Light" w:hAnsi="等线 Light" w:eastAsia="等线 Light"/>
      <w:b/>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6">
    <w:name w:val="方案正文"/>
    <w:basedOn w:val="1"/>
    <w:qFormat/>
    <w:uiPriority w:val="0"/>
    <w:pPr>
      <w:spacing w:line="360" w:lineRule="auto"/>
      <w:ind w:firstLine="200" w:firstLineChars="200"/>
    </w:pPr>
    <w:rPr>
      <w:sz w:val="24"/>
    </w:rPr>
  </w:style>
  <w:style w:type="paragraph" w:styleId="9">
    <w:name w:val="Normal Indent"/>
    <w:basedOn w:val="1"/>
    <w:qFormat/>
    <w:uiPriority w:val="0"/>
    <w:pPr>
      <w:autoSpaceDE w:val="0"/>
      <w:autoSpaceDN w:val="0"/>
      <w:ind w:left="181" w:firstLine="420"/>
    </w:pPr>
    <w:rPr>
      <w:szCs w:val="20"/>
    </w:rPr>
  </w:style>
  <w:style w:type="paragraph" w:styleId="10">
    <w:name w:val="caption"/>
    <w:basedOn w:val="1"/>
    <w:next w:val="1"/>
    <w:qFormat/>
    <w:uiPriority w:val="0"/>
    <w:pPr>
      <w:spacing w:before="152" w:after="160"/>
    </w:pPr>
    <w:rPr>
      <w:rFonts w:ascii="Arial" w:hAnsi="Arial" w:eastAsia="黑体" w:cs="Arial"/>
      <w:bCs w:val="0"/>
      <w:sz w:val="20"/>
      <w:szCs w:val="20"/>
    </w:rPr>
  </w:style>
  <w:style w:type="paragraph" w:styleId="11">
    <w:name w:val="annotation text"/>
    <w:basedOn w:val="1"/>
    <w:qFormat/>
    <w:uiPriority w:val="0"/>
    <w:pPr>
      <w:jc w:val="left"/>
    </w:pPr>
  </w:style>
  <w:style w:type="paragraph" w:styleId="12">
    <w:name w:val="Salutation"/>
    <w:basedOn w:val="1"/>
    <w:next w:val="1"/>
    <w:qFormat/>
    <w:uiPriority w:val="0"/>
    <w:rPr>
      <w:rFonts w:ascii="Calibri" w:hAnsi="Calibri"/>
      <w:szCs w:val="20"/>
    </w:rPr>
  </w:style>
  <w:style w:type="paragraph" w:styleId="13">
    <w:name w:val="Body Text"/>
    <w:basedOn w:val="1"/>
    <w:qFormat/>
    <w:uiPriority w:val="0"/>
    <w:rPr>
      <w:rFonts w:hAnsi="宋体"/>
      <w:sz w:val="32"/>
      <w:szCs w:val="20"/>
    </w:rPr>
  </w:style>
  <w:style w:type="paragraph" w:styleId="14">
    <w:name w:val="Body Text Indent"/>
    <w:basedOn w:val="1"/>
    <w:next w:val="15"/>
    <w:qFormat/>
    <w:uiPriority w:val="0"/>
    <w:pPr>
      <w:spacing w:line="480" w:lineRule="exact"/>
      <w:ind w:firstLine="538" w:firstLineChars="192"/>
      <w:jc w:val="left"/>
    </w:pPr>
    <w:rPr>
      <w:bCs w:val="0"/>
    </w:rPr>
  </w:style>
  <w:style w:type="paragraph" w:styleId="15">
    <w:name w:val="envelope return"/>
    <w:basedOn w:val="1"/>
    <w:qFormat/>
    <w:uiPriority w:val="0"/>
    <w:pPr>
      <w:adjustRightInd w:val="0"/>
      <w:snapToGrid w:val="0"/>
      <w:spacing w:after="200"/>
    </w:pPr>
    <w:rPr>
      <w:rFonts w:ascii="Arial" w:hAnsi="Arial" w:eastAsia="微软雅黑"/>
      <w:kern w:val="0"/>
      <w:sz w:val="22"/>
    </w:rPr>
  </w:style>
  <w:style w:type="paragraph" w:styleId="16">
    <w:name w:val="Body Text Indent 2"/>
    <w:basedOn w:val="1"/>
    <w:qFormat/>
    <w:uiPriority w:val="0"/>
    <w:pPr>
      <w:spacing w:after="120" w:line="480" w:lineRule="auto"/>
      <w:ind w:left="420" w:leftChars="200"/>
    </w:pPr>
    <w:rPr>
      <w:kern w:val="0"/>
      <w:sz w:val="20"/>
    </w:rPr>
  </w:style>
  <w:style w:type="paragraph" w:styleId="17">
    <w:name w:val="footer"/>
    <w:basedOn w:val="1"/>
    <w:unhideWhenUsed/>
    <w:qFormat/>
    <w:uiPriority w:val="99"/>
    <w:pPr>
      <w:tabs>
        <w:tab w:val="center" w:pos="4153"/>
        <w:tab w:val="right" w:pos="8306"/>
      </w:tabs>
      <w:snapToGrid w:val="0"/>
      <w:jc w:val="left"/>
    </w:pPr>
    <w:rPr>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2"/>
    <w:basedOn w:val="1"/>
    <w:next w:val="1"/>
    <w:qFormat/>
    <w:uiPriority w:val="0"/>
    <w:pPr>
      <w:ind w:left="420" w:leftChars="200"/>
    </w:pPr>
  </w:style>
  <w:style w:type="paragraph" w:styleId="21">
    <w:name w:val="Body Text 2"/>
    <w:basedOn w:val="1"/>
    <w:qFormat/>
    <w:uiPriority w:val="0"/>
    <w:pPr>
      <w:spacing w:after="120" w:line="480" w:lineRule="auto"/>
    </w:pPr>
  </w:style>
  <w:style w:type="paragraph" w:styleId="22">
    <w:name w:val="Normal (Web)"/>
    <w:basedOn w:val="1"/>
    <w:qFormat/>
    <w:uiPriority w:val="99"/>
    <w:pPr>
      <w:spacing w:before="100" w:beforeAutospacing="1" w:after="100" w:afterAutospacing="1"/>
    </w:pPr>
    <w:rPr>
      <w:kern w:val="0"/>
    </w:rPr>
  </w:style>
  <w:style w:type="paragraph" w:styleId="23">
    <w:name w:val="Title"/>
    <w:basedOn w:val="1"/>
    <w:next w:val="1"/>
    <w:qFormat/>
    <w:uiPriority w:val="99"/>
    <w:pPr>
      <w:spacing w:before="240" w:after="60"/>
      <w:jc w:val="left"/>
      <w:outlineLvl w:val="0"/>
    </w:pPr>
    <w:rPr>
      <w:rFonts w:ascii="Cambria" w:hAnsi="Cambria"/>
      <w:b/>
      <w:szCs w:val="32"/>
    </w:rPr>
  </w:style>
  <w:style w:type="paragraph" w:styleId="24">
    <w:name w:val="Body Text First Indent 2"/>
    <w:basedOn w:val="14"/>
    <w:next w:val="13"/>
    <w:unhideWhenUsed/>
    <w:qFormat/>
    <w:uiPriority w:val="99"/>
    <w:pPr>
      <w:ind w:firstLine="420" w:firstLineChars="200"/>
    </w:pPr>
    <w:rPr>
      <w:rFonts w:ascii="Arial" w:hAnsi="Arial"/>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annotation reference"/>
    <w:qFormat/>
    <w:uiPriority w:val="0"/>
    <w:rPr>
      <w:sz w:val="21"/>
      <w:szCs w:val="21"/>
    </w:rPr>
  </w:style>
  <w:style w:type="character" w:customStyle="1" w:styleId="30">
    <w:name w:val="标题 1 字符"/>
    <w:link w:val="3"/>
    <w:qFormat/>
    <w:uiPriority w:val="0"/>
    <w:rPr>
      <w:b/>
      <w:kern w:val="44"/>
      <w:sz w:val="36"/>
      <w:szCs w:val="44"/>
    </w:rPr>
  </w:style>
  <w:style w:type="paragraph" w:styleId="31">
    <w:name w:val="List Paragraph"/>
    <w:basedOn w:val="1"/>
    <w:qFormat/>
    <w:uiPriority w:val="99"/>
    <w:pPr>
      <w:ind w:firstLine="420" w:firstLineChars="200"/>
    </w:pPr>
    <w:rPr>
      <w:rFonts w:ascii="Times New Roman"/>
      <w:bCs w:val="0"/>
      <w:sz w:val="21"/>
      <w:szCs w:val="20"/>
    </w:rPr>
  </w:style>
  <w:style w:type="character" w:customStyle="1" w:styleId="32">
    <w:name w:val="样式 仿宋"/>
    <w:qFormat/>
    <w:uiPriority w:val="0"/>
    <w:rPr>
      <w:rFonts w:ascii="仿宋" w:hAnsi="仿宋" w:eastAsia="仿宋"/>
      <w:kern w:val="1"/>
    </w:rPr>
  </w:style>
  <w:style w:type="table" w:customStyle="1" w:styleId="33">
    <w:name w:val="网格型1"/>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D正文"/>
    <w:basedOn w:val="24"/>
    <w:qFormat/>
    <w:uiPriority w:val="0"/>
    <w:pPr>
      <w:spacing w:before="100" w:beforeAutospacing="1" w:after="100" w:afterAutospacing="1"/>
    </w:pPr>
  </w:style>
  <w:style w:type="paragraph" w:customStyle="1" w:styleId="35">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36">
    <w:name w:val="列表段落1"/>
    <w:basedOn w:val="1"/>
    <w:qFormat/>
    <w:uiPriority w:val="34"/>
    <w:pPr>
      <w:adjustRightInd w:val="0"/>
      <w:snapToGrid w:val="0"/>
    </w:pPr>
    <w:rPr>
      <w:rFonts w:hAnsi="宋体"/>
    </w:rPr>
  </w:style>
  <w:style w:type="paragraph" w:customStyle="1" w:styleId="37">
    <w:name w:val="列出段落1"/>
    <w:basedOn w:val="1"/>
    <w:qFormat/>
    <w:uiPriority w:val="99"/>
    <w:pPr>
      <w:ind w:firstLine="420" w:firstLineChars="200"/>
    </w:pPr>
  </w:style>
  <w:style w:type="paragraph" w:customStyle="1" w:styleId="38">
    <w:name w:val="石墨文档正文"/>
    <w:qFormat/>
    <w:uiPriority w:val="0"/>
    <w:rPr>
      <w:rFonts w:ascii="微软雅黑" w:hAnsi="微软雅黑" w:eastAsia="微软雅黑" w:cs="微软雅黑"/>
      <w:sz w:val="24"/>
      <w:szCs w:val="24"/>
      <w:lang w:val="en-US" w:eastAsia="zh-CN" w:bidi="ar-SA"/>
    </w:rPr>
  </w:style>
  <w:style w:type="character" w:customStyle="1" w:styleId="39">
    <w:name w:val="font11"/>
    <w:basedOn w:val="27"/>
    <w:qFormat/>
    <w:uiPriority w:val="0"/>
    <w:rPr>
      <w:rFonts w:hint="eastAsia" w:ascii="宋体" w:hAnsi="宋体" w:eastAsia="宋体" w:cs="宋体"/>
      <w:color w:val="000008"/>
      <w:sz w:val="22"/>
      <w:szCs w:val="22"/>
      <w:u w:val="none"/>
    </w:rPr>
  </w:style>
  <w:style w:type="paragraph" w:customStyle="1" w:styleId="40">
    <w:name w:val="List Paragraph_7694705a-c3a6-41bb-8515-e14ae0fd478f"/>
    <w:basedOn w:val="1"/>
    <w:qFormat/>
    <w:uiPriority w:val="99"/>
    <w:pPr>
      <w:ind w:firstLine="420" w:firstLineChars="200"/>
    </w:pPr>
  </w:style>
  <w:style w:type="paragraph" w:customStyle="1" w:styleId="41">
    <w:name w:val="列出段落2"/>
    <w:basedOn w:val="1"/>
    <w:qFormat/>
    <w:uiPriority w:val="99"/>
    <w:pPr>
      <w:ind w:firstLine="420" w:firstLineChars="200"/>
    </w:pPr>
  </w:style>
  <w:style w:type="paragraph" w:customStyle="1" w:styleId="42">
    <w:name w:val="无间隔1"/>
    <w:qFormat/>
    <w:uiPriority w:val="1"/>
    <w:rPr>
      <w:rFonts w:ascii="Georgia" w:hAnsi="Georgia" w:eastAsia="宋体" w:cs="Times New Roman"/>
      <w:sz w:val="22"/>
      <w:szCs w:val="22"/>
      <w:lang w:val="en-US" w:eastAsia="zh-CN" w:bidi="ar-SA"/>
    </w:rPr>
  </w:style>
  <w:style w:type="paragraph" w:customStyle="1" w:styleId="43">
    <w:name w:val="Table Paragraph"/>
    <w:basedOn w:val="1"/>
    <w:qFormat/>
    <w:uiPriority w:val="1"/>
  </w:style>
  <w:style w:type="paragraph" w:customStyle="1" w:styleId="44">
    <w:name w:val="my正文"/>
    <w:basedOn w:val="1"/>
    <w:qFormat/>
    <w:uiPriority w:val="0"/>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11592</Words>
  <Characters>11979</Characters>
  <Lines>177</Lines>
  <Paragraphs>49</Paragraphs>
  <TotalTime>4</TotalTime>
  <ScaleCrop>false</ScaleCrop>
  <LinksUpToDate>false</LinksUpToDate>
  <CharactersWithSpaces>12868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2024-12-12T20:17:00Z</dcterms:created>
  <dc:creator>水岸听涛</dc:creator>
  <cp:lastModifiedBy>15103004526</cp:lastModifiedBy>
  <cp:lastPrinted>2025-07-18T00:03:00Z</cp:lastPrinted>
  <dcterms:modified xsi:type="dcterms:W3CDTF">2025-11-19T08:11:53Z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4C01EB37458F24F126A79A680E091C3D_43</vt:lpwstr>
  </property>
  <property fmtid="{D5CDD505-2E9C-101B-9397-08002B2CF9AE}" pid="4" name="KSOTemplateDocerSaveRecord">
    <vt:lpwstr>eyJoZGlkIjoiYWY3MWJhMWRkZWU5MDA3MzBlOGQyOTZlN2I0NDVkOTUiLCJ1c2VySWQiOiI3NTE2MzkyOTIifQ==</vt:lpwstr>
  </property>
</Properties>
</file>