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499"/>
      <w:bookmarkStart w:id="1" w:name="_Toc415058575"/>
      <w:bookmarkStart w:id="2" w:name="_Toc375561633"/>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5E1C6DE">
      <w:pPr>
        <w:spacing w:line="900" w:lineRule="exact"/>
        <w:ind w:left="0" w:leftChars="0" w:firstLine="0" w:firstLineChars="0"/>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rPr>
        <w:t>2025级学生</w:t>
      </w:r>
      <w:r>
        <w:rPr>
          <w:rFonts w:hint="eastAsia" w:asciiTheme="majorEastAsia" w:hAnsiTheme="majorEastAsia" w:eastAsiaTheme="majorEastAsia" w:cstheme="majorEastAsia"/>
          <w:b/>
          <w:sz w:val="72"/>
          <w:szCs w:val="72"/>
          <w:lang w:val="en-US" w:eastAsia="zh-CN"/>
        </w:rPr>
        <w:t>消防疏散演练培训项目（二次招标）</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1AA3AF6C">
      <w:pPr>
        <w:adjustRightInd w:val="0"/>
        <w:snapToGrid w:val="0"/>
        <w:spacing w:line="520" w:lineRule="exact"/>
        <w:ind w:firstLine="720" w:firstLineChars="200"/>
        <w:jc w:val="center"/>
        <w:rPr>
          <w:rFonts w:hint="eastAsia" w:ascii="仿宋" w:hAnsi="仿宋" w:eastAsia="仿宋" w:cs="仿宋"/>
          <w:sz w:val="32"/>
          <w:szCs w:val="32"/>
        </w:rPr>
      </w:pPr>
      <w:r>
        <w:rPr>
          <w:rFonts w:hint="eastAsia" w:asciiTheme="minorEastAsia" w:hAnsiTheme="minorEastAsia" w:eastAsiaTheme="minorEastAsia" w:cstheme="minorEastAsia"/>
          <w:bCs w:val="0"/>
          <w:sz w:val="36"/>
          <w:szCs w:val="36"/>
        </w:rPr>
        <w:t>项目编号：HNWJY-FW2025032</w:t>
      </w:r>
    </w:p>
    <w:p w14:paraId="69FA17E6">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eastAsia="zh-CN"/>
        </w:rPr>
      </w:pP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5731733"/>
      <w:bookmarkStart w:id="4" w:name="_Toc326783408"/>
      <w:bookmarkStart w:id="5" w:name="_Toc325446794"/>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9</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19</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40089788"/>
      <w:bookmarkStart w:id="8" w:name="_Toc356491305"/>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bookmarkStart w:id="9" w:name="_Toc13587"/>
      <w:r>
        <w:rPr>
          <w:rStyle w:val="23"/>
          <w:rFonts w:hint="eastAsia" w:asciiTheme="minorEastAsia" w:hAnsiTheme="minorEastAsia" w:eastAsiaTheme="minorEastAsia" w:cstheme="minorEastAsia"/>
          <w:sz w:val="32"/>
          <w:szCs w:val="32"/>
        </w:rPr>
        <w:t>目  录</w:t>
      </w:r>
    </w:p>
    <w:bookmarkEnd w:id="6"/>
    <w:bookmarkEnd w:id="9"/>
    <w:p w14:paraId="031B58F8">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_Toc13587 </w:instrText>
      </w:r>
      <w:r>
        <w:rPr>
          <w:rFonts w:hint="eastAsia" w:ascii="宋体" w:hAnsi="宋体" w:eastAsia="宋体" w:cs="宋体"/>
          <w:szCs w:val="32"/>
        </w:rPr>
        <w:fldChar w:fldCharType="separate"/>
      </w:r>
      <w:r>
        <w:rPr>
          <w:rFonts w:hint="eastAsia" w:ascii="宋体" w:hAnsi="宋体" w:eastAsia="宋体" w:cs="宋体"/>
          <w:szCs w:val="32"/>
        </w:rPr>
        <w:t>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_Toc13587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szCs w:val="32"/>
        </w:rPr>
        <w:fldChar w:fldCharType="end"/>
      </w:r>
    </w:p>
    <w:p w14:paraId="2BC8DDEE">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_Toc20392 </w:instrText>
      </w:r>
      <w:r>
        <w:rPr>
          <w:rFonts w:hint="eastAsia" w:ascii="宋体" w:hAnsi="宋体" w:eastAsia="宋体" w:cs="宋体"/>
          <w:szCs w:val="32"/>
        </w:rPr>
        <w:fldChar w:fldCharType="separate"/>
      </w:r>
      <w:r>
        <w:rPr>
          <w:rFonts w:hint="eastAsia" w:ascii="宋体" w:hAnsi="宋体" w:eastAsia="宋体" w:cs="宋体"/>
        </w:rPr>
        <w:t>第一部分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_Toc20392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szCs w:val="32"/>
        </w:rPr>
        <w:fldChar w:fldCharType="end"/>
      </w:r>
    </w:p>
    <w:p w14:paraId="6BE56FF2">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_Toc18001 </w:instrText>
      </w:r>
      <w:r>
        <w:rPr>
          <w:rFonts w:hint="eastAsia" w:ascii="宋体" w:hAnsi="宋体" w:eastAsia="宋体" w:cs="宋体"/>
          <w:szCs w:val="32"/>
        </w:rPr>
        <w:fldChar w:fldCharType="separate"/>
      </w:r>
      <w:r>
        <w:rPr>
          <w:rFonts w:hint="eastAsia" w:ascii="宋体" w:hAnsi="宋体" w:eastAsia="宋体" w:cs="宋体"/>
        </w:rPr>
        <w:t>第二部分  开标、评标、定标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_Toc18001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szCs w:val="32"/>
        </w:rPr>
        <w:fldChar w:fldCharType="end"/>
      </w:r>
    </w:p>
    <w:p w14:paraId="44F79DA1">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_Toc28108 </w:instrText>
      </w:r>
      <w:r>
        <w:rPr>
          <w:rFonts w:hint="eastAsia" w:ascii="宋体" w:hAnsi="宋体" w:eastAsia="宋体" w:cs="宋体"/>
          <w:szCs w:val="32"/>
        </w:rPr>
        <w:fldChar w:fldCharType="separate"/>
      </w:r>
      <w:r>
        <w:rPr>
          <w:rFonts w:hint="eastAsia" w:ascii="宋体" w:hAnsi="宋体" w:eastAsia="宋体" w:cs="宋体"/>
        </w:rPr>
        <w:t>第三部分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_Toc28108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szCs w:val="32"/>
        </w:rPr>
        <w:fldChar w:fldCharType="end"/>
      </w:r>
    </w:p>
    <w:p w14:paraId="2B682A3E">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_Toc30946 </w:instrText>
      </w:r>
      <w:r>
        <w:rPr>
          <w:rFonts w:hint="eastAsia" w:ascii="宋体" w:hAnsi="宋体" w:eastAsia="宋体" w:cs="宋体"/>
          <w:szCs w:val="32"/>
        </w:rPr>
        <w:fldChar w:fldCharType="separate"/>
      </w:r>
      <w:r>
        <w:rPr>
          <w:rFonts w:hint="eastAsia" w:ascii="宋体" w:hAnsi="宋体" w:eastAsia="宋体" w:cs="宋体"/>
        </w:rPr>
        <w:t>第四部分 项目需求及说明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_Toc30946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szCs w:val="32"/>
        </w:rPr>
        <w:fldChar w:fldCharType="end"/>
      </w:r>
    </w:p>
    <w:p w14:paraId="14016347">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_Toc10043 </w:instrText>
      </w:r>
      <w:r>
        <w:rPr>
          <w:rFonts w:hint="eastAsia" w:ascii="宋体" w:hAnsi="宋体" w:eastAsia="宋体" w:cs="宋体"/>
          <w:szCs w:val="32"/>
        </w:rPr>
        <w:fldChar w:fldCharType="separate"/>
      </w:r>
      <w:r>
        <w:rPr>
          <w:rFonts w:hint="eastAsia" w:ascii="宋体" w:hAnsi="宋体" w:eastAsia="宋体" w:cs="宋体"/>
        </w:rPr>
        <w:t>第五部分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_Toc10043 \h </w:instrText>
      </w:r>
      <w:r>
        <w:rPr>
          <w:rFonts w:hint="eastAsia" w:ascii="宋体" w:hAnsi="宋体" w:eastAsia="宋体" w:cs="宋体"/>
        </w:rPr>
        <w:fldChar w:fldCharType="separate"/>
      </w:r>
      <w:r>
        <w:rPr>
          <w:rFonts w:hint="eastAsia" w:ascii="宋体" w:hAnsi="宋体" w:eastAsia="宋体" w:cs="宋体"/>
        </w:rPr>
        <w:t>- 17 -</w:t>
      </w:r>
      <w:r>
        <w:rPr>
          <w:rFonts w:hint="eastAsia" w:ascii="宋体" w:hAnsi="宋体" w:eastAsia="宋体" w:cs="宋体"/>
        </w:rPr>
        <w:fldChar w:fldCharType="end"/>
      </w:r>
      <w:r>
        <w:rPr>
          <w:rFonts w:hint="eastAsia" w:ascii="宋体" w:hAnsi="宋体" w:eastAsia="宋体" w:cs="宋体"/>
          <w:szCs w:val="32"/>
        </w:rPr>
        <w:fldChar w:fldCharType="end"/>
      </w:r>
    </w:p>
    <w:p w14:paraId="4375E9BD">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_Toc28881 </w:instrText>
      </w:r>
      <w:r>
        <w:rPr>
          <w:rFonts w:hint="eastAsia" w:ascii="宋体" w:hAnsi="宋体" w:eastAsia="宋体" w:cs="宋体"/>
          <w:szCs w:val="32"/>
        </w:rPr>
        <w:fldChar w:fldCharType="separate"/>
      </w:r>
      <w:r>
        <w:rPr>
          <w:rFonts w:hint="eastAsia" w:ascii="宋体" w:hAnsi="宋体" w:eastAsia="宋体" w:cs="宋体"/>
        </w:rPr>
        <w:t>一、商务部分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_Toc28881 \h </w:instrText>
      </w:r>
      <w:r>
        <w:rPr>
          <w:rFonts w:hint="eastAsia" w:ascii="宋体" w:hAnsi="宋体" w:eastAsia="宋体" w:cs="宋体"/>
        </w:rPr>
        <w:fldChar w:fldCharType="separate"/>
      </w:r>
      <w:r>
        <w:rPr>
          <w:rFonts w:hint="eastAsia" w:ascii="宋体" w:hAnsi="宋体" w:eastAsia="宋体" w:cs="宋体"/>
        </w:rPr>
        <w:t>- 20 -</w:t>
      </w:r>
      <w:r>
        <w:rPr>
          <w:rFonts w:hint="eastAsia" w:ascii="宋体" w:hAnsi="宋体" w:eastAsia="宋体" w:cs="宋体"/>
        </w:rPr>
        <w:fldChar w:fldCharType="end"/>
      </w:r>
      <w:r>
        <w:rPr>
          <w:rFonts w:hint="eastAsia" w:ascii="宋体" w:hAnsi="宋体" w:eastAsia="宋体" w:cs="宋体"/>
          <w:szCs w:val="32"/>
        </w:rPr>
        <w:fldChar w:fldCharType="end"/>
      </w:r>
    </w:p>
    <w:p w14:paraId="70758BB0">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_Toc3036 </w:instrText>
      </w:r>
      <w:r>
        <w:rPr>
          <w:rFonts w:hint="eastAsia" w:ascii="宋体" w:hAnsi="宋体" w:eastAsia="宋体" w:cs="宋体"/>
          <w:szCs w:val="32"/>
        </w:rPr>
        <w:fldChar w:fldCharType="separate"/>
      </w:r>
      <w:r>
        <w:rPr>
          <w:rFonts w:hint="eastAsia" w:ascii="宋体" w:hAnsi="宋体" w:eastAsia="宋体" w:cs="宋体"/>
        </w:rPr>
        <w:t>二、 资信部分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szCs w:val="32"/>
        </w:rPr>
        <w:fldChar w:fldCharType="end"/>
      </w:r>
    </w:p>
    <w:p w14:paraId="5F577CE1">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_Toc12872 </w:instrText>
      </w:r>
      <w:r>
        <w:rPr>
          <w:rFonts w:hint="eastAsia" w:ascii="宋体" w:hAnsi="宋体" w:eastAsia="宋体" w:cs="宋体"/>
          <w:szCs w:val="32"/>
        </w:rPr>
        <w:fldChar w:fldCharType="separate"/>
      </w:r>
      <w:r>
        <w:rPr>
          <w:rFonts w:hint="eastAsia" w:ascii="宋体" w:hAnsi="宋体" w:eastAsia="宋体" w:cs="宋体"/>
        </w:rPr>
        <w:t>三、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_Toc12872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szCs w:val="32"/>
        </w:rPr>
        <w:fldChar w:fldCharType="end"/>
      </w:r>
    </w:p>
    <w:p w14:paraId="750BF059">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_Toc31623 </w:instrText>
      </w:r>
      <w:r>
        <w:rPr>
          <w:rFonts w:hint="eastAsia" w:ascii="宋体" w:hAnsi="宋体" w:eastAsia="宋体" w:cs="宋体"/>
          <w:szCs w:val="32"/>
        </w:rPr>
        <w:fldChar w:fldCharType="separate"/>
      </w:r>
      <w:r>
        <w:rPr>
          <w:rFonts w:hint="eastAsia" w:ascii="宋体" w:hAnsi="宋体" w:eastAsia="宋体" w:cs="宋体"/>
        </w:rPr>
        <w:t>四、报价部分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_Toc31623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szCs w:val="32"/>
        </w:rPr>
        <w:fldChar w:fldCharType="end"/>
      </w:r>
    </w:p>
    <w:p w14:paraId="0A4C8B46">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_Toc16563 </w:instrText>
      </w:r>
      <w:r>
        <w:rPr>
          <w:rFonts w:hint="eastAsia" w:ascii="宋体" w:hAnsi="宋体" w:eastAsia="宋体" w:cs="宋体"/>
          <w:szCs w:val="32"/>
        </w:rPr>
        <w:fldChar w:fldCharType="separate"/>
      </w:r>
      <w:r>
        <w:rPr>
          <w:rFonts w:hint="eastAsia" w:ascii="宋体" w:hAnsi="宋体" w:eastAsia="宋体" w:cs="宋体"/>
        </w:rPr>
        <w:t>封套格式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_Toc16563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szCs w:val="32"/>
        </w:rPr>
        <w:fldChar w:fldCharType="end"/>
      </w:r>
    </w:p>
    <w:p w14:paraId="340E6160">
      <w:pPr>
        <w:adjustRightInd w:val="0"/>
        <w:snapToGrid w:val="0"/>
        <w:spacing w:line="560" w:lineRule="exact"/>
        <w:ind w:firstLine="560" w:firstLineChars="200"/>
        <w:rPr>
          <w:rFonts w:hint="eastAsia" w:ascii="仿宋" w:hAnsi="仿宋" w:eastAsia="仿宋" w:cs="仿宋"/>
          <w:szCs w:val="32"/>
        </w:rPr>
      </w:pPr>
      <w:r>
        <w:rPr>
          <w:rFonts w:hint="eastAsia" w:ascii="仿宋" w:hAnsi="仿宋" w:eastAsia="仿宋" w:cs="仿宋"/>
          <w:szCs w:val="32"/>
        </w:rPr>
        <w:fldChar w:fldCharType="end"/>
      </w:r>
    </w:p>
    <w:p w14:paraId="12F6C37E">
      <w:pPr>
        <w:adjustRightInd w:val="0"/>
        <w:snapToGrid w:val="0"/>
        <w:spacing w:line="560" w:lineRule="exact"/>
        <w:ind w:firstLine="560" w:firstLineChars="200"/>
        <w:rPr>
          <w:rFonts w:hint="eastAsia" w:ascii="仿宋" w:hAnsi="仿宋" w:eastAsia="仿宋" w:cs="仿宋"/>
          <w:szCs w:val="32"/>
        </w:rPr>
      </w:pPr>
    </w:p>
    <w:p w14:paraId="40E090E8">
      <w:pPr>
        <w:adjustRightInd w:val="0"/>
        <w:snapToGrid w:val="0"/>
        <w:spacing w:line="560" w:lineRule="exact"/>
        <w:ind w:firstLine="560" w:firstLineChars="200"/>
        <w:rPr>
          <w:rFonts w:hint="eastAsia" w:ascii="仿宋" w:hAnsi="仿宋" w:eastAsia="仿宋" w:cs="仿宋"/>
          <w:szCs w:val="32"/>
        </w:rPr>
      </w:pPr>
    </w:p>
    <w:p w14:paraId="50AD41BA">
      <w:pPr>
        <w:adjustRightInd w:val="0"/>
        <w:snapToGrid w:val="0"/>
        <w:spacing w:line="560" w:lineRule="exact"/>
        <w:ind w:firstLine="560" w:firstLineChars="200"/>
        <w:rPr>
          <w:rFonts w:hint="eastAsia" w:ascii="仿宋" w:hAnsi="仿宋" w:eastAsia="仿宋" w:cs="仿宋"/>
          <w:szCs w:val="32"/>
        </w:rPr>
      </w:pPr>
    </w:p>
    <w:p w14:paraId="5E6324CD">
      <w:pPr>
        <w:adjustRightInd w:val="0"/>
        <w:snapToGrid w:val="0"/>
        <w:spacing w:line="560" w:lineRule="exact"/>
        <w:ind w:firstLine="560" w:firstLineChars="200"/>
        <w:rPr>
          <w:rFonts w:hint="eastAsia" w:ascii="仿宋" w:hAnsi="仿宋" w:eastAsia="仿宋" w:cs="仿宋"/>
          <w:szCs w:val="32"/>
        </w:rPr>
      </w:pPr>
    </w:p>
    <w:p w14:paraId="32E121E2">
      <w:pPr>
        <w:adjustRightInd w:val="0"/>
        <w:snapToGrid w:val="0"/>
        <w:spacing w:line="560" w:lineRule="exact"/>
        <w:ind w:firstLine="560" w:firstLineChars="200"/>
        <w:rPr>
          <w:rFonts w:hint="eastAsia" w:ascii="仿宋" w:hAnsi="仿宋" w:eastAsia="仿宋" w:cs="仿宋"/>
          <w:szCs w:val="32"/>
        </w:rPr>
      </w:pPr>
    </w:p>
    <w:p w14:paraId="4B1B3506">
      <w:pPr>
        <w:adjustRightInd w:val="0"/>
        <w:snapToGrid w:val="0"/>
        <w:spacing w:line="560" w:lineRule="exact"/>
        <w:ind w:firstLine="560" w:firstLineChars="200"/>
        <w:rPr>
          <w:rFonts w:hint="eastAsia" w:ascii="仿宋" w:hAnsi="仿宋" w:eastAsia="仿宋" w:cs="仿宋"/>
          <w:szCs w:val="32"/>
        </w:rPr>
      </w:pPr>
    </w:p>
    <w:p w14:paraId="59479D1A">
      <w:pPr>
        <w:adjustRightInd w:val="0"/>
        <w:snapToGrid w:val="0"/>
        <w:spacing w:line="560" w:lineRule="exact"/>
        <w:ind w:firstLine="560" w:firstLineChars="200"/>
        <w:rPr>
          <w:rFonts w:hint="eastAsia" w:ascii="仿宋" w:hAnsi="仿宋" w:eastAsia="仿宋" w:cs="仿宋"/>
          <w:szCs w:val="32"/>
        </w:rPr>
      </w:pPr>
    </w:p>
    <w:p w14:paraId="2B18D3E1">
      <w:pPr>
        <w:adjustRightInd w:val="0"/>
        <w:snapToGrid w:val="0"/>
        <w:spacing w:line="560" w:lineRule="exact"/>
        <w:ind w:firstLine="560" w:firstLineChars="200"/>
        <w:rPr>
          <w:rFonts w:hint="eastAsia" w:ascii="仿宋" w:hAnsi="仿宋" w:eastAsia="仿宋" w:cs="仿宋"/>
          <w:szCs w:val="32"/>
        </w:rPr>
      </w:pPr>
    </w:p>
    <w:p w14:paraId="2280FCD2">
      <w:pPr>
        <w:adjustRightInd w:val="0"/>
        <w:snapToGrid w:val="0"/>
        <w:spacing w:line="560" w:lineRule="exact"/>
        <w:ind w:firstLine="560" w:firstLineChars="200"/>
        <w:rPr>
          <w:rFonts w:hint="eastAsia" w:ascii="仿宋" w:hAnsi="仿宋" w:eastAsia="仿宋" w:cs="仿宋"/>
          <w:szCs w:val="32"/>
        </w:rPr>
      </w:pPr>
    </w:p>
    <w:p w14:paraId="76ACCCDA">
      <w:pPr>
        <w:adjustRightInd w:val="0"/>
        <w:snapToGrid w:val="0"/>
        <w:spacing w:line="560" w:lineRule="exact"/>
        <w:ind w:firstLine="883" w:firstLineChars="200"/>
        <w:rPr>
          <w:rStyle w:val="23"/>
          <w:rFonts w:hint="eastAsia" w:eastAsia="仿宋" w:asciiTheme="minorEastAsia" w:hAnsiTheme="minorEastAsia" w:cstheme="minorEastAsia"/>
          <w:sz w:val="44"/>
          <w:lang w:val="en-US" w:eastAsia="zh-CN"/>
        </w:rPr>
      </w:pPr>
    </w:p>
    <w:p w14:paraId="5E3BB7A9">
      <w:pPr>
        <w:pStyle w:val="3"/>
        <w:rPr>
          <w:rFonts w:hint="eastAsia" w:asciiTheme="minorEastAsia" w:hAnsiTheme="minorEastAsia" w:eastAsiaTheme="minorEastAsia" w:cstheme="minorEastAsia"/>
          <w:sz w:val="44"/>
        </w:rPr>
      </w:pPr>
      <w:bookmarkStart w:id="10" w:name="_Toc20392"/>
      <w:r>
        <w:rPr>
          <w:rStyle w:val="23"/>
          <w:rFonts w:hint="eastAsia" w:asciiTheme="minorEastAsia" w:hAnsiTheme="minorEastAsia" w:eastAsiaTheme="minorEastAsia" w:cstheme="minorEastAsia"/>
          <w:b/>
          <w:sz w:val="44"/>
        </w:rPr>
        <w:t xml:space="preserve">第一部分 </w:t>
      </w:r>
      <w:bookmarkEnd w:id="7"/>
      <w:bookmarkEnd w:id="8"/>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620702"/>
      <w:bookmarkStart w:id="13" w:name="_Toc325582066"/>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0C9CBA9F">
      <w:pPr>
        <w:adjustRightInd w:val="0"/>
        <w:snapToGrid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2025级学生消防疏散演练培训项目（二次招标）</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4E5D2CEE">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HNWJY-FW2025032</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34E374A6">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10BCA1B2">
            <w:pPr>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2025级学生消防疏散演练培训项目（二次招标）</w:t>
            </w:r>
          </w:p>
          <w:p w14:paraId="2F93D5B9">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p>
          <w:p w14:paraId="557AEC8D">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67D1CEF6">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12000</w:t>
            </w:r>
            <w:r>
              <w:rPr>
                <w:rFonts w:hint="eastAsia" w:ascii="仿宋" w:hAnsi="仿宋" w:eastAsia="仿宋" w:cs="仿宋"/>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w:t>
      </w:r>
      <w:r>
        <w:rPr>
          <w:rFonts w:hint="eastAsia" w:ascii="仿宋" w:hAnsi="仿宋" w:eastAsia="仿宋" w:cs="仿宋"/>
          <w:sz w:val="32"/>
          <w:szCs w:val="32"/>
          <w:lang w:val="en-US" w:eastAsia="zh-CN"/>
        </w:rPr>
        <w:t>9月19</w:t>
      </w:r>
      <w:r>
        <w:rPr>
          <w:rFonts w:hint="eastAsia" w:ascii="仿宋" w:hAnsi="仿宋" w:eastAsia="仿宋" w:cs="仿宋"/>
          <w:sz w:val="32"/>
          <w:szCs w:val="32"/>
        </w:rPr>
        <w:t>日</w:t>
      </w:r>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603780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29613"/>
      <w:bookmarkStart w:id="16" w:name="_Toc40089789"/>
    </w:p>
    <w:p w14:paraId="4A454759">
      <w:pPr>
        <w:pStyle w:val="3"/>
        <w:adjustRightInd w:val="0"/>
        <w:snapToGrid w:val="0"/>
        <w:spacing w:line="560" w:lineRule="exact"/>
        <w:rPr>
          <w:rFonts w:hint="eastAsia" w:hAnsi="宋体" w:cs="宋体"/>
          <w:sz w:val="44"/>
        </w:rPr>
      </w:pPr>
      <w:bookmarkStart w:id="17" w:name="_Toc18001"/>
      <w:r>
        <w:rPr>
          <w:rFonts w:hint="eastAsia" w:hAnsi="宋体" w:cs="宋体"/>
          <w:sz w:val="44"/>
        </w:rPr>
        <w:t>第二部分  开标、评标、定标</w:t>
      </w:r>
      <w:bookmarkEnd w:id="17"/>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332979555"/>
      <w:bookmarkStart w:id="20" w:name="_Toc29040"/>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25620715"/>
      <w:bookmarkStart w:id="23" w:name="_Toc33297955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325620717"/>
      <w:bookmarkStart w:id="28" w:name="_Toc9800"/>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18290"/>
      <w:bookmarkStart w:id="37" w:name="_Toc332979561"/>
    </w:p>
    <w:p w14:paraId="2EBBB3DC">
      <w:pPr>
        <w:widowControl/>
        <w:jc w:val="left"/>
      </w:pPr>
      <w:r>
        <w:br w:type="page"/>
      </w:r>
    </w:p>
    <w:p w14:paraId="71EFBDA2">
      <w:pPr>
        <w:pStyle w:val="3"/>
        <w:adjustRightInd w:val="0"/>
        <w:snapToGrid w:val="0"/>
        <w:spacing w:line="560" w:lineRule="exact"/>
        <w:rPr>
          <w:rFonts w:hint="eastAsia" w:hAnsi="宋体" w:cs="宋体"/>
          <w:sz w:val="44"/>
        </w:rPr>
      </w:pPr>
      <w:bookmarkStart w:id="38" w:name="_Toc28108"/>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332979563"/>
      <w:bookmarkStart w:id="43" w:name="_Toc16534"/>
      <w:bookmarkStart w:id="44" w:name="_Toc325620722"/>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5"/>
    <w:bookmarkEnd w:id="16"/>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4F80DE94">
      <w:pPr>
        <w:adjustRightInd w:val="0"/>
        <w:snapToGrid w:val="0"/>
        <w:spacing w:line="520" w:lineRule="exact"/>
        <w:ind w:firstLine="883" w:firstLineChars="200"/>
        <w:jc w:val="center"/>
        <w:rPr>
          <w:rFonts w:hint="default"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2025级学生消防疏散演练培训项目合同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甲、乙双方    年    月    日依据</w:t>
      </w:r>
      <w:r>
        <w:rPr>
          <w:rFonts w:hint="eastAsia" w:ascii="仿宋" w:hAnsi="仿宋" w:eastAsia="仿宋" w:cs="仿宋"/>
          <w:sz w:val="32"/>
          <w:szCs w:val="32"/>
          <w:lang w:val="en-US" w:eastAsia="zh-CN"/>
        </w:rPr>
        <w:t>2025级学生消防疏散演练培训项目</w:t>
      </w:r>
      <w:r>
        <w:rPr>
          <w:rFonts w:hint="eastAsia" w:ascii="仿宋" w:hAnsi="仿宋" w:eastAsia="仿宋" w:cs="仿宋"/>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1327"/>
      <w:bookmarkStart w:id="46" w:name="_Toc356490388"/>
      <w:bookmarkStart w:id="47" w:name="_Toc325620723"/>
      <w:bookmarkStart w:id="48" w:name="_Toc40089798"/>
      <w:bookmarkStart w:id="49" w:name="_Toc905"/>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bookmarkStart w:id="50" w:name="_Toc30946"/>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w:t>
      </w:r>
      <w:r>
        <w:rPr>
          <w:rFonts w:hint="eastAsia" w:ascii="仿宋" w:hAnsi="仿宋" w:eastAsia="仿宋" w:cs="仿宋"/>
          <w:sz w:val="32"/>
          <w:szCs w:val="32"/>
          <w:lang w:val="en-US" w:eastAsia="zh-CN"/>
        </w:rPr>
        <w:t>2025级学生消防疏散演练培训项目（二次招标）</w:t>
      </w:r>
      <w:bookmarkStart w:id="100" w:name="_GoBack"/>
      <w:bookmarkEnd w:id="100"/>
    </w:p>
    <w:p w14:paraId="2544DAAA">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2.采购项目编号：HNWJY-FW2025032</w:t>
      </w:r>
    </w:p>
    <w:p w14:paraId="48608E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12000</w:t>
      </w:r>
      <w:r>
        <w:rPr>
          <w:rFonts w:hint="eastAsia" w:ascii="仿宋" w:hAnsi="仿宋" w:eastAsia="仿宋" w:cs="仿宋"/>
          <w:sz w:val="32"/>
          <w:szCs w:val="32"/>
        </w:rPr>
        <w:t>.00元</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项目完成期限：合同签订后30天内。</w:t>
      </w:r>
    </w:p>
    <w:p w14:paraId="1E0B1930">
      <w:pPr>
        <w:adjustRightInd w:val="0"/>
        <w:snapToGrid w:val="0"/>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三、项目服务需求</w:t>
      </w:r>
    </w:p>
    <w:p w14:paraId="2A7E8E42">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w:t>
      </w:r>
      <w:r>
        <w:rPr>
          <w:rFonts w:hint="default" w:ascii="仿宋" w:hAnsi="仿宋" w:eastAsia="仿宋" w:cs="仿宋"/>
          <w:sz w:val="32"/>
          <w:szCs w:val="32"/>
          <w:lang w:val="en-US" w:eastAsia="zh-CN"/>
        </w:rPr>
        <w:t>内容要求</w:t>
      </w:r>
    </w:p>
    <w:p w14:paraId="2AD17821">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培训机构应根据场地实际进行事先彩排，组织好</w:t>
      </w:r>
      <w:r>
        <w:rPr>
          <w:rFonts w:hint="default" w:ascii="仿宋" w:hAnsi="仿宋" w:eastAsia="仿宋" w:cs="仿宋"/>
          <w:sz w:val="32"/>
          <w:szCs w:val="32"/>
          <w:lang w:val="en-US" w:eastAsia="zh-CN"/>
        </w:rPr>
        <w:t>25级学生</w:t>
      </w:r>
      <w:r>
        <w:rPr>
          <w:rFonts w:hint="eastAsia" w:ascii="仿宋" w:hAnsi="仿宋" w:eastAsia="仿宋" w:cs="仿宋"/>
          <w:sz w:val="32"/>
          <w:szCs w:val="32"/>
          <w:lang w:val="en-US" w:eastAsia="zh-CN"/>
        </w:rPr>
        <w:t>当日消防疏散演练</w:t>
      </w:r>
      <w:r>
        <w:rPr>
          <w:rFonts w:hint="default" w:ascii="仿宋" w:hAnsi="仿宋" w:eastAsia="仿宋" w:cs="仿宋"/>
          <w:sz w:val="32"/>
          <w:szCs w:val="32"/>
          <w:lang w:val="en-US" w:eastAsia="zh-CN"/>
        </w:rPr>
        <w:t>各个环节，包括</w:t>
      </w:r>
      <w:r>
        <w:rPr>
          <w:rFonts w:hint="eastAsia" w:ascii="仿宋" w:hAnsi="仿宋" w:eastAsia="仿宋" w:cs="仿宋"/>
          <w:sz w:val="32"/>
          <w:szCs w:val="32"/>
          <w:lang w:val="en-US" w:eastAsia="zh-CN"/>
        </w:rPr>
        <w:t>模拟真实火灾场景，教授组织疏散逃生程序和疏散逃生相关技能，并现场讲解灭火器使用。尤其在演练培训过程中有义务强化演练培训过程中的安全措施，确保演练培训万无一失。</w:t>
      </w:r>
    </w:p>
    <w:p w14:paraId="6A9B84D7">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2.其他要求</w:t>
      </w:r>
    </w:p>
    <w:p w14:paraId="6D698C16">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培训团队需有组织消防疏散演练活动的相关经验，教学和组织疏散要结合场地实际和安全需求开展，切实做好演练所需的道具和设施、设备准备工作和事前、事中、事后沟通工作，确保组织流畅、培训有力、效果明显。</w:t>
      </w:r>
    </w:p>
    <w:p w14:paraId="6CF43105">
      <w:pPr>
        <w:rPr>
          <w:rFonts w:hint="eastAsia" w:ascii="仿宋" w:hAnsi="仿宋" w:eastAsia="仿宋" w:cs="仿宋"/>
          <w:bCs/>
          <w:kern w:val="0"/>
          <w:sz w:val="32"/>
          <w:szCs w:val="32"/>
          <w:lang w:val="en-US" w:eastAsia="zh-CN" w:bidi="ar-SA"/>
        </w:rPr>
      </w:pPr>
    </w:p>
    <w:p w14:paraId="7EF9B405">
      <w:pPr>
        <w:rPr>
          <w:rFonts w:hint="eastAsia" w:ascii="仿宋" w:hAnsi="仿宋" w:eastAsia="仿宋" w:cs="仿宋"/>
          <w:bCs/>
          <w:kern w:val="0"/>
          <w:sz w:val="32"/>
          <w:szCs w:val="32"/>
          <w:lang w:val="en-US" w:eastAsia="zh-CN" w:bidi="ar-SA"/>
        </w:rPr>
      </w:pPr>
    </w:p>
    <w:p w14:paraId="0D8125B7">
      <w:pPr>
        <w:rPr>
          <w:rFonts w:hint="eastAsia" w:ascii="仿宋" w:hAnsi="仿宋" w:eastAsia="仿宋" w:cs="仿宋"/>
          <w:bCs/>
          <w:kern w:val="0"/>
          <w:sz w:val="32"/>
          <w:szCs w:val="32"/>
          <w:lang w:val="en-US" w:eastAsia="zh-CN" w:bidi="ar-SA"/>
        </w:rPr>
      </w:pPr>
    </w:p>
    <w:p w14:paraId="07A901BD">
      <w:pPr>
        <w:pStyle w:val="3"/>
        <w:rPr>
          <w:rFonts w:hint="eastAsia" w:hAnsi="宋体" w:cs="宋体"/>
          <w:sz w:val="44"/>
        </w:rPr>
      </w:pPr>
      <w:bookmarkStart w:id="52" w:name="_Toc40089799"/>
      <w:bookmarkStart w:id="53" w:name="_Toc21799"/>
      <w:bookmarkStart w:id="54" w:name="_Toc10043"/>
      <w:r>
        <w:rPr>
          <w:rFonts w:hint="eastAsia" w:hAnsi="宋体" w:cs="宋体"/>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40089805"/>
      <w:bookmarkStart w:id="66" w:name="_Toc17456"/>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40089808"/>
      <w:bookmarkStart w:id="72" w:name="_Toc25558"/>
    </w:p>
    <w:p w14:paraId="300BD3BA">
      <w:pPr>
        <w:pStyle w:val="3"/>
        <w:spacing w:line="240" w:lineRule="auto"/>
        <w:rPr>
          <w:rFonts w:hint="eastAsia" w:ascii="仿宋_GB2312" w:hAnsi="仿宋_GB2312" w:eastAsia="仿宋_GB2312" w:cs="仿宋_GB2312"/>
          <w:szCs w:val="36"/>
        </w:rPr>
      </w:pPr>
      <w:bookmarkStart w:id="73" w:name="_Toc28881"/>
      <w:r>
        <w:rPr>
          <w:rFonts w:hint="eastAsia"/>
        </w:rPr>
        <w:t>一、商务部分</w:t>
      </w:r>
      <w:bookmarkEnd w:id="73"/>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1"/>
      <w:bookmarkEnd w:id="72"/>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4" w:name="_Toc323130135"/>
      <w:bookmarkStart w:id="75" w:name="_Toc323129568"/>
      <w:bookmarkStart w:id="76" w:name="_Toc40089809"/>
      <w:bookmarkStart w:id="77" w:name="_Toc356491343"/>
      <w:bookmarkStart w:id="78" w:name="_Toc325620729"/>
      <w:bookmarkStart w:id="79" w:name="_Toc26307"/>
      <w:r>
        <w:rPr>
          <w:rFonts w:hint="eastAsia" w:ascii="方正公文黑体" w:hAnsi="方正公文黑体" w:eastAsia="方正公文黑体" w:cs="方正公文黑体"/>
          <w:sz w:val="36"/>
          <w:szCs w:val="36"/>
        </w:rPr>
        <w:t>附件</w:t>
      </w:r>
      <w:bookmarkEnd w:id="74"/>
      <w:bookmarkEnd w:id="75"/>
      <w:r>
        <w:rPr>
          <w:rFonts w:hint="eastAsia" w:ascii="方正公文黑体" w:hAnsi="方正公文黑体" w:eastAsia="方正公文黑体" w:cs="方正公文黑体"/>
          <w:sz w:val="36"/>
          <w:szCs w:val="36"/>
        </w:rPr>
        <w:t>2</w:t>
      </w:r>
      <w:bookmarkEnd w:id="76"/>
      <w:bookmarkEnd w:id="77"/>
      <w:bookmarkEnd w:id="78"/>
      <w:bookmarkEnd w:id="79"/>
      <w:bookmarkStart w:id="80" w:name="_Toc356491344"/>
      <w:bookmarkStart w:id="81" w:name="_Toc356490395"/>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2" w:name="_Toc513627405"/>
      <w:bookmarkStart w:id="83" w:name="_Toc40089810"/>
      <w:bookmarkStart w:id="84" w:name="_Toc24686"/>
      <w:r>
        <w:rPr>
          <w:rFonts w:hint="eastAsia" w:ascii="方正公文黑体" w:hAnsi="方正公文黑体" w:eastAsia="方正公文黑体" w:cs="方正公文黑体"/>
          <w:sz w:val="36"/>
          <w:szCs w:val="36"/>
        </w:rPr>
        <w:t>附件3</w:t>
      </w:r>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2"/>
      <w:bookmarkEnd w:id="83"/>
      <w:bookmarkEnd w:id="84"/>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5" w:name="_Toc9292"/>
      <w:bookmarkStart w:id="86" w:name="_Toc40089811"/>
      <w:r>
        <w:rPr>
          <w:rFonts w:hint="eastAsia" w:ascii="方正公文黑体" w:hAnsi="方正公文黑体" w:eastAsia="方正公文黑体" w:cs="方正公文黑体"/>
          <w:sz w:val="36"/>
          <w:szCs w:val="36"/>
        </w:rPr>
        <w:t>附件4</w:t>
      </w:r>
      <w:bookmarkEnd w:id="85"/>
      <w:bookmarkEnd w:id="86"/>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6681A69E">
      <w:r>
        <w:rPr>
          <w:rFonts w:hint="eastAsia"/>
        </w:rPr>
        <w:br w:type="page"/>
      </w:r>
      <w:bookmarkStart w:id="87" w:name="_Toc23941"/>
      <w:bookmarkStart w:id="88" w:name="_Toc40089812"/>
    </w:p>
    <w:p w14:paraId="272ED716"/>
    <w:p w14:paraId="4AFE2782">
      <w:pPr>
        <w:pStyle w:val="3"/>
        <w:numPr>
          <w:ilvl w:val="0"/>
          <w:numId w:val="4"/>
        </w:numPr>
        <w:spacing w:line="240" w:lineRule="auto"/>
      </w:pPr>
      <w:bookmarkStart w:id="89" w:name="_Toc3036"/>
      <w:r>
        <w:rPr>
          <w:rFonts w:hint="eastAsia"/>
        </w:rPr>
        <w:t>资信部分</w:t>
      </w:r>
      <w:bookmarkEnd w:id="89"/>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90" w:name="_Toc12872"/>
      <w:r>
        <w:rPr>
          <w:rFonts w:hint="eastAsia"/>
        </w:rPr>
        <w:t>技术部分</w:t>
      </w:r>
      <w:bookmarkEnd w:id="90"/>
      <w:bookmarkStart w:id="91" w:name="_Toc248"/>
    </w:p>
    <w:bookmarkEnd w:id="91"/>
    <w:p w14:paraId="262E71C4">
      <w:r>
        <w:rPr>
          <w:rFonts w:hint="eastAsia" w:ascii="仿宋_GB2312" w:hAnsi="仿宋_GB2312" w:eastAsia="仿宋_GB2312" w:cs="仿宋_GB2312"/>
          <w:sz w:val="32"/>
          <w:szCs w:val="32"/>
          <w:u w:val="single"/>
        </w:rPr>
        <w:br w:type="page"/>
      </w:r>
    </w:p>
    <w:p w14:paraId="5ECF2D50">
      <w:pPr>
        <w:rPr>
          <w:rFonts w:hint="eastAsia" w:ascii="方正公文黑体" w:hAnsi="方正公文黑体" w:eastAsia="方正公文黑体" w:cs="方正公文黑体"/>
          <w:sz w:val="36"/>
          <w:szCs w:val="36"/>
          <w:lang w:val="en-US" w:eastAsia="zh-CN"/>
        </w:rPr>
      </w:pPr>
      <w:bookmarkStart w:id="92" w:name="_Toc7441"/>
      <w:bookmarkStart w:id="93" w:name="_Toc40089813"/>
      <w:bookmarkStart w:id="94" w:name="_Toc25316"/>
      <w:r>
        <w:rPr>
          <w:rFonts w:hint="eastAsia" w:ascii="方正公文黑体" w:hAnsi="方正公文黑体" w:eastAsia="方正公文黑体" w:cs="方正公文黑体"/>
          <w:sz w:val="36"/>
          <w:szCs w:val="36"/>
        </w:rPr>
        <w:t>附件</w:t>
      </w:r>
      <w:bookmarkEnd w:id="92"/>
      <w:bookmarkEnd w:id="93"/>
      <w:bookmarkEnd w:id="94"/>
      <w:r>
        <w:rPr>
          <w:rFonts w:hint="eastAsia" w:ascii="方正公文黑体" w:hAnsi="方正公文黑体" w:eastAsia="方正公文黑体" w:cs="方正公文黑体"/>
          <w:sz w:val="36"/>
          <w:szCs w:val="36"/>
          <w:lang w:val="en-US" w:eastAsia="zh-CN"/>
        </w:rPr>
        <w:t>5</w:t>
      </w:r>
    </w:p>
    <w:p w14:paraId="4D0A5058">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val="en-US" w:eastAsia="zh-CN"/>
        </w:rPr>
        <w:t>项目服务需求</w:t>
      </w:r>
      <w:r>
        <w:rPr>
          <w:rFonts w:hint="eastAsia" w:ascii="仿宋_GB2312" w:hAnsi="仿宋_GB2312" w:eastAsia="仿宋_GB2312" w:cs="仿宋_GB2312"/>
          <w:b/>
          <w:sz w:val="36"/>
          <w:szCs w:val="36"/>
        </w:rPr>
        <w:t>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2789DDD4">
      <w:pPr>
        <w:pStyle w:val="3"/>
        <w:spacing w:line="240" w:lineRule="auto"/>
      </w:pPr>
      <w:bookmarkStart w:id="95" w:name="_Toc25388"/>
      <w:bookmarkStart w:id="96" w:name="_Toc31623"/>
      <w:r>
        <w:rPr>
          <w:rFonts w:hint="eastAsia"/>
        </w:rPr>
        <w:t>四、报价部分</w:t>
      </w:r>
      <w:bookmarkEnd w:id="95"/>
      <w:bookmarkEnd w:id="96"/>
      <w:bookmarkStart w:id="97" w:name="_Toc15965"/>
    </w:p>
    <w:p w14:paraId="6F0FDBDD">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97"/>
      <w:r>
        <w:rPr>
          <w:rFonts w:hint="eastAsia" w:ascii="方正公文黑体" w:hAnsi="方正公文黑体" w:eastAsia="方正公文黑体" w:cs="方正公文黑体"/>
          <w:sz w:val="36"/>
          <w:szCs w:val="36"/>
          <w:lang w:val="en-US" w:eastAsia="zh-CN"/>
        </w:rPr>
        <w:t>6</w:t>
      </w:r>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0"/>
    <w:bookmarkEnd w:id="81"/>
    <w:bookmarkEnd w:id="87"/>
    <w:bookmarkEnd w:id="88"/>
    <w:p w14:paraId="3CE11DC9">
      <w:bookmarkStart w:id="98" w:name="_Toc4812"/>
    </w:p>
    <w:p w14:paraId="2340847C">
      <w:pPr>
        <w:pStyle w:val="3"/>
        <w:spacing w:line="240" w:lineRule="auto"/>
      </w:pPr>
      <w:bookmarkStart w:id="99" w:name="_Toc16563"/>
      <w:r>
        <w:rPr>
          <w:rFonts w:hint="eastAsia"/>
        </w:rPr>
        <w:t>封套格式</w:t>
      </w:r>
      <w:bookmarkEnd w:id="98"/>
      <w:bookmarkEnd w:id="99"/>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351DBA-51D9-41B4-9D50-ABBC15F321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B18EDB9-7A35-4906-9072-2EA609D3F2BD}"/>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2A87E98A-6A7A-48DA-85D6-92C5084F10FF}"/>
  </w:font>
  <w:font w:name="方正仿宋_GB2312">
    <w:altName w:val="仿宋"/>
    <w:panose1 w:val="02000000000000000000"/>
    <w:charset w:val="86"/>
    <w:family w:val="auto"/>
    <w:pitch w:val="default"/>
    <w:sig w:usb0="00000000" w:usb1="00000000" w:usb2="00000012" w:usb3="00000000" w:csb0="00040001" w:csb1="00000000"/>
    <w:embedRegular r:id="rId4" w:fontKey="{F33985CF-8FB7-48EE-A38B-A9D23487648F}"/>
  </w:font>
  <w:font w:name="仿宋_GB2312">
    <w:panose1 w:val="02010609030101010101"/>
    <w:charset w:val="86"/>
    <w:family w:val="modern"/>
    <w:pitch w:val="default"/>
    <w:sig w:usb0="00000001" w:usb1="080E0000" w:usb2="00000000" w:usb3="00000000" w:csb0="00040000" w:csb1="00000000"/>
    <w:embedRegular r:id="rId5" w:fontKey="{34210550-DBBE-437F-821F-0A958DF9FA0E}"/>
  </w:font>
  <w:font w:name="Wingdings 2">
    <w:panose1 w:val="05020102010507070707"/>
    <w:charset w:val="02"/>
    <w:family w:val="roman"/>
    <w:pitch w:val="default"/>
    <w:sig w:usb0="00000000" w:usb1="00000000" w:usb2="00000000" w:usb3="00000000" w:csb0="80000000" w:csb1="00000000"/>
    <w:embedRegular r:id="rId6" w:fontKey="{20CA94DD-A534-4DD8-9C56-7DCF7E845082}"/>
  </w:font>
  <w:font w:name="方正公文黑体">
    <w:panose1 w:val="02000500000000000000"/>
    <w:charset w:val="86"/>
    <w:family w:val="auto"/>
    <w:pitch w:val="default"/>
    <w:sig w:usb0="A00002BF" w:usb1="38CF7CFA" w:usb2="00000016" w:usb3="00000000" w:csb0="00040001" w:csb1="00000000"/>
    <w:embedRegular r:id="rId7" w:fontKey="{A0243BBC-E06D-49E5-980C-8D2C970B704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23066B"/>
    <w:rsid w:val="0A3F0100"/>
    <w:rsid w:val="0AA90B70"/>
    <w:rsid w:val="0ABE2142"/>
    <w:rsid w:val="0B04224A"/>
    <w:rsid w:val="0B16263E"/>
    <w:rsid w:val="0B8B2FBA"/>
    <w:rsid w:val="0B9B2EA1"/>
    <w:rsid w:val="0BDA3067"/>
    <w:rsid w:val="0BED6A7B"/>
    <w:rsid w:val="0C133342"/>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4E0F64"/>
    <w:rsid w:val="11B83D8F"/>
    <w:rsid w:val="11D67F1C"/>
    <w:rsid w:val="123A29F6"/>
    <w:rsid w:val="123E35CF"/>
    <w:rsid w:val="12490E8B"/>
    <w:rsid w:val="12DE7825"/>
    <w:rsid w:val="12E070F9"/>
    <w:rsid w:val="12E11378"/>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7A5348"/>
    <w:rsid w:val="23FE7B1E"/>
    <w:rsid w:val="2412563B"/>
    <w:rsid w:val="244936F6"/>
    <w:rsid w:val="24963C3A"/>
    <w:rsid w:val="24A627FD"/>
    <w:rsid w:val="24DC4D71"/>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F07C0"/>
    <w:rsid w:val="2AF1729B"/>
    <w:rsid w:val="2B674404"/>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AD4994"/>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290D5D"/>
    <w:rsid w:val="3A5F655A"/>
    <w:rsid w:val="3A744447"/>
    <w:rsid w:val="3A7B57D6"/>
    <w:rsid w:val="3AB72586"/>
    <w:rsid w:val="3AED0C1B"/>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CD2C3F"/>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BE0460"/>
    <w:rsid w:val="46F506BE"/>
    <w:rsid w:val="473C453F"/>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DD252B5"/>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AA6F8B"/>
    <w:rsid w:val="54CE266B"/>
    <w:rsid w:val="54E57FC4"/>
    <w:rsid w:val="54F77CF7"/>
    <w:rsid w:val="551C1A85"/>
    <w:rsid w:val="555313D1"/>
    <w:rsid w:val="55614991"/>
    <w:rsid w:val="5587107B"/>
    <w:rsid w:val="55AB5C7A"/>
    <w:rsid w:val="55C7591B"/>
    <w:rsid w:val="55CE0A58"/>
    <w:rsid w:val="55D4285A"/>
    <w:rsid w:val="560C77D2"/>
    <w:rsid w:val="5616066A"/>
    <w:rsid w:val="564D6793"/>
    <w:rsid w:val="56982E14"/>
    <w:rsid w:val="56D45B12"/>
    <w:rsid w:val="56FC793A"/>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604CB9"/>
    <w:rsid w:val="637D586B"/>
    <w:rsid w:val="63D7141F"/>
    <w:rsid w:val="63FE09E6"/>
    <w:rsid w:val="64040C59"/>
    <w:rsid w:val="64306D81"/>
    <w:rsid w:val="64524F4A"/>
    <w:rsid w:val="647B3852"/>
    <w:rsid w:val="64EC2CA8"/>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C20125"/>
    <w:rsid w:val="6BD36970"/>
    <w:rsid w:val="6BFB5EC7"/>
    <w:rsid w:val="6C3A69EF"/>
    <w:rsid w:val="6C714041"/>
    <w:rsid w:val="6C89702F"/>
    <w:rsid w:val="6C9A748E"/>
    <w:rsid w:val="6CB31D0E"/>
    <w:rsid w:val="6D8F4B19"/>
    <w:rsid w:val="6DAA3701"/>
    <w:rsid w:val="6DB17E51"/>
    <w:rsid w:val="6E0E3C8F"/>
    <w:rsid w:val="6E2A0D69"/>
    <w:rsid w:val="6E4C2A0A"/>
    <w:rsid w:val="6E960CDC"/>
    <w:rsid w:val="6EA97E5C"/>
    <w:rsid w:val="6EC95FCD"/>
    <w:rsid w:val="6F1928EC"/>
    <w:rsid w:val="6F467505"/>
    <w:rsid w:val="702F68EB"/>
    <w:rsid w:val="70AD748E"/>
    <w:rsid w:val="70BB1F0C"/>
    <w:rsid w:val="71092E34"/>
    <w:rsid w:val="711E68DF"/>
    <w:rsid w:val="714874B8"/>
    <w:rsid w:val="72AE2727"/>
    <w:rsid w:val="7309650C"/>
    <w:rsid w:val="73A94229"/>
    <w:rsid w:val="73F70C5C"/>
    <w:rsid w:val="741E10D9"/>
    <w:rsid w:val="748A31AB"/>
    <w:rsid w:val="74A72748"/>
    <w:rsid w:val="74DC4AE7"/>
    <w:rsid w:val="753955FE"/>
    <w:rsid w:val="756923C9"/>
    <w:rsid w:val="75705230"/>
    <w:rsid w:val="759E1D9D"/>
    <w:rsid w:val="759E7FEF"/>
    <w:rsid w:val="75BA6E4E"/>
    <w:rsid w:val="75DF5F11"/>
    <w:rsid w:val="76171B4F"/>
    <w:rsid w:val="76452B41"/>
    <w:rsid w:val="7682155F"/>
    <w:rsid w:val="76E5668E"/>
    <w:rsid w:val="77035C3C"/>
    <w:rsid w:val="77313CD6"/>
    <w:rsid w:val="77334767"/>
    <w:rsid w:val="77790089"/>
    <w:rsid w:val="77FA1D1D"/>
    <w:rsid w:val="781F1BE1"/>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8C2CA7"/>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8303</Words>
  <Characters>8661</Characters>
  <Lines>95</Lines>
  <Paragraphs>26</Paragraphs>
  <TotalTime>2</TotalTime>
  <ScaleCrop>false</ScaleCrop>
  <LinksUpToDate>false</LinksUpToDate>
  <CharactersWithSpaces>9726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2025-09-19T06:48:12Z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719BE8D1D631473F98470A852B60206C_13</vt:lpwstr>
  </property>
  <property fmtid="{D5CDD505-2E9C-101B-9397-08002B2CF9AE}" pid="4" name="KSOTemplateDocerSaveRecord">
    <vt:lpwstr>eyJoZGlkIjoiYWY3MWJhMWRkZWU5MDA3MzBlOGQyOTZlN2I0NDVkOTUiLCJ1c2VySWQiOiI3NTE2MzkyOTIifQ==</vt:lpwstr>
  </property>
</Properties>
</file>